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C7AA0" w:rsidRPr="00DC7AA0" w:rsidP="00E45AE7">
      <w:pPr>
        <w:jc w:val="center"/>
        <w:rPr>
          <w:rFonts w:cs="Calibri"/>
          <w:b/>
          <w:bCs/>
          <w:sz w:val="32"/>
          <w:szCs w:val="32"/>
        </w:rPr>
      </w:pPr>
    </w:p>
    <w:p w:rsidR="00E45AE7" w:rsidP="00E45AE7">
      <w:pPr>
        <w:jc w:val="center"/>
        <w:rPr>
          <w:rFonts w:cs="Calibri"/>
          <w:b/>
          <w:bCs/>
          <w:caps/>
          <w:sz w:val="32"/>
          <w:szCs w:val="32"/>
        </w:rPr>
      </w:pPr>
      <w:r w:rsidR="00DC7AA0">
        <w:rPr>
          <w:rFonts w:cs="Calibri"/>
          <w:b/>
          <w:bCs/>
          <w:caps/>
          <w:sz w:val="32"/>
          <w:szCs w:val="32"/>
        </w:rPr>
        <w:t>Ná</w:t>
      </w:r>
      <w:r w:rsidRPr="00D11742">
        <w:rPr>
          <w:rFonts w:cs="Calibri"/>
          <w:b/>
          <w:bCs/>
          <w:caps/>
          <w:sz w:val="32"/>
          <w:szCs w:val="32"/>
        </w:rPr>
        <w:t>r</w:t>
      </w:r>
      <w:r w:rsidR="00DC7AA0">
        <w:rPr>
          <w:rFonts w:cs="Calibri"/>
          <w:b/>
          <w:bCs/>
          <w:caps/>
          <w:sz w:val="32"/>
          <w:szCs w:val="32"/>
        </w:rPr>
        <w:t>odná r</w:t>
      </w:r>
      <w:r w:rsidRPr="00D11742">
        <w:rPr>
          <w:rFonts w:cs="Calibri"/>
          <w:b/>
          <w:bCs/>
          <w:caps/>
          <w:sz w:val="32"/>
          <w:szCs w:val="32"/>
        </w:rPr>
        <w:t>ada  Slovenskej  republiky</w:t>
      </w:r>
    </w:p>
    <w:p w:rsidR="00E45AE7" w:rsidRPr="00B55394" w:rsidP="00E45AE7">
      <w:pPr>
        <w:pBdr>
          <w:bottom w:val="single" w:sz="12" w:space="1" w:color="auto"/>
        </w:pBdr>
        <w:jc w:val="center"/>
        <w:rPr>
          <w:rFonts w:cs="Calibri"/>
          <w:b/>
          <w:bCs/>
        </w:rPr>
      </w:pPr>
      <w:r w:rsidR="00DB3526">
        <w:rPr>
          <w:rFonts w:cs="Calibri"/>
          <w:b/>
          <w:bCs/>
          <w:caps/>
        </w:rPr>
        <w:t>IV.</w:t>
      </w:r>
      <w:r w:rsidRPr="00B55394">
        <w:rPr>
          <w:rFonts w:cs="Calibri"/>
          <w:b/>
          <w:bCs/>
          <w:caps/>
        </w:rPr>
        <w:t xml:space="preserve"> </w:t>
      </w:r>
      <w:r w:rsidRPr="00B55394">
        <w:rPr>
          <w:rFonts w:cs="Calibri"/>
          <w:b/>
          <w:bCs/>
        </w:rPr>
        <w:t>volebné obdobie</w:t>
      </w:r>
    </w:p>
    <w:p w:rsidR="00E45AE7" w:rsidP="00E45AE7">
      <w:pPr>
        <w:pStyle w:val="BodyText"/>
        <w:rPr>
          <w:rFonts w:cs="Calibri"/>
          <w:b w:val="0"/>
          <w:bCs w:val="0"/>
        </w:rPr>
      </w:pPr>
    </w:p>
    <w:p w:rsidR="00E45AE7" w:rsidRPr="00E36B76" w:rsidP="00E45AE7">
      <w:pPr>
        <w:pStyle w:val="BodyText"/>
        <w:rPr>
          <w:rFonts w:cs="Calibri"/>
          <w:b w:val="0"/>
          <w:bCs w:val="0"/>
        </w:rPr>
      </w:pPr>
      <w:r w:rsidRPr="00E36B76">
        <w:rPr>
          <w:rFonts w:cs="Calibri"/>
          <w:b w:val="0"/>
          <w:bCs w:val="0"/>
        </w:rPr>
        <w:t>(Návrh)</w:t>
      </w:r>
    </w:p>
    <w:p w:rsidR="00E45AE7" w:rsidP="00E45AE7">
      <w:pPr>
        <w:pStyle w:val="BodyText"/>
        <w:rPr>
          <w:rFonts w:cs="Calibri"/>
        </w:rPr>
      </w:pPr>
    </w:p>
    <w:p w:rsidR="00E45AE7" w:rsidP="00E45AE7">
      <w:pPr>
        <w:pStyle w:val="BodyText"/>
        <w:rPr>
          <w:rFonts w:cs="Calibri"/>
        </w:rPr>
      </w:pPr>
      <w:r>
        <w:rPr>
          <w:rFonts w:cs="Calibri"/>
        </w:rPr>
        <w:t>ZÁKON</w:t>
      </w:r>
    </w:p>
    <w:p w:rsidR="00E45AE7" w:rsidP="00E45AE7">
      <w:pPr>
        <w:pStyle w:val="BodyText"/>
        <w:rPr>
          <w:rFonts w:cs="Calibri"/>
        </w:rPr>
      </w:pPr>
    </w:p>
    <w:p w:rsidR="00E45AE7" w:rsidP="00E45AE7">
      <w:pPr>
        <w:pStyle w:val="BodyText"/>
        <w:rPr>
          <w:rFonts w:cs="Calibri"/>
        </w:rPr>
      </w:pPr>
      <w:r>
        <w:rPr>
          <w:rFonts w:cs="Calibri"/>
        </w:rPr>
        <w:t>z ........... 2006</w:t>
      </w:r>
    </w:p>
    <w:p w:rsidR="00E45AE7" w:rsidP="00E45AE7">
      <w:pPr>
        <w:pStyle w:val="BodyText"/>
        <w:rPr>
          <w:rFonts w:cs="Calibri"/>
        </w:rPr>
      </w:pPr>
    </w:p>
    <w:p w:rsidR="00E45AE7" w:rsidP="00DB3526">
      <w:pPr>
        <w:pStyle w:val="BodyText"/>
        <w:rPr>
          <w:rFonts w:cs="Calibri"/>
        </w:rPr>
      </w:pPr>
      <w:r>
        <w:rPr>
          <w:rFonts w:cs="Calibri"/>
        </w:rPr>
        <w:t xml:space="preserve">ktorým sa mení a dopĺňa zákon č. 301/2005 Z. z. Trestný poriadok v znení </w:t>
      </w:r>
      <w:r w:rsidR="00A92C9A">
        <w:rPr>
          <w:rFonts w:cs="Calibri"/>
        </w:rPr>
        <w:t>zákona č. 650/2005 Z. z.</w:t>
      </w:r>
    </w:p>
    <w:p w:rsidR="00E45AE7" w:rsidP="00E45AE7">
      <w:pPr>
        <w:pStyle w:val="BodyText"/>
        <w:jc w:val="both"/>
        <w:rPr>
          <w:rFonts w:cs="Calibri"/>
          <w:b w:val="0"/>
        </w:rPr>
      </w:pPr>
      <w:r>
        <w:rPr>
          <w:rFonts w:cs="Calibri"/>
          <w:b w:val="0"/>
        </w:rPr>
        <w:br/>
        <w:tab/>
        <w:tab/>
      </w:r>
    </w:p>
    <w:p w:rsidR="00E45AE7" w:rsidP="00DB3526">
      <w:pPr>
        <w:pStyle w:val="BodyText"/>
        <w:jc w:val="both"/>
        <w:rPr>
          <w:rFonts w:cs="Calibri"/>
          <w:b w:val="0"/>
        </w:rPr>
      </w:pPr>
      <w:r>
        <w:rPr>
          <w:rFonts w:cs="Calibri"/>
          <w:b w:val="0"/>
        </w:rPr>
        <w:t>Národná rada Slovenskej republiky sa uzniesla na tomto zákon</w:t>
      </w:r>
      <w:r>
        <w:rPr>
          <w:rFonts w:cs="Calibri"/>
          <w:b w:val="0"/>
        </w:rPr>
        <w:t>e:</w:t>
      </w:r>
    </w:p>
    <w:p w:rsidR="00E45AE7" w:rsidP="00E45AE7">
      <w:pPr>
        <w:pStyle w:val="BodyText"/>
        <w:jc w:val="left"/>
        <w:rPr>
          <w:rFonts w:cs="Calibri"/>
          <w:b w:val="0"/>
        </w:rPr>
      </w:pPr>
    </w:p>
    <w:p w:rsidR="00E45AE7" w:rsidP="00E45AE7">
      <w:pPr>
        <w:pStyle w:val="BodyText"/>
        <w:jc w:val="left"/>
        <w:rPr>
          <w:rFonts w:cs="Calibri"/>
          <w:b w:val="0"/>
        </w:rPr>
      </w:pPr>
    </w:p>
    <w:p w:rsidR="00E45AE7" w:rsidP="00E45AE7">
      <w:pPr>
        <w:pStyle w:val="BodyText"/>
        <w:rPr>
          <w:rFonts w:cs="Calibri"/>
        </w:rPr>
      </w:pPr>
      <w:r>
        <w:rPr>
          <w:rFonts w:cs="Calibri"/>
        </w:rPr>
        <w:t>Čl. I</w:t>
      </w:r>
    </w:p>
    <w:p w:rsidR="00E45AE7" w:rsidP="00E45AE7">
      <w:pPr>
        <w:pStyle w:val="BodyText"/>
        <w:rPr>
          <w:rFonts w:cs="Calibri"/>
        </w:rPr>
      </w:pPr>
    </w:p>
    <w:p w:rsidR="00E45AE7" w:rsidP="00DB3526">
      <w:pPr>
        <w:pStyle w:val="BodyText"/>
        <w:ind w:firstLine="708"/>
        <w:jc w:val="both"/>
        <w:rPr>
          <w:rFonts w:cs="Calibri"/>
          <w:b w:val="0"/>
        </w:rPr>
      </w:pPr>
      <w:r>
        <w:rPr>
          <w:rFonts w:cs="Calibri"/>
          <w:b w:val="0"/>
        </w:rPr>
        <w:t xml:space="preserve">Zákon č. </w:t>
      </w:r>
      <w:r w:rsidR="00A92C9A">
        <w:rPr>
          <w:rFonts w:cs="Calibri"/>
          <w:b w:val="0"/>
        </w:rPr>
        <w:t>301</w:t>
      </w:r>
      <w:r>
        <w:rPr>
          <w:rFonts w:cs="Calibri"/>
          <w:b w:val="0"/>
        </w:rPr>
        <w:t>/200</w:t>
      </w:r>
      <w:r w:rsidR="00A92C9A">
        <w:rPr>
          <w:rFonts w:cs="Calibri"/>
          <w:b w:val="0"/>
        </w:rPr>
        <w:t>5</w:t>
      </w:r>
      <w:r>
        <w:rPr>
          <w:rFonts w:cs="Calibri"/>
          <w:b w:val="0"/>
        </w:rPr>
        <w:t xml:space="preserve"> Z.z. </w:t>
      </w:r>
      <w:r w:rsidR="00A92C9A">
        <w:rPr>
          <w:rFonts w:cs="Calibri"/>
          <w:b w:val="0"/>
        </w:rPr>
        <w:t xml:space="preserve">Trestný poriadok v znení zákona č. 650/2005 Z. z. </w:t>
      </w:r>
      <w:r>
        <w:rPr>
          <w:rFonts w:cs="Calibri"/>
          <w:b w:val="0"/>
        </w:rPr>
        <w:t xml:space="preserve">sa mení a dopĺňa takto:  </w:t>
      </w:r>
    </w:p>
    <w:p w:rsidR="00E45AE7" w:rsidP="00E45AE7">
      <w:pPr>
        <w:pStyle w:val="BodyText"/>
        <w:ind w:firstLine="340"/>
        <w:jc w:val="both"/>
        <w:rPr>
          <w:rFonts w:cs="Calibri"/>
          <w:b w:val="0"/>
        </w:rPr>
      </w:pPr>
    </w:p>
    <w:p w:rsidR="00E45AE7" w:rsidP="00E45AE7">
      <w:pPr>
        <w:pStyle w:val="BodyText"/>
        <w:ind w:firstLine="340"/>
        <w:jc w:val="both"/>
        <w:rPr>
          <w:rFonts w:cs="Calibri"/>
          <w:b w:val="0"/>
        </w:rPr>
      </w:pPr>
    </w:p>
    <w:p w:rsidR="00BF41FF" w:rsidP="00E45AE7">
      <w:pPr>
        <w:pStyle w:val="BodyText"/>
        <w:numPr>
          <w:ilvl w:val="0"/>
          <w:numId w:val="13"/>
        </w:numPr>
        <w:tabs>
          <w:tab w:val="left" w:pos="720"/>
        </w:tabs>
        <w:jc w:val="both"/>
        <w:rPr>
          <w:rFonts w:cs="Calibri"/>
          <w:b w:val="0"/>
        </w:rPr>
      </w:pPr>
      <w:r w:rsidR="00E45AE7">
        <w:rPr>
          <w:rFonts w:cs="Calibri"/>
          <w:b w:val="0"/>
        </w:rPr>
        <w:t xml:space="preserve">V § </w:t>
      </w:r>
      <w:r>
        <w:rPr>
          <w:rFonts w:cs="Calibri"/>
          <w:b w:val="0"/>
        </w:rPr>
        <w:t>14</w:t>
      </w:r>
      <w:r w:rsidR="00E45AE7">
        <w:rPr>
          <w:rFonts w:cs="Calibri"/>
          <w:b w:val="0"/>
        </w:rPr>
        <w:t xml:space="preserve"> ods. </w:t>
      </w:r>
      <w:r>
        <w:rPr>
          <w:rFonts w:cs="Calibri"/>
          <w:b w:val="0"/>
        </w:rPr>
        <w:t>2</w:t>
      </w:r>
      <w:r w:rsidR="00E45AE7">
        <w:rPr>
          <w:rFonts w:cs="Calibri"/>
          <w:b w:val="0"/>
        </w:rPr>
        <w:t xml:space="preserve"> písmeno a)</w:t>
      </w:r>
      <w:r>
        <w:rPr>
          <w:rFonts w:cs="Calibri"/>
          <w:b w:val="0"/>
        </w:rPr>
        <w:t xml:space="preserve"> znie:</w:t>
      </w:r>
    </w:p>
    <w:p w:rsidR="00E45AE7" w:rsidP="00BF41FF">
      <w:pPr>
        <w:pStyle w:val="BodyText"/>
        <w:ind w:left="720"/>
        <w:jc w:val="both"/>
        <w:rPr>
          <w:rFonts w:cs="Calibri"/>
          <w:b w:val="0"/>
        </w:rPr>
      </w:pPr>
      <w:r w:rsidR="00BF41FF">
        <w:rPr>
          <w:rFonts w:cs="Calibri"/>
          <w:b w:val="0"/>
        </w:rPr>
        <w:t>„a) trestný čin prijímania úplatku</w:t>
      </w:r>
      <w:r w:rsidR="009F4F04">
        <w:rPr>
          <w:rFonts w:cs="Calibri"/>
          <w:b w:val="0"/>
        </w:rPr>
        <w:t>,</w:t>
      </w:r>
      <w:r w:rsidR="00BF41FF">
        <w:rPr>
          <w:rFonts w:cs="Calibri"/>
          <w:b w:val="0"/>
        </w:rPr>
        <w:t xml:space="preserve"> trestný čin podplácania</w:t>
      </w:r>
      <w:r w:rsidR="009F4F04">
        <w:rPr>
          <w:rFonts w:cs="Calibri"/>
          <w:b w:val="0"/>
        </w:rPr>
        <w:t xml:space="preserve"> a trestný čin nepriamej korupcie</w:t>
      </w:r>
      <w:r w:rsidR="00BF41FF">
        <w:rPr>
          <w:rFonts w:cs="Calibri"/>
          <w:b w:val="0"/>
        </w:rPr>
        <w:t>,“.</w:t>
      </w:r>
    </w:p>
    <w:p w:rsidR="00BF41FF" w:rsidP="00BF41FF">
      <w:pPr>
        <w:pStyle w:val="BodyText"/>
        <w:ind w:left="720"/>
        <w:jc w:val="both"/>
        <w:rPr>
          <w:rFonts w:cs="Calibri"/>
          <w:b w:val="0"/>
        </w:rPr>
      </w:pPr>
    </w:p>
    <w:p w:rsidR="00E45AE7" w:rsidP="00E45AE7">
      <w:pPr>
        <w:pStyle w:val="BodyText"/>
        <w:ind w:left="340" w:hanging="340"/>
        <w:jc w:val="both"/>
        <w:rPr>
          <w:rFonts w:cs="Calibri"/>
          <w:b w:val="0"/>
        </w:rPr>
      </w:pPr>
    </w:p>
    <w:p w:rsidR="00E45AE7" w:rsidP="00E45AE7">
      <w:pPr>
        <w:pStyle w:val="BodyText"/>
        <w:numPr>
          <w:ilvl w:val="0"/>
          <w:numId w:val="13"/>
        </w:numPr>
        <w:tabs>
          <w:tab w:val="left" w:pos="720"/>
        </w:tabs>
        <w:jc w:val="both"/>
        <w:rPr>
          <w:rFonts w:cs="Calibri"/>
          <w:b w:val="0"/>
        </w:rPr>
      </w:pPr>
      <w:r>
        <w:rPr>
          <w:rFonts w:cs="Calibri"/>
          <w:b w:val="0"/>
        </w:rPr>
        <w:t xml:space="preserve">V § </w:t>
      </w:r>
      <w:r w:rsidR="00BF41FF">
        <w:rPr>
          <w:rFonts w:cs="Calibri"/>
          <w:b w:val="0"/>
        </w:rPr>
        <w:t>14</w:t>
      </w:r>
      <w:r>
        <w:rPr>
          <w:rFonts w:cs="Calibri"/>
          <w:b w:val="0"/>
        </w:rPr>
        <w:t xml:space="preserve"> ods. </w:t>
      </w:r>
      <w:r w:rsidR="00BF41FF">
        <w:rPr>
          <w:rFonts w:cs="Calibri"/>
          <w:b w:val="0"/>
        </w:rPr>
        <w:t xml:space="preserve">2 </w:t>
      </w:r>
      <w:r w:rsidR="00BF41FF">
        <w:rPr>
          <w:rFonts w:cs="Calibri"/>
          <w:b w:val="0"/>
        </w:rPr>
        <w:t>sa za písmeno e</w:t>
      </w:r>
      <w:r>
        <w:rPr>
          <w:rFonts w:cs="Calibri"/>
          <w:b w:val="0"/>
        </w:rPr>
        <w:t>) vklad</w:t>
      </w:r>
      <w:r w:rsidR="00AB26DF">
        <w:rPr>
          <w:rFonts w:cs="Calibri"/>
          <w:b w:val="0"/>
        </w:rPr>
        <w:t>ajú nové písmená</w:t>
      </w:r>
      <w:r>
        <w:rPr>
          <w:rFonts w:cs="Calibri"/>
          <w:b w:val="0"/>
        </w:rPr>
        <w:t xml:space="preserve"> </w:t>
      </w:r>
      <w:r w:rsidR="00BF41FF">
        <w:rPr>
          <w:rFonts w:cs="Calibri"/>
          <w:b w:val="0"/>
        </w:rPr>
        <w:t>f</w:t>
      </w:r>
      <w:r>
        <w:rPr>
          <w:rFonts w:cs="Calibri"/>
          <w:b w:val="0"/>
        </w:rPr>
        <w:t>)</w:t>
      </w:r>
      <w:r w:rsidR="00634607">
        <w:rPr>
          <w:rFonts w:cs="Calibri"/>
          <w:b w:val="0"/>
        </w:rPr>
        <w:t xml:space="preserve"> a g)</w:t>
      </w:r>
      <w:r>
        <w:rPr>
          <w:rFonts w:cs="Calibri"/>
          <w:b w:val="0"/>
        </w:rPr>
        <w:t>, ktoré zn</w:t>
      </w:r>
      <w:r w:rsidR="00634607">
        <w:rPr>
          <w:rFonts w:cs="Calibri"/>
          <w:b w:val="0"/>
        </w:rPr>
        <w:t>ejú</w:t>
      </w:r>
      <w:r>
        <w:rPr>
          <w:rFonts w:cs="Calibri"/>
          <w:b w:val="0"/>
        </w:rPr>
        <w:t>:</w:t>
      </w:r>
    </w:p>
    <w:p w:rsidR="00E45AE7" w:rsidP="00E45AE7">
      <w:pPr>
        <w:pStyle w:val="BodyText"/>
        <w:ind w:left="708"/>
        <w:jc w:val="both"/>
        <w:rPr>
          <w:rFonts w:cs="Calibri"/>
          <w:b w:val="0"/>
        </w:rPr>
      </w:pPr>
      <w:r>
        <w:rPr>
          <w:rFonts w:cs="Calibri"/>
          <w:b w:val="0"/>
        </w:rPr>
        <w:t>„</w:t>
      </w:r>
      <w:r w:rsidR="00BF41FF">
        <w:rPr>
          <w:rFonts w:cs="Calibri"/>
          <w:b w:val="0"/>
        </w:rPr>
        <w:t>f</w:t>
      </w:r>
      <w:r>
        <w:rPr>
          <w:rFonts w:cs="Calibri"/>
          <w:b w:val="0"/>
        </w:rPr>
        <w:t>)</w:t>
      </w:r>
      <w:r w:rsidR="00BF41FF">
        <w:rPr>
          <w:rFonts w:cs="Calibri"/>
          <w:b w:val="0"/>
        </w:rPr>
        <w:t xml:space="preserve"> trestný čin úkladnej vraždy,</w:t>
      </w:r>
    </w:p>
    <w:p w:rsidR="00634607" w:rsidRPr="00634607" w:rsidP="00634607">
      <w:pPr>
        <w:pStyle w:val="BodyText"/>
        <w:ind w:left="708"/>
        <w:jc w:val="both"/>
        <w:rPr>
          <w:rFonts w:cs="Calibri"/>
          <w:b w:val="0"/>
        </w:rPr>
      </w:pPr>
      <w:r>
        <w:rPr>
          <w:rFonts w:cs="Calibri"/>
          <w:b w:val="0"/>
        </w:rPr>
        <w:t xml:space="preserve"> g) trestný čin falšovania</w:t>
      </w:r>
      <w:r w:rsidRPr="00634607">
        <w:rPr>
          <w:rFonts w:cs="Calibri"/>
          <w:b w:val="0"/>
        </w:rPr>
        <w:t>, pozmeňovani</w:t>
      </w:r>
      <w:r>
        <w:rPr>
          <w:rFonts w:cs="Calibri"/>
          <w:b w:val="0"/>
        </w:rPr>
        <w:t>a a neoprávnenej</w:t>
      </w:r>
      <w:r w:rsidRPr="00634607">
        <w:rPr>
          <w:rFonts w:cs="Calibri"/>
          <w:b w:val="0"/>
        </w:rPr>
        <w:t xml:space="preserve"> výrob</w:t>
      </w:r>
      <w:r>
        <w:rPr>
          <w:rFonts w:cs="Calibri"/>
          <w:b w:val="0"/>
        </w:rPr>
        <w:t>y</w:t>
      </w:r>
      <w:r w:rsidRPr="00634607">
        <w:rPr>
          <w:rFonts w:cs="Calibri"/>
          <w:b w:val="0"/>
        </w:rPr>
        <w:t xml:space="preserve"> peňazí a cenných papierov</w:t>
      </w:r>
      <w:r>
        <w:rPr>
          <w:rFonts w:cs="Calibri"/>
          <w:b w:val="0"/>
        </w:rPr>
        <w:t xml:space="preserve"> a trestný čin u</w:t>
      </w:r>
      <w:r w:rsidRPr="00634607">
        <w:rPr>
          <w:rFonts w:cs="Calibri"/>
          <w:b w:val="0"/>
        </w:rPr>
        <w:t>vádzani</w:t>
      </w:r>
      <w:r>
        <w:rPr>
          <w:rFonts w:cs="Calibri"/>
          <w:b w:val="0"/>
        </w:rPr>
        <w:t>a</w:t>
      </w:r>
      <w:r w:rsidRPr="00634607">
        <w:rPr>
          <w:rFonts w:cs="Calibri"/>
          <w:b w:val="0"/>
        </w:rPr>
        <w:t xml:space="preserve"> falšovaných, pozmenených a neoprávnene vyrobených peňazí</w:t>
      </w:r>
      <w:r w:rsidR="000C31C5">
        <w:rPr>
          <w:rFonts w:cs="Calibri"/>
          <w:b w:val="0"/>
        </w:rPr>
        <w:t xml:space="preserve"> </w:t>
      </w:r>
      <w:r w:rsidRPr="00634607">
        <w:rPr>
          <w:rFonts w:cs="Calibri"/>
          <w:b w:val="0"/>
        </w:rPr>
        <w:t>a cenných papierov</w:t>
      </w:r>
      <w:r>
        <w:rPr>
          <w:rFonts w:cs="Calibri"/>
          <w:b w:val="0"/>
        </w:rPr>
        <w:t xml:space="preserve"> podľa podľa § 271 ods. 1</w:t>
      </w:r>
      <w:r w:rsidR="00AB26DF">
        <w:rPr>
          <w:rFonts w:cs="Calibri"/>
          <w:b w:val="0"/>
        </w:rPr>
        <w:t xml:space="preserve"> Trestného zákona</w:t>
      </w:r>
      <w:r>
        <w:rPr>
          <w:rFonts w:cs="Calibri"/>
          <w:b w:val="0"/>
        </w:rPr>
        <w:t>,“</w:t>
      </w:r>
    </w:p>
    <w:p w:rsidR="00E45AE7" w:rsidP="00E45AE7">
      <w:pPr>
        <w:pStyle w:val="BodyText"/>
        <w:ind w:left="340" w:hanging="340"/>
        <w:jc w:val="both"/>
        <w:rPr>
          <w:rFonts w:cs="Calibri"/>
          <w:b w:val="0"/>
        </w:rPr>
      </w:pPr>
    </w:p>
    <w:p w:rsidR="00E45AE7" w:rsidP="00E45AE7">
      <w:pPr>
        <w:pStyle w:val="BodyText"/>
        <w:ind w:left="397" w:hanging="397"/>
        <w:jc w:val="both"/>
        <w:rPr>
          <w:rFonts w:cs="Calibri"/>
          <w:b w:val="0"/>
        </w:rPr>
      </w:pPr>
      <w:r>
        <w:rPr>
          <w:rFonts w:cs="Calibri"/>
          <w:b w:val="0"/>
        </w:rPr>
        <w:tab/>
        <w:t xml:space="preserve"> </w:t>
        <w:tab/>
      </w:r>
      <w:r w:rsidR="00D93A42">
        <w:rPr>
          <w:rFonts w:cs="Calibri"/>
          <w:b w:val="0"/>
        </w:rPr>
        <w:t>Doterajšie písmeno f</w:t>
      </w:r>
      <w:r>
        <w:rPr>
          <w:rFonts w:cs="Calibri"/>
          <w:b w:val="0"/>
        </w:rPr>
        <w:t>) sa označuj</w:t>
      </w:r>
      <w:r w:rsidR="00D93A42">
        <w:rPr>
          <w:rFonts w:cs="Calibri"/>
          <w:b w:val="0"/>
        </w:rPr>
        <w:t>e ako písmeno</w:t>
      </w:r>
      <w:r>
        <w:rPr>
          <w:rFonts w:cs="Calibri"/>
          <w:b w:val="0"/>
        </w:rPr>
        <w:t xml:space="preserve"> </w:t>
      </w:r>
      <w:r w:rsidR="00634607">
        <w:rPr>
          <w:rFonts w:cs="Calibri"/>
          <w:b w:val="0"/>
        </w:rPr>
        <w:t>h</w:t>
      </w:r>
      <w:r>
        <w:rPr>
          <w:rFonts w:cs="Calibri"/>
          <w:b w:val="0"/>
        </w:rPr>
        <w:t>).</w:t>
      </w:r>
    </w:p>
    <w:p w:rsidR="00E45AE7" w:rsidRPr="00FC2F77" w:rsidP="00E45AE7">
      <w:pPr>
        <w:pStyle w:val="BodyText"/>
        <w:jc w:val="both"/>
        <w:rPr>
          <w:rFonts w:cs="Calibri"/>
          <w:b w:val="0"/>
        </w:rPr>
      </w:pPr>
      <w:r>
        <w:rPr>
          <w:rFonts w:cs="Calibri"/>
          <w:b w:val="0"/>
        </w:rPr>
        <w:tab/>
        <w:tab/>
        <w:tab/>
      </w:r>
    </w:p>
    <w:p w:rsidR="00A95E43" w:rsidP="00E45AE7">
      <w:pPr>
        <w:pStyle w:val="BodyText"/>
        <w:numPr>
          <w:ilvl w:val="0"/>
          <w:numId w:val="13"/>
        </w:numPr>
        <w:tabs>
          <w:tab w:val="left" w:pos="720"/>
        </w:tabs>
        <w:jc w:val="both"/>
        <w:rPr>
          <w:rFonts w:cs="Calibri"/>
          <w:b w:val="0"/>
        </w:rPr>
      </w:pPr>
      <w:r w:rsidRPr="00A95E43" w:rsidR="007D1203">
        <w:rPr>
          <w:rFonts w:cs="Calibri"/>
          <w:b w:val="0"/>
        </w:rPr>
        <w:t>V § 14</w:t>
      </w:r>
      <w:r w:rsidRPr="00A95E43" w:rsidR="00E45AE7">
        <w:rPr>
          <w:rFonts w:cs="Calibri"/>
          <w:b w:val="0"/>
        </w:rPr>
        <w:t xml:space="preserve"> odsek </w:t>
      </w:r>
      <w:r w:rsidRPr="00A95E43" w:rsidR="007D1203">
        <w:rPr>
          <w:rFonts w:cs="Calibri"/>
          <w:b w:val="0"/>
        </w:rPr>
        <w:t xml:space="preserve">2 písm. </w:t>
      </w:r>
      <w:r w:rsidR="00634607">
        <w:rPr>
          <w:rFonts w:cs="Calibri"/>
          <w:b w:val="0"/>
        </w:rPr>
        <w:t>h</w:t>
      </w:r>
      <w:r w:rsidRPr="00A95E43" w:rsidR="007D1203">
        <w:rPr>
          <w:rFonts w:cs="Calibri"/>
          <w:b w:val="0"/>
        </w:rPr>
        <w:t>)</w:t>
      </w:r>
      <w:r w:rsidRPr="00A95E43" w:rsidR="00E45AE7">
        <w:rPr>
          <w:rFonts w:cs="Calibri"/>
          <w:b w:val="0"/>
        </w:rPr>
        <w:t xml:space="preserve"> </w:t>
      </w:r>
      <w:r w:rsidRPr="00A95E43" w:rsidR="007D1203">
        <w:rPr>
          <w:rFonts w:cs="Calibri"/>
          <w:b w:val="0"/>
        </w:rPr>
        <w:t xml:space="preserve">sa </w:t>
      </w:r>
      <w:r w:rsidRPr="00A95E43">
        <w:rPr>
          <w:rFonts w:cs="Calibri"/>
          <w:b w:val="0"/>
        </w:rPr>
        <w:t>slová</w:t>
      </w:r>
      <w:r w:rsidRPr="00A95E43" w:rsidR="007D1203">
        <w:rPr>
          <w:rFonts w:cs="Calibri"/>
          <w:b w:val="0"/>
        </w:rPr>
        <w:t xml:space="preserve"> „d</w:t>
      </w:r>
      <w:r w:rsidRPr="00A95E43">
        <w:rPr>
          <w:rFonts w:cs="Calibri"/>
          <w:b w:val="0"/>
        </w:rPr>
        <w:t>) alebo e)</w:t>
      </w:r>
      <w:r w:rsidRPr="00A95E43" w:rsidR="007D1203">
        <w:rPr>
          <w:rFonts w:cs="Calibri"/>
          <w:b w:val="0"/>
        </w:rPr>
        <w:t xml:space="preserve">“ </w:t>
      </w:r>
      <w:r w:rsidRPr="00A95E43">
        <w:rPr>
          <w:rFonts w:cs="Calibri"/>
          <w:b w:val="0"/>
        </w:rPr>
        <w:t xml:space="preserve">nahrádzajú slovami </w:t>
      </w:r>
      <w:r w:rsidRPr="00A95E43" w:rsidR="007D1203">
        <w:rPr>
          <w:rFonts w:cs="Calibri"/>
          <w:b w:val="0"/>
        </w:rPr>
        <w:t>„</w:t>
      </w:r>
      <w:r w:rsidRPr="00A95E43">
        <w:rPr>
          <w:rFonts w:cs="Calibri"/>
          <w:b w:val="0"/>
        </w:rPr>
        <w:t xml:space="preserve">d), </w:t>
      </w:r>
      <w:r w:rsidRPr="00A95E43" w:rsidR="007D1203">
        <w:rPr>
          <w:rFonts w:cs="Calibri"/>
          <w:b w:val="0"/>
        </w:rPr>
        <w:t>e)</w:t>
      </w:r>
      <w:r w:rsidR="00634607">
        <w:rPr>
          <w:rFonts w:cs="Calibri"/>
          <w:b w:val="0"/>
        </w:rPr>
        <w:t>, f)</w:t>
      </w:r>
      <w:r w:rsidRPr="00A95E43">
        <w:rPr>
          <w:rFonts w:cs="Calibri"/>
          <w:b w:val="0"/>
        </w:rPr>
        <w:t xml:space="preserve"> alebo </w:t>
      </w:r>
      <w:r w:rsidR="00664A0D">
        <w:rPr>
          <w:rFonts w:cs="Calibri"/>
          <w:b w:val="0"/>
        </w:rPr>
        <w:t>g</w:t>
      </w:r>
      <w:r w:rsidRPr="00A95E43">
        <w:rPr>
          <w:rFonts w:cs="Calibri"/>
          <w:b w:val="0"/>
        </w:rPr>
        <w:t>)</w:t>
      </w:r>
      <w:r w:rsidRPr="00A95E43" w:rsidR="007D1203">
        <w:rPr>
          <w:rFonts w:cs="Calibri"/>
          <w:b w:val="0"/>
        </w:rPr>
        <w:t>“</w:t>
      </w:r>
      <w:r>
        <w:rPr>
          <w:rFonts w:cs="Calibri"/>
          <w:b w:val="0"/>
        </w:rPr>
        <w:t>.</w:t>
      </w:r>
    </w:p>
    <w:p w:rsidR="004A4AF2" w:rsidP="004A4AF2">
      <w:pPr>
        <w:pStyle w:val="BodyText"/>
        <w:ind w:left="360"/>
        <w:jc w:val="both"/>
        <w:rPr>
          <w:rFonts w:cs="Calibri"/>
          <w:b w:val="0"/>
        </w:rPr>
      </w:pPr>
    </w:p>
    <w:p w:rsidR="004A4AF2" w:rsidP="004A4AF2">
      <w:pPr>
        <w:pStyle w:val="BodyText"/>
        <w:numPr>
          <w:ilvl w:val="0"/>
          <w:numId w:val="13"/>
        </w:numPr>
        <w:tabs>
          <w:tab w:val="left" w:pos="720"/>
        </w:tabs>
        <w:jc w:val="both"/>
        <w:rPr>
          <w:rFonts w:cs="Calibri"/>
          <w:b w:val="0"/>
        </w:rPr>
      </w:pPr>
      <w:r>
        <w:rPr>
          <w:rFonts w:cs="Calibri"/>
          <w:b w:val="0"/>
        </w:rPr>
        <w:t>§ 3</w:t>
      </w:r>
      <w:r w:rsidR="000737CC">
        <w:rPr>
          <w:rFonts w:cs="Calibri"/>
          <w:b w:val="0"/>
        </w:rPr>
        <w:t>2</w:t>
      </w:r>
      <w:r>
        <w:rPr>
          <w:rFonts w:cs="Calibri"/>
          <w:b w:val="0"/>
        </w:rPr>
        <w:t xml:space="preserve"> ods. 7 znie:</w:t>
      </w:r>
    </w:p>
    <w:p w:rsidR="004A4AF2" w:rsidP="004A4AF2">
      <w:pPr>
        <w:pStyle w:val="BodyText"/>
        <w:ind w:left="708"/>
        <w:jc w:val="both"/>
        <w:rPr>
          <w:rFonts w:cs="Calibri"/>
          <w:b w:val="0"/>
        </w:rPr>
      </w:pPr>
      <w:r>
        <w:rPr>
          <w:rFonts w:cs="Calibri"/>
          <w:b w:val="0"/>
        </w:rPr>
        <w:t>„O námietke zaujatosti strany, ktorou sa namieta výlučne postup orgánu činného v trestnom konaní alebo súdu vo veci alebo ktorá je založená na tých istých dôvodoch, pre ktoré už raz bolo o takej námietke rozhodnuté alebo ktorá nebola vznesená bez meškania, sa nekoná.“</w:t>
      </w:r>
    </w:p>
    <w:p w:rsidR="004A4AF2" w:rsidP="004A4AF2">
      <w:pPr>
        <w:pStyle w:val="BodyText"/>
        <w:ind w:left="708"/>
        <w:jc w:val="both"/>
        <w:rPr>
          <w:rFonts w:cs="Calibri"/>
          <w:b w:val="0"/>
        </w:rPr>
      </w:pPr>
    </w:p>
    <w:p w:rsidR="004A4AF2" w:rsidP="004A4AF2">
      <w:pPr>
        <w:pStyle w:val="BodyText"/>
        <w:numPr>
          <w:ilvl w:val="0"/>
          <w:numId w:val="13"/>
        </w:numPr>
        <w:tabs>
          <w:tab w:val="left" w:pos="720"/>
        </w:tabs>
        <w:jc w:val="both"/>
        <w:rPr>
          <w:rFonts w:cs="Calibri"/>
          <w:b w:val="0"/>
        </w:rPr>
      </w:pPr>
      <w:r>
        <w:rPr>
          <w:rFonts w:cs="Calibri"/>
          <w:b w:val="0"/>
        </w:rPr>
        <w:t xml:space="preserve">V § 269 sa slovo „prečítajú“ nahrádza slovami „vykonajú tak, že sa prečíta ich podstatná časť“.     </w:t>
      </w:r>
    </w:p>
    <w:p w:rsidR="004A4AF2" w:rsidP="004A4AF2">
      <w:pPr>
        <w:pStyle w:val="BodyText"/>
        <w:ind w:left="360"/>
        <w:jc w:val="both"/>
        <w:rPr>
          <w:rFonts w:cs="Calibri"/>
          <w:b w:val="0"/>
        </w:rPr>
      </w:pPr>
      <w:r>
        <w:rPr>
          <w:rFonts w:cs="Calibri"/>
          <w:b w:val="0"/>
        </w:rPr>
        <w:t xml:space="preserve">               </w:t>
      </w:r>
    </w:p>
    <w:p w:rsidR="0044431F" w:rsidP="004A4AF2">
      <w:pPr>
        <w:pStyle w:val="BodyText"/>
        <w:ind w:left="360"/>
        <w:jc w:val="both"/>
        <w:rPr>
          <w:rFonts w:cs="Calibri"/>
          <w:b w:val="0"/>
        </w:rPr>
      </w:pPr>
    </w:p>
    <w:p w:rsidR="0044431F" w:rsidP="004A4AF2">
      <w:pPr>
        <w:pStyle w:val="BodyText"/>
        <w:ind w:left="360"/>
        <w:jc w:val="both"/>
        <w:rPr>
          <w:rFonts w:cs="Calibri"/>
          <w:b w:val="0"/>
        </w:rPr>
      </w:pPr>
    </w:p>
    <w:p w:rsidR="0044431F" w:rsidP="004A4AF2">
      <w:pPr>
        <w:pStyle w:val="BodyText"/>
        <w:ind w:left="360"/>
        <w:jc w:val="both"/>
        <w:rPr>
          <w:rFonts w:cs="Calibri"/>
          <w:b w:val="0"/>
        </w:rPr>
      </w:pPr>
    </w:p>
    <w:p w:rsidR="0044431F" w:rsidP="004A4AF2">
      <w:pPr>
        <w:pStyle w:val="BodyText"/>
        <w:ind w:left="360"/>
        <w:jc w:val="both"/>
        <w:rPr>
          <w:rFonts w:cs="Calibri"/>
          <w:b w:val="0"/>
        </w:rPr>
      </w:pPr>
    </w:p>
    <w:p w:rsidR="00E923F2" w:rsidP="00E45AE7">
      <w:pPr>
        <w:pStyle w:val="BodyText"/>
        <w:numPr>
          <w:ilvl w:val="0"/>
          <w:numId w:val="13"/>
        </w:numPr>
        <w:tabs>
          <w:tab w:val="left" w:pos="720"/>
        </w:tabs>
        <w:jc w:val="both"/>
        <w:rPr>
          <w:rFonts w:cs="Calibri"/>
          <w:b w:val="0"/>
        </w:rPr>
      </w:pPr>
      <w:r>
        <w:rPr>
          <w:rFonts w:cs="Calibri"/>
          <w:b w:val="0"/>
        </w:rPr>
        <w:t>Za § 567 sa vkladá nový § 567a, ktorý vrátane nadpisu znie:</w:t>
      </w:r>
    </w:p>
    <w:p w:rsidR="00E923F2" w:rsidRPr="00DB3526" w:rsidP="00DB3526">
      <w:pPr>
        <w:pStyle w:val="BodyText"/>
        <w:rPr>
          <w:rFonts w:cs="Calibri"/>
        </w:rPr>
      </w:pPr>
      <w:r>
        <w:rPr>
          <w:rFonts w:cs="Calibri"/>
          <w:b w:val="0"/>
        </w:rPr>
        <w:t>„</w:t>
      </w:r>
      <w:r w:rsidRPr="00DB3526">
        <w:rPr>
          <w:rFonts w:cs="Calibri"/>
        </w:rPr>
        <w:t>§ 567a</w:t>
      </w:r>
    </w:p>
    <w:p w:rsidR="00E923F2" w:rsidRPr="00DB3526" w:rsidP="00DB3526">
      <w:pPr>
        <w:pStyle w:val="BodyText"/>
        <w:ind w:firstLine="708"/>
        <w:rPr>
          <w:rFonts w:cs="Calibri"/>
        </w:rPr>
      </w:pPr>
      <w:r w:rsidRPr="00DB3526">
        <w:rPr>
          <w:rFonts w:cs="Calibri"/>
        </w:rPr>
        <w:t>Prechodné ustanovenia k úpravám účinným od 1. nove</w:t>
      </w:r>
      <w:r w:rsidRPr="00DB3526" w:rsidR="00DB3526">
        <w:rPr>
          <w:rFonts w:cs="Calibri"/>
        </w:rPr>
        <w:t>m</w:t>
      </w:r>
      <w:r w:rsidRPr="00DB3526">
        <w:rPr>
          <w:rFonts w:cs="Calibri"/>
        </w:rPr>
        <w:t>bra 2006</w:t>
      </w:r>
    </w:p>
    <w:p w:rsidR="00E923F2" w:rsidP="00E923F2">
      <w:pPr>
        <w:pStyle w:val="BodyText"/>
        <w:ind w:firstLine="708"/>
        <w:jc w:val="both"/>
        <w:rPr>
          <w:rFonts w:cs="Calibri"/>
          <w:b w:val="0"/>
        </w:rPr>
      </w:pPr>
    </w:p>
    <w:p w:rsidR="00DB3526" w:rsidP="000737CC">
      <w:pPr>
        <w:pStyle w:val="BodyText"/>
        <w:numPr>
          <w:ilvl w:val="0"/>
          <w:numId w:val="49"/>
        </w:numPr>
        <w:jc w:val="both"/>
        <w:rPr>
          <w:rFonts w:cs="Calibri"/>
          <w:b w:val="0"/>
        </w:rPr>
      </w:pPr>
      <w:r w:rsidRPr="00185CB7" w:rsidR="00E923F2">
        <w:rPr>
          <w:rFonts w:cs="Calibri"/>
          <w:b w:val="0"/>
        </w:rPr>
        <w:t>Vo veciach, ktoré patria do právomoci Špeciálneho súdu podľa § 14 ods. 2 písm. a), f)</w:t>
      </w:r>
      <w:r w:rsidR="00E22DDD">
        <w:rPr>
          <w:rFonts w:cs="Calibri"/>
          <w:b w:val="0"/>
        </w:rPr>
        <w:t>, g)</w:t>
      </w:r>
      <w:r w:rsidRPr="00185CB7" w:rsidR="00E923F2">
        <w:rPr>
          <w:rFonts w:cs="Calibri"/>
          <w:b w:val="0"/>
        </w:rPr>
        <w:t xml:space="preserve"> alebo </w:t>
      </w:r>
      <w:r w:rsidR="00E22DDD">
        <w:rPr>
          <w:rFonts w:cs="Calibri"/>
          <w:b w:val="0"/>
        </w:rPr>
        <w:t>h</w:t>
      </w:r>
      <w:r w:rsidRPr="00185CB7" w:rsidR="00E923F2">
        <w:rPr>
          <w:rFonts w:cs="Calibri"/>
          <w:b w:val="0"/>
        </w:rPr>
        <w:t xml:space="preserve">) </w:t>
      </w:r>
      <w:r>
        <w:rPr>
          <w:rFonts w:cs="Calibri"/>
          <w:b w:val="0"/>
        </w:rPr>
        <w:t xml:space="preserve">a </w:t>
      </w:r>
      <w:r w:rsidRPr="00185CB7" w:rsidR="00E923F2">
        <w:rPr>
          <w:rFonts w:cs="Calibri"/>
          <w:b w:val="0"/>
        </w:rPr>
        <w:t>v ktorých bolo začaté trestné stíhanie pred 1. novembrom 2006, je na konanie príslušný Úrad špeciálnej prokuratúry a Špeciálny súd, ak v odseku 2 nie je ustanovené in</w:t>
      </w:r>
      <w:r w:rsidRPr="00185CB7" w:rsidR="00E923F2">
        <w:rPr>
          <w:rFonts w:cs="Calibri"/>
          <w:b w:val="0"/>
        </w:rPr>
        <w:t>ak.</w:t>
      </w:r>
    </w:p>
    <w:p w:rsidR="00E923F2" w:rsidRPr="00185CB7" w:rsidP="00DB3526">
      <w:pPr>
        <w:pStyle w:val="BodyText"/>
        <w:numPr>
          <w:ilvl w:val="0"/>
          <w:numId w:val="49"/>
        </w:numPr>
        <w:jc w:val="both"/>
        <w:rPr>
          <w:rFonts w:cs="Calibri"/>
          <w:b w:val="0"/>
        </w:rPr>
      </w:pPr>
      <w:r w:rsidRPr="00185CB7">
        <w:rPr>
          <w:rFonts w:cs="Calibri"/>
          <w:b w:val="0"/>
        </w:rPr>
        <w:t xml:space="preserve">Konanie vo veciach, ktoré patria do právomoci Špeciálneho súdu podľa § 14 ods. 2 </w:t>
      </w:r>
      <w:r w:rsidR="00DB3526">
        <w:rPr>
          <w:rFonts w:cs="Calibri"/>
          <w:b w:val="0"/>
        </w:rPr>
        <w:t>p</w:t>
      </w:r>
      <w:r w:rsidRPr="00185CB7">
        <w:rPr>
          <w:rFonts w:cs="Calibri"/>
          <w:b w:val="0"/>
        </w:rPr>
        <w:t>ísm. a), f)</w:t>
      </w:r>
      <w:r w:rsidR="00E22DDD">
        <w:rPr>
          <w:rFonts w:cs="Calibri"/>
          <w:b w:val="0"/>
        </w:rPr>
        <w:t>, g) alebo h</w:t>
      </w:r>
      <w:r w:rsidRPr="00185CB7">
        <w:rPr>
          <w:rFonts w:cs="Calibri"/>
          <w:b w:val="0"/>
        </w:rPr>
        <w:t>)</w:t>
      </w:r>
      <w:r w:rsidR="00DB3526">
        <w:rPr>
          <w:rFonts w:cs="Calibri"/>
          <w:b w:val="0"/>
        </w:rPr>
        <w:t xml:space="preserve"> a</w:t>
      </w:r>
      <w:r w:rsidRPr="00185CB7">
        <w:rPr>
          <w:rFonts w:cs="Calibri"/>
          <w:b w:val="0"/>
        </w:rPr>
        <w:t xml:space="preserve"> v ktorých bola podaná obžaloba a bolo v nich do 1. novembra 2006 nariadené hlavné pojednávanie, sa dokončí podľa doterajších predpisov. </w:t>
      </w:r>
    </w:p>
    <w:p w:rsidR="00E45AE7" w:rsidRPr="00DB3526" w:rsidP="00DB3526">
      <w:pPr>
        <w:pStyle w:val="BodyText"/>
        <w:ind w:left="720"/>
        <w:jc w:val="both"/>
        <w:rPr>
          <w:rFonts w:cs="Calibri"/>
          <w:b w:val="0"/>
        </w:rPr>
      </w:pPr>
    </w:p>
    <w:p w:rsidR="00E45AE7" w:rsidP="00E45AE7">
      <w:pPr>
        <w:pStyle w:val="BodyText"/>
        <w:ind w:firstLine="708"/>
        <w:jc w:val="both"/>
        <w:rPr>
          <w:rFonts w:cs="Calibri"/>
        </w:rPr>
      </w:pPr>
    </w:p>
    <w:p w:rsidR="00E45AE7" w:rsidP="00E45AE7">
      <w:pPr>
        <w:pStyle w:val="BodyText"/>
        <w:rPr>
          <w:rFonts w:cs="Calibri"/>
        </w:rPr>
      </w:pPr>
      <w:r w:rsidR="00295FE9">
        <w:rPr>
          <w:rFonts w:cs="Calibri"/>
        </w:rPr>
        <w:t>Č</w:t>
      </w:r>
      <w:r w:rsidR="00DB3526">
        <w:rPr>
          <w:rFonts w:cs="Calibri"/>
        </w:rPr>
        <w:t>l</w:t>
      </w:r>
      <w:r w:rsidR="00295FE9">
        <w:rPr>
          <w:rFonts w:cs="Calibri"/>
        </w:rPr>
        <w:t xml:space="preserve">. </w:t>
      </w:r>
      <w:r w:rsidR="00295FE9">
        <w:rPr>
          <w:rFonts w:cs="Calibri"/>
        </w:rPr>
        <w:t>II</w:t>
      </w:r>
    </w:p>
    <w:p w:rsidR="00E45AE7" w:rsidRPr="00DB3526" w:rsidP="00E45AE7">
      <w:pPr>
        <w:pStyle w:val="BodyText"/>
        <w:jc w:val="left"/>
        <w:rPr>
          <w:rFonts w:cs="Calibri"/>
          <w:b w:val="0"/>
        </w:rPr>
      </w:pPr>
    </w:p>
    <w:p w:rsidR="000737CC" w:rsidP="00DB3526">
      <w:pPr>
        <w:pStyle w:val="BodyText"/>
        <w:ind w:firstLine="708"/>
        <w:jc w:val="left"/>
        <w:rPr>
          <w:rFonts w:cs="Calibri"/>
          <w:b w:val="0"/>
        </w:rPr>
      </w:pPr>
      <w:r w:rsidRPr="00DB3526" w:rsidR="00E45AE7">
        <w:rPr>
          <w:rFonts w:cs="Calibri"/>
          <w:b w:val="0"/>
        </w:rPr>
        <w:t xml:space="preserve">Tento zákon nadobúda účinnosť  1. </w:t>
      </w:r>
      <w:r w:rsidRPr="00DB3526" w:rsidR="001D1183">
        <w:rPr>
          <w:rFonts w:cs="Calibri"/>
          <w:b w:val="0"/>
        </w:rPr>
        <w:t>novembra</w:t>
      </w:r>
      <w:r w:rsidRPr="00DB3526" w:rsidR="00E45AE7">
        <w:rPr>
          <w:rFonts w:cs="Calibri"/>
          <w:b w:val="0"/>
        </w:rPr>
        <w:t xml:space="preserve"> 2006.</w:t>
      </w:r>
    </w:p>
    <w:p w:rsidR="00B7342D" w:rsidP="00DB3526">
      <w:pPr>
        <w:pStyle w:val="BodyText"/>
        <w:ind w:firstLine="708"/>
        <w:jc w:val="left"/>
        <w:rPr>
          <w:rFonts w:cs="Calibri"/>
          <w:b w:val="0"/>
        </w:rPr>
      </w:pPr>
      <w:r w:rsidR="000737CC">
        <w:rPr>
          <w:rFonts w:cs="Calibri"/>
          <w:b w:val="0"/>
        </w:rPr>
        <w:br w:type="page"/>
      </w:r>
    </w:p>
    <w:p w:rsidR="00B7342D" w:rsidP="0038334F">
      <w:pPr>
        <w:pStyle w:val="BodyText"/>
        <w:ind w:firstLine="708"/>
        <w:rPr>
          <w:rFonts w:cs="Calibri"/>
          <w:caps/>
        </w:rPr>
      </w:pPr>
      <w:r w:rsidRPr="0038334F" w:rsidR="0038334F">
        <w:rPr>
          <w:rFonts w:cs="Calibri"/>
          <w:caps/>
        </w:rPr>
        <w:t>Dôvodová správa</w:t>
      </w:r>
    </w:p>
    <w:p w:rsidR="00C67EDB" w:rsidP="0038334F">
      <w:pPr>
        <w:pStyle w:val="BodyText"/>
        <w:ind w:firstLine="708"/>
        <w:rPr>
          <w:rFonts w:cs="Calibri"/>
          <w:caps/>
        </w:rPr>
      </w:pPr>
    </w:p>
    <w:p w:rsidR="00C67EDB" w:rsidRPr="0038334F" w:rsidP="0038334F">
      <w:pPr>
        <w:pStyle w:val="BodyText"/>
        <w:ind w:firstLine="708"/>
        <w:rPr>
          <w:rFonts w:cs="Calibri"/>
          <w:caps/>
        </w:rPr>
      </w:pPr>
    </w:p>
    <w:p w:rsidR="0038334F" w:rsidRPr="00C67EDB" w:rsidP="0038334F">
      <w:pPr>
        <w:pStyle w:val="BodyText"/>
        <w:jc w:val="left"/>
        <w:rPr>
          <w:rFonts w:cs="Calibri"/>
          <w:caps/>
        </w:rPr>
      </w:pPr>
      <w:r w:rsidRPr="00C67EDB">
        <w:rPr>
          <w:rFonts w:cs="Calibri"/>
          <w:caps/>
        </w:rPr>
        <w:t>I. všeobecná časť</w:t>
      </w:r>
    </w:p>
    <w:p w:rsidR="0038334F" w:rsidP="0038334F">
      <w:pPr>
        <w:pStyle w:val="BodyText"/>
        <w:jc w:val="left"/>
        <w:rPr>
          <w:rFonts w:cs="Calibri"/>
        </w:rPr>
      </w:pPr>
    </w:p>
    <w:p w:rsidR="00F051A4" w:rsidP="0026293E">
      <w:pPr>
        <w:pStyle w:val="BodyText"/>
        <w:jc w:val="both"/>
        <w:rPr>
          <w:rFonts w:cs="Calibri"/>
          <w:b w:val="0"/>
        </w:rPr>
      </w:pPr>
      <w:r w:rsidRPr="0038334F" w:rsidR="0038334F">
        <w:rPr>
          <w:rFonts w:cs="Calibri"/>
          <w:b w:val="0"/>
        </w:rPr>
        <w:tab/>
        <w:t xml:space="preserve">Cieľom návrhu </w:t>
      </w:r>
      <w:r w:rsidR="0038334F">
        <w:rPr>
          <w:rFonts w:cs="Calibri"/>
          <w:b w:val="0"/>
        </w:rPr>
        <w:t xml:space="preserve">je rozšírenie pôsobnosti </w:t>
      </w:r>
      <w:r w:rsidR="00416AF6">
        <w:rPr>
          <w:rFonts w:cs="Calibri"/>
          <w:b w:val="0"/>
        </w:rPr>
        <w:t>Špeciálneho súdu o trestný čin prijímania úplatku</w:t>
      </w:r>
      <w:r w:rsidR="0038334F">
        <w:rPr>
          <w:rFonts w:cs="Calibri"/>
          <w:b w:val="0"/>
        </w:rPr>
        <w:t xml:space="preserve"> a podplácania aj v menej závažných prípadoch</w:t>
      </w:r>
      <w:r w:rsidR="00640E6C">
        <w:rPr>
          <w:rFonts w:cs="Calibri"/>
          <w:b w:val="0"/>
        </w:rPr>
        <w:t xml:space="preserve">, </w:t>
      </w:r>
      <w:r w:rsidR="0038334F">
        <w:rPr>
          <w:rFonts w:cs="Calibri"/>
          <w:b w:val="0"/>
        </w:rPr>
        <w:t xml:space="preserve">o trestný čin </w:t>
      </w:r>
      <w:r w:rsidR="003C31F7">
        <w:rPr>
          <w:rFonts w:cs="Calibri"/>
          <w:b w:val="0"/>
        </w:rPr>
        <w:t>nepriamej koru</w:t>
      </w:r>
      <w:r w:rsidR="003C31F7">
        <w:rPr>
          <w:rFonts w:cs="Calibri"/>
          <w:b w:val="0"/>
        </w:rPr>
        <w:t xml:space="preserve">pcie </w:t>
      </w:r>
      <w:r w:rsidR="000737CC">
        <w:rPr>
          <w:rFonts w:cs="Calibri"/>
          <w:b w:val="0"/>
        </w:rPr>
        <w:t xml:space="preserve">a </w:t>
      </w:r>
      <w:r w:rsidR="0038334F">
        <w:rPr>
          <w:rFonts w:cs="Calibri"/>
          <w:b w:val="0"/>
        </w:rPr>
        <w:t>úkladnej vraždy</w:t>
      </w:r>
      <w:r w:rsidR="00640E6C">
        <w:rPr>
          <w:rFonts w:cs="Calibri"/>
          <w:b w:val="0"/>
        </w:rPr>
        <w:t xml:space="preserve"> a najzávažnejšie trestné činy proti mene</w:t>
      </w:r>
      <w:r w:rsidR="0038334F">
        <w:rPr>
          <w:rFonts w:cs="Calibri"/>
          <w:b w:val="0"/>
        </w:rPr>
        <w:t xml:space="preserve">. </w:t>
      </w:r>
    </w:p>
    <w:p w:rsidR="001049E7" w:rsidP="0026293E">
      <w:pPr>
        <w:pStyle w:val="BodyText"/>
        <w:ind w:firstLine="708"/>
        <w:jc w:val="both"/>
        <w:rPr>
          <w:rFonts w:cs="Calibri"/>
          <w:b w:val="0"/>
        </w:rPr>
      </w:pPr>
    </w:p>
    <w:p w:rsidR="0038334F" w:rsidP="0026293E">
      <w:pPr>
        <w:pStyle w:val="BodyText"/>
        <w:ind w:firstLine="708"/>
        <w:jc w:val="both"/>
        <w:rPr>
          <w:rFonts w:cs="Calibri"/>
          <w:b w:val="0"/>
        </w:rPr>
      </w:pPr>
      <w:r w:rsidR="00F051A4">
        <w:rPr>
          <w:rFonts w:cs="Calibri"/>
          <w:b w:val="0"/>
        </w:rPr>
        <w:t>Pri trestných činoch korupcie je potrebné minimalizovať väzby, ktoré na lokálnej a regionálnej úrovni bránia nezávislému a nestrannému vyšetrovaniu a rozhodovaniu o korupčných prípadoch. Navrhuje sa, aby v jurisdikcii Špeciálneho súdu a Úradu špeciálnej prokuratúry bola aj menej závažná korupcia, pretože niekedy orgány prípravného konania podkvalifikujú skutok korupcie tak, že sa dostane mimo právomoc Špeciálneho súdu a Úradu špeciálnej prokuratúry.</w:t>
      </w:r>
    </w:p>
    <w:p w:rsidR="001049E7" w:rsidP="0026293E">
      <w:pPr>
        <w:pStyle w:val="BodyText"/>
        <w:ind w:firstLine="708"/>
        <w:jc w:val="both"/>
        <w:rPr>
          <w:rFonts w:cs="Calibri"/>
          <w:b w:val="0"/>
        </w:rPr>
      </w:pPr>
    </w:p>
    <w:p w:rsidR="00B7342D" w:rsidP="0026293E">
      <w:pPr>
        <w:pStyle w:val="BodyText"/>
        <w:ind w:firstLine="708"/>
        <w:jc w:val="both"/>
        <w:rPr>
          <w:rFonts w:cs="Calibri"/>
          <w:b w:val="0"/>
        </w:rPr>
      </w:pPr>
      <w:r w:rsidR="00F051A4">
        <w:rPr>
          <w:rFonts w:cs="Calibri"/>
          <w:b w:val="0"/>
        </w:rPr>
        <w:t xml:space="preserve">Trestný čin úkladnej vraždy je súčasťou nášho právneho poriadku len od 1. januára 2006. Preto nebolo možné zaradiť tento trestný čin do právomoci </w:t>
      </w:r>
      <w:r w:rsidR="00416AF6">
        <w:rPr>
          <w:rFonts w:cs="Calibri"/>
          <w:b w:val="0"/>
        </w:rPr>
        <w:t>Špeciáln</w:t>
      </w:r>
      <w:r w:rsidR="00F051A4">
        <w:rPr>
          <w:rFonts w:cs="Calibri"/>
          <w:b w:val="0"/>
        </w:rPr>
        <w:t>eho</w:t>
      </w:r>
      <w:r w:rsidR="00416AF6">
        <w:rPr>
          <w:rFonts w:cs="Calibri"/>
          <w:b w:val="0"/>
        </w:rPr>
        <w:t xml:space="preserve"> súd</w:t>
      </w:r>
      <w:r w:rsidR="00F051A4">
        <w:rPr>
          <w:rFonts w:cs="Calibri"/>
          <w:b w:val="0"/>
        </w:rPr>
        <w:t>u</w:t>
      </w:r>
      <w:r w:rsidR="00416AF6">
        <w:rPr>
          <w:rFonts w:cs="Calibri"/>
          <w:b w:val="0"/>
        </w:rPr>
        <w:t xml:space="preserve"> a Úrad</w:t>
      </w:r>
      <w:r w:rsidR="00F051A4">
        <w:rPr>
          <w:rFonts w:cs="Calibri"/>
          <w:b w:val="0"/>
        </w:rPr>
        <w:t>u</w:t>
      </w:r>
      <w:r w:rsidR="00416AF6">
        <w:rPr>
          <w:rFonts w:cs="Calibri"/>
          <w:b w:val="0"/>
        </w:rPr>
        <w:t xml:space="preserve"> špeciálnej prokuratúry</w:t>
      </w:r>
      <w:r w:rsidR="00F051A4">
        <w:rPr>
          <w:rFonts w:cs="Calibri"/>
          <w:b w:val="0"/>
        </w:rPr>
        <w:t xml:space="preserve"> v čase prijímania zákona o ich zriadení v roku 2003. Nakoľko tieto inštitúcie</w:t>
      </w:r>
      <w:r w:rsidR="00416AF6">
        <w:rPr>
          <w:rFonts w:cs="Calibri"/>
          <w:b w:val="0"/>
        </w:rPr>
        <w:t xml:space="preserve"> m</w:t>
      </w:r>
      <w:r>
        <w:rPr>
          <w:rFonts w:cs="Calibri"/>
          <w:b w:val="0"/>
        </w:rPr>
        <w:t xml:space="preserve">ajú najlepšie personálne a materiálne </w:t>
      </w:r>
      <w:r w:rsidR="00416AF6">
        <w:rPr>
          <w:rFonts w:cs="Calibri"/>
          <w:b w:val="0"/>
        </w:rPr>
        <w:t>predpoklady</w:t>
      </w:r>
      <w:r>
        <w:rPr>
          <w:rFonts w:cs="Calibri"/>
          <w:b w:val="0"/>
        </w:rPr>
        <w:t xml:space="preserve"> na účely trestného stíhania trestných činov tak závažnej právnej kvalifikácie ako sú úkladné vraždy</w:t>
      </w:r>
      <w:r w:rsidR="00F051A4">
        <w:rPr>
          <w:rFonts w:cs="Calibri"/>
          <w:b w:val="0"/>
        </w:rPr>
        <w:t>, navrhuje sa rozšíriť ich pôsobnosť aj o tento obzvl</w:t>
      </w:r>
      <w:r w:rsidR="001049E7">
        <w:rPr>
          <w:rFonts w:cs="Calibri"/>
          <w:b w:val="0"/>
        </w:rPr>
        <w:t>á</w:t>
      </w:r>
      <w:r w:rsidR="00F051A4">
        <w:rPr>
          <w:rFonts w:cs="Calibri"/>
          <w:b w:val="0"/>
        </w:rPr>
        <w:t>šť závažný zločin</w:t>
      </w:r>
      <w:r>
        <w:rPr>
          <w:rFonts w:cs="Calibri"/>
          <w:b w:val="0"/>
        </w:rPr>
        <w:t xml:space="preserve">. </w:t>
      </w:r>
    </w:p>
    <w:p w:rsidR="00640E6C" w:rsidP="00640E6C">
      <w:pPr>
        <w:pStyle w:val="BodyText"/>
        <w:ind w:firstLine="708"/>
        <w:jc w:val="left"/>
        <w:rPr>
          <w:rFonts w:cs="Calibri"/>
          <w:b w:val="0"/>
        </w:rPr>
      </w:pPr>
    </w:p>
    <w:p w:rsidR="00640E6C" w:rsidP="00640E6C">
      <w:pPr>
        <w:pStyle w:val="BodyText"/>
        <w:ind w:firstLine="708"/>
        <w:jc w:val="left"/>
        <w:rPr>
          <w:rFonts w:cs="Calibri"/>
          <w:b w:val="0"/>
        </w:rPr>
      </w:pPr>
      <w:r>
        <w:rPr>
          <w:rFonts w:cs="Calibri"/>
          <w:b w:val="0"/>
        </w:rPr>
        <w:t>Navrhuje sa dať do pôsobnosti Špeciálneho súdu aj niektoré trestné činy proti mene. Ide o závažnú formu ekonomickej kriminality, pričom § 270 ods. 4 už aj v súčasnosti spadá do jurisdikcie špeciálneho súdu. Za účelom predídenia kompetenčným konfliktom sa navrhuje, aby všetky závažnejšie formy menových deliktov spadali pod právomoc Špeciálneho súdu.</w:t>
      </w:r>
    </w:p>
    <w:p w:rsidR="001049E7" w:rsidP="001049E7">
      <w:pPr>
        <w:pStyle w:val="BodyText"/>
        <w:jc w:val="both"/>
        <w:rPr>
          <w:rFonts w:cs="Calibri"/>
          <w:b w:val="0"/>
        </w:rPr>
      </w:pPr>
    </w:p>
    <w:p w:rsidR="00142232" w:rsidP="001049E7">
      <w:pPr>
        <w:pStyle w:val="BodyText"/>
        <w:ind w:firstLine="708"/>
        <w:jc w:val="both"/>
        <w:rPr>
          <w:rFonts w:cs="Calibri"/>
          <w:b w:val="0"/>
        </w:rPr>
      </w:pPr>
      <w:r w:rsidR="001049E7">
        <w:rPr>
          <w:rFonts w:cs="Calibri"/>
          <w:b w:val="0"/>
        </w:rPr>
        <w:t xml:space="preserve">Návrh ďalej reaguje na poznatky praxe a v súlade s už existujúcou judikatúrou Najvyššieho súdu SR sa vyrovnáva s námietkou zaujatosti voči právnemu názoru, zvolanému postupu alebo vydaniu opatrenia resp. uznesenia súdu len na základe nespokojnosti s postupom vo veci. </w:t>
      </w:r>
    </w:p>
    <w:p w:rsidR="001049E7" w:rsidP="001049E7">
      <w:pPr>
        <w:pStyle w:val="BodyText"/>
        <w:ind w:firstLine="708"/>
        <w:jc w:val="both"/>
        <w:rPr>
          <w:rFonts w:cs="Calibri"/>
          <w:b w:val="0"/>
        </w:rPr>
      </w:pPr>
      <w:r>
        <w:rPr>
          <w:rFonts w:cs="Calibri"/>
          <w:b w:val="0"/>
        </w:rPr>
        <w:t xml:space="preserve">Napokon sa navrhuje pri zachovaní rovnosti strán zjednodušiť a urýchliť vykonávanie listinných dôkazov. </w:t>
      </w:r>
    </w:p>
    <w:p w:rsidR="00BD7511" w:rsidP="0026293E">
      <w:pPr>
        <w:pStyle w:val="BodyText"/>
        <w:ind w:firstLine="708"/>
        <w:jc w:val="both"/>
        <w:rPr>
          <w:rFonts w:cs="Calibri"/>
          <w:b w:val="0"/>
        </w:rPr>
      </w:pPr>
    </w:p>
    <w:p w:rsidR="00BD7511" w:rsidRPr="00BF2B48" w:rsidP="0026293E">
      <w:pPr>
        <w:pStyle w:val="BodyText3"/>
        <w:ind w:firstLine="708"/>
        <w:jc w:val="both"/>
        <w:rPr>
          <w:rFonts w:cs="Calibri"/>
        </w:rPr>
      </w:pPr>
      <w:r w:rsidRPr="00BF2B48">
        <w:rPr>
          <w:rFonts w:cs="Calibri"/>
        </w:rPr>
        <w:t xml:space="preserve">Návrh zákona je v súlade s Ústavou Slovenskej </w:t>
      </w:r>
      <w:r w:rsidRPr="00BF2B48">
        <w:rPr>
          <w:rFonts w:cs="Calibri"/>
        </w:rPr>
        <w:t>republiky, so zákonmi ako aj s medzinárodnými zmluvami, ktorými je Slovenská republika viazaná. Návrh zá</w:t>
      </w:r>
      <w:r w:rsidRPr="00BF2B48">
        <w:rPr>
          <w:rFonts w:cs="Calibri"/>
        </w:rPr>
        <w:t>kona nebude mať priamy dopad na verejné rozpočty, neprináša nárok na pracovné sily a nemá vplyv na zamestnanosť a tvorbu pracovných miest, ani na životné prostredie.</w:t>
      </w:r>
    </w:p>
    <w:p w:rsidR="00BD7511" w:rsidP="00DB3526">
      <w:pPr>
        <w:pStyle w:val="BodyText"/>
        <w:ind w:firstLine="708"/>
        <w:jc w:val="left"/>
        <w:rPr>
          <w:rFonts w:cs="Calibri"/>
          <w:b w:val="0"/>
        </w:rPr>
      </w:pPr>
    </w:p>
    <w:p w:rsidR="0026293E" w:rsidRPr="0026293E" w:rsidP="000737CC">
      <w:pPr>
        <w:pStyle w:val="BodyText"/>
        <w:ind w:firstLine="708"/>
        <w:jc w:val="left"/>
        <w:rPr>
          <w:rFonts w:cs="Calibri"/>
        </w:rPr>
      </w:pPr>
      <w:r w:rsidR="000737CC">
        <w:rPr>
          <w:rFonts w:cs="Calibri"/>
        </w:rPr>
        <w:br w:type="page"/>
      </w:r>
    </w:p>
    <w:p w:rsidR="0026293E" w:rsidRPr="0026293E" w:rsidP="0026293E">
      <w:pPr>
        <w:pStyle w:val="BodyText3"/>
        <w:ind w:firstLine="708"/>
        <w:jc w:val="center"/>
        <w:rPr>
          <w:rFonts w:cs="Calibri"/>
          <w:b/>
        </w:rPr>
      </w:pPr>
      <w:r w:rsidRPr="0026293E">
        <w:rPr>
          <w:rFonts w:cs="Calibri"/>
          <w:b/>
        </w:rPr>
        <w:t>DOLOŽKA  ZLUČITEĽNOSTI</w:t>
      </w:r>
    </w:p>
    <w:p w:rsidR="0026293E" w:rsidRPr="0026293E" w:rsidP="0026293E">
      <w:pPr>
        <w:pStyle w:val="BodyText3"/>
        <w:ind w:firstLine="708"/>
        <w:jc w:val="center"/>
        <w:rPr>
          <w:rFonts w:cs="Calibri"/>
          <w:b/>
        </w:rPr>
      </w:pPr>
      <w:r w:rsidRPr="0026293E">
        <w:rPr>
          <w:rFonts w:cs="Calibri"/>
          <w:b/>
        </w:rPr>
        <w:t>Návrhu zákonov s právom Európskych spoločenstiev a právom Európskej únie</w:t>
      </w:r>
    </w:p>
    <w:p w:rsidR="0026293E" w:rsidRPr="0026293E" w:rsidP="0026293E">
      <w:pPr>
        <w:pStyle w:val="BodyText3"/>
        <w:ind w:firstLine="708"/>
        <w:jc w:val="both"/>
        <w:rPr>
          <w:rFonts w:cs="Calibri"/>
        </w:rPr>
      </w:pPr>
    </w:p>
    <w:p w:rsidR="0026293E" w:rsidRPr="0026293E" w:rsidP="0026293E">
      <w:pPr>
        <w:pStyle w:val="BodyText3"/>
        <w:ind w:firstLine="708"/>
        <w:jc w:val="both"/>
        <w:rPr>
          <w:rFonts w:cs="Calibri"/>
          <w:b/>
        </w:rPr>
      </w:pPr>
      <w:r w:rsidRPr="0026293E">
        <w:rPr>
          <w:rFonts w:cs="Calibri"/>
          <w:b/>
        </w:rPr>
        <w:t>1. Predkladateľ  právneho predpisu:</w:t>
      </w:r>
    </w:p>
    <w:p w:rsidR="0026293E" w:rsidRPr="0026293E" w:rsidP="0026293E">
      <w:pPr>
        <w:pStyle w:val="BodyText3"/>
        <w:ind w:firstLine="708"/>
        <w:jc w:val="both"/>
        <w:rPr>
          <w:rFonts w:cs="Calibri"/>
        </w:rPr>
      </w:pPr>
      <w:r w:rsidRPr="0026293E">
        <w:rPr>
          <w:rFonts w:cs="Calibri"/>
        </w:rPr>
        <w:t>Poslanci Národnej rady Slovenskej republiky.</w:t>
      </w:r>
    </w:p>
    <w:p w:rsidR="0026293E" w:rsidRPr="0026293E" w:rsidP="0026293E">
      <w:pPr>
        <w:pStyle w:val="BodyText3"/>
        <w:ind w:firstLine="708"/>
        <w:jc w:val="both"/>
        <w:rPr>
          <w:rFonts w:cs="Calibri"/>
        </w:rPr>
      </w:pPr>
    </w:p>
    <w:p w:rsidR="0026293E" w:rsidRPr="0026293E" w:rsidP="0026293E">
      <w:pPr>
        <w:pStyle w:val="BodyText3"/>
        <w:ind w:firstLine="708"/>
        <w:jc w:val="both"/>
        <w:rPr>
          <w:rFonts w:cs="Calibri"/>
          <w:b/>
        </w:rPr>
      </w:pPr>
      <w:r w:rsidRPr="0026293E">
        <w:rPr>
          <w:rFonts w:cs="Calibri"/>
          <w:b/>
        </w:rPr>
        <w:t>2. Názov právneho predpisu:</w:t>
      </w:r>
    </w:p>
    <w:p w:rsidR="0026293E" w:rsidRPr="0026293E" w:rsidP="00C73EBD">
      <w:pPr>
        <w:pStyle w:val="BodyText3"/>
        <w:ind w:left="708"/>
        <w:jc w:val="both"/>
        <w:rPr>
          <w:rFonts w:cs="Calibri"/>
        </w:rPr>
      </w:pPr>
      <w:r w:rsidRPr="0026293E">
        <w:rPr>
          <w:rFonts w:cs="Calibri"/>
        </w:rPr>
        <w:t>Návrh zákona, ktorým sa ktorým sa mení a dopĺňa zákon č. 301/2005 Z. z. Trestný poriadok v znení zákona č. 650/2005 Z. z.</w:t>
      </w:r>
    </w:p>
    <w:p w:rsidR="0026293E" w:rsidRPr="0026293E" w:rsidP="0026293E">
      <w:pPr>
        <w:pStyle w:val="BodyText3"/>
        <w:ind w:firstLine="708"/>
        <w:jc w:val="both"/>
        <w:rPr>
          <w:rFonts w:cs="Calibri"/>
        </w:rPr>
      </w:pPr>
    </w:p>
    <w:p w:rsidR="0026293E" w:rsidRPr="0026293E" w:rsidP="0026293E">
      <w:pPr>
        <w:pStyle w:val="BodyText3"/>
        <w:ind w:firstLine="708"/>
        <w:jc w:val="both"/>
        <w:rPr>
          <w:rFonts w:cs="Calibri"/>
          <w:b/>
        </w:rPr>
      </w:pPr>
      <w:r w:rsidRPr="0026293E">
        <w:rPr>
          <w:rFonts w:cs="Calibri"/>
          <w:b/>
        </w:rPr>
        <w:t>3. Problematika návrhu právneho predpisu :</w:t>
      </w:r>
    </w:p>
    <w:p w:rsidR="0026293E" w:rsidRPr="0026293E" w:rsidP="0026293E">
      <w:pPr>
        <w:pStyle w:val="BodyText3"/>
        <w:ind w:firstLine="708"/>
        <w:jc w:val="both"/>
        <w:rPr>
          <w:rFonts w:cs="Calibri"/>
        </w:rPr>
      </w:pPr>
      <w:r w:rsidRPr="0026293E">
        <w:rPr>
          <w:rFonts w:cs="Calibri"/>
        </w:rPr>
        <w:t>a) nie je upravená v práve Európskych spoločenstiev</w:t>
      </w:r>
    </w:p>
    <w:p w:rsidR="0026293E" w:rsidRPr="0026293E" w:rsidP="0026293E">
      <w:pPr>
        <w:pStyle w:val="BodyText3"/>
        <w:ind w:firstLine="708"/>
        <w:jc w:val="both"/>
        <w:rPr>
          <w:rFonts w:cs="Calibri"/>
        </w:rPr>
      </w:pPr>
      <w:r w:rsidRPr="0026293E">
        <w:rPr>
          <w:rFonts w:cs="Calibri"/>
        </w:rPr>
        <w:t xml:space="preserve">b) nie je upravená v práve Európskej únie: </w:t>
      </w:r>
    </w:p>
    <w:p w:rsidR="0026293E" w:rsidP="0026293E">
      <w:pPr>
        <w:pStyle w:val="BodyText3"/>
        <w:ind w:left="708"/>
        <w:jc w:val="both"/>
        <w:rPr>
          <w:rFonts w:cs="Calibri"/>
        </w:rPr>
      </w:pPr>
      <w:r w:rsidRPr="0026293E">
        <w:rPr>
          <w:rFonts w:cs="Calibri"/>
        </w:rPr>
        <w:t xml:space="preserve">c) nie je upravená v judikatúre Súdneho dvora Európskych spoločenstiev ani v judikatúre </w:t>
      </w:r>
    </w:p>
    <w:p w:rsidR="0026293E" w:rsidRPr="0026293E" w:rsidP="0026293E">
      <w:pPr>
        <w:pStyle w:val="BodyText3"/>
        <w:ind w:left="708"/>
        <w:jc w:val="both"/>
        <w:rPr>
          <w:rFonts w:cs="Calibri"/>
        </w:rPr>
      </w:pPr>
      <w:r>
        <w:rPr>
          <w:rFonts w:cs="Calibri"/>
        </w:rPr>
        <w:t xml:space="preserve">    </w:t>
      </w:r>
      <w:r w:rsidRPr="0026293E">
        <w:rPr>
          <w:rFonts w:cs="Calibri"/>
        </w:rPr>
        <w:t>Súdu prvého stupňa</w:t>
      </w:r>
    </w:p>
    <w:p w:rsidR="0026293E" w:rsidRPr="0026293E" w:rsidP="0026293E">
      <w:pPr>
        <w:pStyle w:val="BodyText3"/>
        <w:ind w:firstLine="708"/>
        <w:jc w:val="both"/>
        <w:rPr>
          <w:rFonts w:cs="Calibri"/>
        </w:rPr>
      </w:pPr>
    </w:p>
    <w:p w:rsidR="0026293E" w:rsidRPr="0026293E" w:rsidP="00C73EBD">
      <w:pPr>
        <w:pStyle w:val="BodyText3"/>
        <w:ind w:left="708"/>
        <w:jc w:val="both"/>
        <w:rPr>
          <w:rFonts w:cs="Calibri"/>
          <w:b/>
        </w:rPr>
      </w:pPr>
      <w:r w:rsidRPr="0026293E">
        <w:rPr>
          <w:rFonts w:cs="Calibri"/>
          <w:b/>
        </w:rPr>
        <w:t>4. Záväzky   Slovenskej   republiky   vo   vzťahu   k  Európskym  spoločenstvám                    a  Európskej únii:</w:t>
      </w:r>
    </w:p>
    <w:p w:rsidR="0026293E" w:rsidRPr="0026293E" w:rsidP="0026293E">
      <w:pPr>
        <w:pStyle w:val="BodyText3"/>
        <w:ind w:firstLine="708"/>
        <w:jc w:val="both"/>
        <w:rPr>
          <w:rFonts w:cs="Calibri"/>
        </w:rPr>
      </w:pPr>
      <w:r w:rsidRPr="0026293E">
        <w:rPr>
          <w:rFonts w:cs="Calibri"/>
        </w:rPr>
        <w:t>irelevantné</w:t>
      </w:r>
    </w:p>
    <w:p w:rsidR="0026293E" w:rsidRPr="0026293E" w:rsidP="0026293E">
      <w:pPr>
        <w:pStyle w:val="BodyText3"/>
        <w:ind w:firstLine="708"/>
        <w:jc w:val="both"/>
        <w:rPr>
          <w:rFonts w:cs="Calibri"/>
          <w:b/>
        </w:rPr>
      </w:pPr>
    </w:p>
    <w:p w:rsidR="0026293E" w:rsidRPr="0026293E" w:rsidP="00C73EBD">
      <w:pPr>
        <w:pStyle w:val="BodyText3"/>
        <w:ind w:left="708"/>
        <w:jc w:val="both"/>
        <w:rPr>
          <w:rFonts w:cs="Calibri"/>
          <w:b/>
        </w:rPr>
      </w:pPr>
      <w:r w:rsidRPr="0026293E">
        <w:rPr>
          <w:rFonts w:cs="Calibri"/>
          <w:b/>
        </w:rPr>
        <w:t>5. Stupeň   zlučiteľnosti   návrhu   právneho   predpisu  s  právom   Európskych     spoločenstiev a právom Európskej únie:</w:t>
      </w:r>
    </w:p>
    <w:p w:rsidR="0026293E" w:rsidRPr="0026293E" w:rsidP="0026293E">
      <w:pPr>
        <w:pStyle w:val="BodyText3"/>
        <w:ind w:firstLine="708"/>
        <w:jc w:val="both"/>
        <w:rPr>
          <w:rFonts w:cs="Calibri"/>
        </w:rPr>
      </w:pPr>
      <w:r w:rsidRPr="0026293E">
        <w:rPr>
          <w:rFonts w:cs="Calibri"/>
        </w:rPr>
        <w:t>irelevantné</w:t>
      </w:r>
    </w:p>
    <w:p w:rsidR="0026293E" w:rsidRPr="0026293E" w:rsidP="0026293E">
      <w:pPr>
        <w:pStyle w:val="BodyText3"/>
        <w:ind w:firstLine="708"/>
        <w:jc w:val="both"/>
        <w:rPr>
          <w:rFonts w:cs="Calibri"/>
        </w:rPr>
      </w:pPr>
    </w:p>
    <w:p w:rsidR="0026293E" w:rsidRPr="0026293E" w:rsidP="0026293E">
      <w:pPr>
        <w:pStyle w:val="BodyText3"/>
        <w:ind w:firstLine="708"/>
        <w:jc w:val="both"/>
        <w:rPr>
          <w:rFonts w:cs="Calibri"/>
          <w:b/>
        </w:rPr>
      </w:pPr>
      <w:r w:rsidRPr="0026293E">
        <w:rPr>
          <w:rFonts w:cs="Calibri"/>
          <w:b/>
        </w:rPr>
        <w:t>6.  Gestor:</w:t>
      </w:r>
    </w:p>
    <w:p w:rsidR="0026293E" w:rsidRPr="0026293E" w:rsidP="0026293E">
      <w:pPr>
        <w:pStyle w:val="BodyText3"/>
        <w:ind w:firstLine="708"/>
        <w:jc w:val="both"/>
        <w:rPr>
          <w:rFonts w:cs="Calibri"/>
        </w:rPr>
      </w:pPr>
      <w:r w:rsidRPr="0026293E">
        <w:rPr>
          <w:rFonts w:cs="Calibri"/>
        </w:rPr>
        <w:t>irelevantné</w:t>
      </w:r>
    </w:p>
    <w:p w:rsidR="000737CC" w:rsidP="001B39CB">
      <w:pPr>
        <w:pStyle w:val="BodyText3"/>
        <w:jc w:val="both"/>
        <w:rPr>
          <w:rFonts w:cs="Calibri"/>
          <w:b/>
        </w:rPr>
      </w:pPr>
      <w:r>
        <w:rPr>
          <w:rFonts w:cs="Calibri"/>
          <w:b/>
        </w:rPr>
        <w:br w:type="page"/>
      </w:r>
    </w:p>
    <w:p w:rsidR="00F051A4" w:rsidRPr="00C67EDB" w:rsidP="001B39CB">
      <w:pPr>
        <w:pStyle w:val="BodyText3"/>
        <w:jc w:val="both"/>
        <w:rPr>
          <w:rFonts w:cs="Calibri"/>
          <w:b/>
          <w:caps/>
        </w:rPr>
      </w:pPr>
      <w:r w:rsidRPr="00C67EDB" w:rsidR="001B39CB">
        <w:rPr>
          <w:rFonts w:cs="Calibri"/>
          <w:b/>
          <w:caps/>
        </w:rPr>
        <w:t>II. osobitná časť</w:t>
      </w:r>
    </w:p>
    <w:p w:rsidR="001B39CB" w:rsidP="001B39CB">
      <w:pPr>
        <w:pStyle w:val="BodyText3"/>
        <w:jc w:val="both"/>
        <w:rPr>
          <w:rFonts w:cs="Calibri"/>
        </w:rPr>
      </w:pPr>
    </w:p>
    <w:p w:rsidR="001B39CB" w:rsidRPr="00C67EDB" w:rsidP="001B39CB">
      <w:pPr>
        <w:pStyle w:val="BodyText3"/>
        <w:jc w:val="both"/>
        <w:rPr>
          <w:rFonts w:cs="Calibri"/>
          <w:b/>
          <w:u w:val="single"/>
        </w:rPr>
      </w:pPr>
      <w:r w:rsidRPr="00C67EDB" w:rsidR="00C67EDB">
        <w:rPr>
          <w:rFonts w:cs="Calibri"/>
          <w:b/>
          <w:u w:val="single"/>
        </w:rPr>
        <w:t>Čl. I</w:t>
      </w:r>
    </w:p>
    <w:p w:rsidR="00C67EDB" w:rsidP="001B39CB">
      <w:pPr>
        <w:pStyle w:val="BodyText3"/>
        <w:jc w:val="both"/>
        <w:rPr>
          <w:rFonts w:cs="Calibri"/>
          <w:b/>
        </w:rPr>
      </w:pPr>
    </w:p>
    <w:p w:rsidR="001B39CB" w:rsidRPr="001B39CB" w:rsidP="001B39CB">
      <w:pPr>
        <w:pStyle w:val="BodyText3"/>
        <w:jc w:val="both"/>
        <w:rPr>
          <w:rFonts w:cs="Calibri"/>
          <w:b/>
        </w:rPr>
      </w:pPr>
      <w:r w:rsidRPr="001B39CB">
        <w:rPr>
          <w:rFonts w:cs="Calibri"/>
          <w:b/>
        </w:rPr>
        <w:t>K bodu 1</w:t>
      </w:r>
    </w:p>
    <w:p w:rsidR="001B39CB" w:rsidP="001B39CB">
      <w:pPr>
        <w:pStyle w:val="BodyText3"/>
        <w:jc w:val="both"/>
        <w:rPr>
          <w:rFonts w:cs="Calibri"/>
        </w:rPr>
      </w:pPr>
    </w:p>
    <w:p w:rsidR="001B39CB" w:rsidP="001B39CB">
      <w:pPr>
        <w:pStyle w:val="BodyText3"/>
        <w:jc w:val="both"/>
        <w:rPr>
          <w:rFonts w:cs="Calibri"/>
        </w:rPr>
      </w:pPr>
      <w:r>
        <w:rPr>
          <w:rFonts w:cs="Calibri"/>
        </w:rPr>
        <w:t xml:space="preserve">Rozširuje sa pôsobnosť Špeciálneho súdu aj o menej závažné </w:t>
      </w:r>
      <w:r w:rsidR="00281250">
        <w:rPr>
          <w:rFonts w:cs="Calibri"/>
        </w:rPr>
        <w:t>formy</w:t>
      </w:r>
      <w:r>
        <w:rPr>
          <w:rFonts w:cs="Calibri"/>
        </w:rPr>
        <w:t xml:space="preserve"> </w:t>
      </w:r>
      <w:r w:rsidR="00281250">
        <w:rPr>
          <w:rFonts w:cs="Calibri"/>
        </w:rPr>
        <w:t>korupcie</w:t>
      </w:r>
      <w:r>
        <w:rPr>
          <w:rFonts w:cs="Calibri"/>
        </w:rPr>
        <w:t xml:space="preserve">. Po tejto zmene budú pôsobnosti Špeciálneho súdu a Úradu špeciálnej prokuratúry všetky </w:t>
      </w:r>
      <w:r w:rsidR="00281250">
        <w:rPr>
          <w:rFonts w:cs="Calibri"/>
        </w:rPr>
        <w:t>skutkové podstaty trestného činu prijímania úplatku</w:t>
      </w:r>
      <w:r w:rsidR="0061487C">
        <w:rPr>
          <w:rFonts w:cs="Calibri"/>
        </w:rPr>
        <w:t>,</w:t>
      </w:r>
      <w:r w:rsidR="00281250">
        <w:rPr>
          <w:rFonts w:cs="Calibri"/>
        </w:rPr>
        <w:t xml:space="preserve"> podplácania</w:t>
      </w:r>
      <w:r w:rsidR="0061487C">
        <w:rPr>
          <w:rFonts w:cs="Calibri"/>
        </w:rPr>
        <w:t xml:space="preserve"> a nepriamej korupcie</w:t>
      </w:r>
      <w:r w:rsidR="00281250">
        <w:rPr>
          <w:rFonts w:cs="Calibri"/>
        </w:rPr>
        <w:t>. Sleduje sa tým najmä pretrhnutie lokálnych väzieb, ktoré bránia nezávislému a nestrannému vyšetrovaniu a rozhodnutiu. Po tejto zmene nebude možné, aby  podkvalifikovaním skutku ostalo vyšetrovanie a rozhodovanie na miestnej úrovni.</w:t>
      </w:r>
    </w:p>
    <w:p w:rsidR="00281250" w:rsidP="001B39CB">
      <w:pPr>
        <w:pStyle w:val="BodyText3"/>
        <w:jc w:val="both"/>
        <w:rPr>
          <w:rFonts w:cs="Calibri"/>
        </w:rPr>
      </w:pPr>
    </w:p>
    <w:p w:rsidR="00281250" w:rsidRPr="00281250" w:rsidP="001B39CB">
      <w:pPr>
        <w:pStyle w:val="BodyText3"/>
        <w:jc w:val="both"/>
        <w:rPr>
          <w:rFonts w:cs="Calibri"/>
          <w:b/>
        </w:rPr>
      </w:pPr>
      <w:r w:rsidRPr="00281250">
        <w:rPr>
          <w:rFonts w:cs="Calibri"/>
          <w:b/>
        </w:rPr>
        <w:t>K bodu 2</w:t>
      </w:r>
    </w:p>
    <w:p w:rsidR="00281250" w:rsidP="001B39CB">
      <w:pPr>
        <w:pStyle w:val="BodyText3"/>
        <w:jc w:val="both"/>
        <w:rPr>
          <w:rFonts w:cs="Calibri"/>
        </w:rPr>
      </w:pPr>
    </w:p>
    <w:p w:rsidR="00281250" w:rsidP="001B39CB">
      <w:pPr>
        <w:pStyle w:val="BodyText3"/>
        <w:jc w:val="both"/>
        <w:rPr>
          <w:rFonts w:cs="Calibri"/>
        </w:rPr>
      </w:pPr>
      <w:r w:rsidR="00BF40AD">
        <w:rPr>
          <w:rFonts w:cs="Calibri"/>
        </w:rPr>
        <w:t>Pôsobnosť Špeciálneho súdu a Úradu špeciálnej prokuratúry sa rozširuje o trestný čin úkladnej vraždy</w:t>
      </w:r>
      <w:r w:rsidR="008F165E">
        <w:rPr>
          <w:rFonts w:cs="Calibri"/>
        </w:rPr>
        <w:t xml:space="preserve"> a trestný čin f</w:t>
      </w:r>
      <w:r w:rsidRPr="008F165E" w:rsidR="008F165E">
        <w:rPr>
          <w:rFonts w:cs="Calibri"/>
        </w:rPr>
        <w:t>alšovani</w:t>
      </w:r>
      <w:r w:rsidR="008F165E">
        <w:rPr>
          <w:rFonts w:cs="Calibri"/>
        </w:rPr>
        <w:t>a</w:t>
      </w:r>
      <w:r w:rsidRPr="008F165E" w:rsidR="008F165E">
        <w:rPr>
          <w:rFonts w:cs="Calibri"/>
        </w:rPr>
        <w:t>, pozmeňovani</w:t>
      </w:r>
      <w:r w:rsidR="008F165E">
        <w:rPr>
          <w:rFonts w:cs="Calibri"/>
        </w:rPr>
        <w:t>a a neoprávnenej</w:t>
      </w:r>
      <w:r w:rsidRPr="008F165E" w:rsidR="008F165E">
        <w:rPr>
          <w:rFonts w:cs="Calibri"/>
        </w:rPr>
        <w:t xml:space="preserve"> výrob</w:t>
      </w:r>
      <w:r w:rsidR="008F165E">
        <w:rPr>
          <w:rFonts w:cs="Calibri"/>
        </w:rPr>
        <w:t xml:space="preserve">y </w:t>
      </w:r>
      <w:r w:rsidRPr="008F165E" w:rsidR="008F165E">
        <w:rPr>
          <w:rFonts w:cs="Calibri"/>
        </w:rPr>
        <w:t>peňazí a cenných papierov</w:t>
      </w:r>
      <w:r w:rsidR="008F165E">
        <w:rPr>
          <w:rFonts w:cs="Calibri"/>
        </w:rPr>
        <w:t xml:space="preserve"> a trestný čin u</w:t>
      </w:r>
      <w:r w:rsidRPr="008F165E" w:rsidR="008F165E">
        <w:rPr>
          <w:rFonts w:cs="Calibri"/>
        </w:rPr>
        <w:t>vádzani</w:t>
      </w:r>
      <w:r w:rsidR="008F165E">
        <w:rPr>
          <w:rFonts w:cs="Calibri"/>
        </w:rPr>
        <w:t>a</w:t>
      </w:r>
      <w:r w:rsidRPr="008F165E" w:rsidR="008F165E">
        <w:rPr>
          <w:rFonts w:cs="Calibri"/>
        </w:rPr>
        <w:t xml:space="preserve"> falšovaných, pozmenených a neoprávnen</w:t>
      </w:r>
      <w:r w:rsidR="008F165E">
        <w:rPr>
          <w:rFonts w:cs="Calibri"/>
        </w:rPr>
        <w:t>e</w:t>
      </w:r>
      <w:r w:rsidRPr="008F165E" w:rsidR="008F165E">
        <w:rPr>
          <w:rFonts w:cs="Calibri"/>
        </w:rPr>
        <w:t xml:space="preserve"> vyrobených peňazí a cenných papierov</w:t>
      </w:r>
      <w:r w:rsidR="008F165E">
        <w:rPr>
          <w:rFonts w:cs="Calibri"/>
        </w:rPr>
        <w:t xml:space="preserve"> podľa § 271 ods. 1</w:t>
      </w:r>
      <w:r w:rsidR="00BF40AD">
        <w:rPr>
          <w:rFonts w:cs="Calibri"/>
        </w:rPr>
        <w:t xml:space="preserve">. </w:t>
      </w:r>
    </w:p>
    <w:p w:rsidR="00FE2C49" w:rsidP="001B39CB">
      <w:pPr>
        <w:pStyle w:val="BodyText3"/>
        <w:jc w:val="both"/>
        <w:rPr>
          <w:rFonts w:cs="Calibri"/>
        </w:rPr>
      </w:pPr>
    </w:p>
    <w:p w:rsidR="00FE2C49" w:rsidRPr="00FE2C49" w:rsidP="001B39CB">
      <w:pPr>
        <w:pStyle w:val="BodyText3"/>
        <w:jc w:val="both"/>
        <w:rPr>
          <w:rFonts w:cs="Calibri"/>
          <w:b/>
        </w:rPr>
      </w:pPr>
      <w:r w:rsidR="003E3B95">
        <w:rPr>
          <w:rFonts w:cs="Calibri"/>
          <w:b/>
        </w:rPr>
        <w:t>K bodu 3</w:t>
      </w:r>
    </w:p>
    <w:p w:rsidR="00FE2C49" w:rsidP="001B39CB">
      <w:pPr>
        <w:pStyle w:val="BodyText3"/>
        <w:jc w:val="both"/>
        <w:rPr>
          <w:rFonts w:cs="Calibri"/>
        </w:rPr>
      </w:pPr>
    </w:p>
    <w:p w:rsidR="00FE2C49" w:rsidP="001B39CB">
      <w:pPr>
        <w:pStyle w:val="BodyText3"/>
        <w:jc w:val="both"/>
        <w:rPr>
          <w:rFonts w:cs="Calibri"/>
        </w:rPr>
      </w:pPr>
      <w:r w:rsidR="003E3B95">
        <w:rPr>
          <w:rFonts w:cs="Calibri"/>
        </w:rPr>
        <w:t xml:space="preserve">Aj pri trestných činoch rozširujúcich pôsobnosť Špeciálneho súdu sa navrhuje zachovať princíp, že ak sú splnené podmienky na spoločné konanie, spadajú do právomoci Špeciálneho súdu aj trestné činy </w:t>
      </w:r>
      <w:r w:rsidR="0047743B">
        <w:rPr>
          <w:rFonts w:cs="Calibri"/>
        </w:rPr>
        <w:t xml:space="preserve">s nimi </w:t>
      </w:r>
      <w:r w:rsidR="003E3B95">
        <w:rPr>
          <w:rFonts w:cs="Calibri"/>
        </w:rPr>
        <w:t>súvisiace.</w:t>
      </w:r>
    </w:p>
    <w:p w:rsidR="0041278A" w:rsidRPr="0041278A" w:rsidP="0041278A">
      <w:pPr>
        <w:pStyle w:val="titulok"/>
        <w:jc w:val="both"/>
        <w:rPr>
          <w:rFonts w:ascii="Times New Roman" w:hAnsi="Times New Roman" w:cs="Times New Roman"/>
          <w:color w:val="auto"/>
        </w:rPr>
      </w:pPr>
      <w:r w:rsidRPr="0041278A">
        <w:rPr>
          <w:rFonts w:ascii="Times New Roman" w:hAnsi="Times New Roman" w:cs="Times New Roman"/>
          <w:color w:val="auto"/>
        </w:rPr>
        <w:t>K bodu 4</w:t>
      </w:r>
    </w:p>
    <w:p w:rsidR="0041278A" w:rsidP="0041278A">
      <w:pPr>
        <w:pStyle w:val="titulok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Z</w:t>
      </w:r>
      <w:r w:rsidRPr="00622A3D">
        <w:rPr>
          <w:rFonts w:ascii="Times New Roman" w:hAnsi="Times New Roman" w:cs="Times New Roman"/>
          <w:b w:val="0"/>
          <w:color w:val="auto"/>
        </w:rPr>
        <w:t xml:space="preserve">ákon vylučuje z vykonávania úkonov trestného konania </w:t>
      </w:r>
      <w:r>
        <w:rPr>
          <w:rFonts w:ascii="Times New Roman" w:hAnsi="Times New Roman" w:cs="Times New Roman"/>
          <w:b w:val="0"/>
          <w:color w:val="auto"/>
        </w:rPr>
        <w:t xml:space="preserve">len </w:t>
      </w:r>
      <w:r w:rsidRPr="00622A3D">
        <w:rPr>
          <w:rFonts w:ascii="Times New Roman" w:hAnsi="Times New Roman" w:cs="Times New Roman"/>
          <w:b w:val="0"/>
          <w:color w:val="auto"/>
        </w:rPr>
        <w:t>ten orgán činný v trestnom konaní, u ktorého možno mať pochybnosť o jeho nezaujatosti z dôvodov taxatívne vymedzených</w:t>
      </w:r>
      <w:r>
        <w:rPr>
          <w:rFonts w:ascii="Times New Roman" w:hAnsi="Times New Roman" w:cs="Times New Roman"/>
          <w:b w:val="0"/>
          <w:color w:val="auto"/>
        </w:rPr>
        <w:t xml:space="preserve"> v § 31 ods. 1 Tr</w:t>
      </w:r>
      <w:r w:rsidR="00487FDB">
        <w:rPr>
          <w:rFonts w:ascii="Times New Roman" w:hAnsi="Times New Roman" w:cs="Times New Roman"/>
          <w:b w:val="0"/>
          <w:color w:val="auto"/>
        </w:rPr>
        <w:t xml:space="preserve">estného </w:t>
      </w:r>
      <w:r>
        <w:rPr>
          <w:rFonts w:ascii="Times New Roman" w:hAnsi="Times New Roman" w:cs="Times New Roman"/>
          <w:b w:val="0"/>
          <w:color w:val="auto"/>
        </w:rPr>
        <w:t>por</w:t>
      </w:r>
      <w:r w:rsidR="00487FDB">
        <w:rPr>
          <w:rFonts w:ascii="Times New Roman" w:hAnsi="Times New Roman" w:cs="Times New Roman"/>
          <w:b w:val="0"/>
          <w:color w:val="auto"/>
        </w:rPr>
        <w:t>iadku</w:t>
      </w:r>
      <w:r>
        <w:rPr>
          <w:rFonts w:ascii="Times New Roman" w:hAnsi="Times New Roman" w:cs="Times New Roman"/>
          <w:b w:val="0"/>
          <w:color w:val="auto"/>
        </w:rPr>
        <w:t xml:space="preserve"> (pomer k veci alebo osobám účastným na trestnom konaní)</w:t>
      </w:r>
      <w:r w:rsidRPr="00622A3D">
        <w:rPr>
          <w:rFonts w:ascii="Times New Roman" w:hAnsi="Times New Roman" w:cs="Times New Roman"/>
          <w:b w:val="0"/>
          <w:color w:val="auto"/>
        </w:rPr>
        <w:t>.</w:t>
      </w:r>
      <w:r>
        <w:rPr>
          <w:rFonts w:ascii="Times New Roman" w:hAnsi="Times New Roman" w:cs="Times New Roman"/>
          <w:b w:val="0"/>
          <w:color w:val="auto"/>
        </w:rPr>
        <w:t xml:space="preserve"> Aj Najvyšší súd SR už viackrát vo svojich rozhodnutiach uviedol, že</w:t>
      </w:r>
      <w:r w:rsidRPr="00622A3D">
        <w:rPr>
          <w:rFonts w:ascii="Times New Roman" w:hAnsi="Times New Roman" w:cs="Times New Roman"/>
          <w:b w:val="0"/>
          <w:color w:val="auto"/>
        </w:rPr>
        <w:t xml:space="preserve"> </w:t>
      </w:r>
      <w:r>
        <w:rPr>
          <w:rFonts w:ascii="Times New Roman" w:hAnsi="Times New Roman" w:cs="Times New Roman"/>
          <w:b w:val="0"/>
          <w:color w:val="auto"/>
        </w:rPr>
        <w:t>p</w:t>
      </w:r>
      <w:r w:rsidRPr="000E495F">
        <w:rPr>
          <w:rFonts w:ascii="Times New Roman" w:hAnsi="Times New Roman" w:cs="Times New Roman"/>
          <w:b w:val="0"/>
          <w:color w:val="auto"/>
        </w:rPr>
        <w:t>rávny názor súdu alebo sudcu</w:t>
      </w:r>
      <w:r>
        <w:rPr>
          <w:rFonts w:ascii="Times New Roman" w:hAnsi="Times New Roman" w:cs="Times New Roman"/>
          <w:b w:val="0"/>
          <w:color w:val="auto"/>
        </w:rPr>
        <w:t xml:space="preserve"> </w:t>
      </w:r>
      <w:r w:rsidRPr="000E495F">
        <w:rPr>
          <w:rFonts w:ascii="Times New Roman" w:hAnsi="Times New Roman" w:cs="Times New Roman"/>
          <w:b w:val="0"/>
          <w:color w:val="auto"/>
        </w:rPr>
        <w:t xml:space="preserve"> vyslovený pri riešení jednotlivých situácií, ktoré dokazovanie vo veci prináša</w:t>
      </w:r>
      <w:r>
        <w:rPr>
          <w:rFonts w:ascii="Times New Roman" w:hAnsi="Times New Roman" w:cs="Times New Roman"/>
          <w:b w:val="0"/>
          <w:color w:val="auto"/>
        </w:rPr>
        <w:t>, zvolenie postupu, vydanie opatrenia alebo uznesenia</w:t>
      </w:r>
      <w:r w:rsidRPr="000E495F">
        <w:rPr>
          <w:rFonts w:ascii="Times New Roman" w:hAnsi="Times New Roman" w:cs="Times New Roman"/>
          <w:b w:val="0"/>
          <w:color w:val="auto"/>
        </w:rPr>
        <w:t xml:space="preserve"> (resp. akýkoľvek právny názor vyslovený v rozhodnutiach a opatreniach súdu v prejednávanej veci) sám osebe nemožno považovať za pomer k prejednávanej veci podľa </w:t>
      </w:r>
      <w:r>
        <w:rPr>
          <w:rFonts w:ascii="Times New Roman" w:hAnsi="Times New Roman" w:cs="Times New Roman"/>
          <w:b w:val="0"/>
          <w:color w:val="auto"/>
        </w:rPr>
        <w:t xml:space="preserve">vyššie uvedeného </w:t>
      </w:r>
      <w:r w:rsidRPr="000E495F">
        <w:rPr>
          <w:rFonts w:ascii="Times New Roman" w:hAnsi="Times New Roman" w:cs="Times New Roman"/>
          <w:b w:val="0"/>
          <w:color w:val="auto"/>
        </w:rPr>
        <w:t>ustanovenia</w:t>
      </w:r>
      <w:r>
        <w:rPr>
          <w:rFonts w:ascii="Times New Roman" w:hAnsi="Times New Roman" w:cs="Times New Roman"/>
          <w:b w:val="0"/>
          <w:color w:val="auto"/>
        </w:rPr>
        <w:t xml:space="preserve"> Tr</w:t>
      </w:r>
      <w:r w:rsidR="00487FDB">
        <w:rPr>
          <w:rFonts w:ascii="Times New Roman" w:hAnsi="Times New Roman" w:cs="Times New Roman"/>
          <w:b w:val="0"/>
          <w:color w:val="auto"/>
        </w:rPr>
        <w:t xml:space="preserve">estného </w:t>
      </w:r>
      <w:r>
        <w:rPr>
          <w:rFonts w:ascii="Times New Roman" w:hAnsi="Times New Roman" w:cs="Times New Roman"/>
          <w:b w:val="0"/>
          <w:color w:val="auto"/>
        </w:rPr>
        <w:t>por</w:t>
      </w:r>
      <w:r w:rsidR="00487FDB">
        <w:rPr>
          <w:rFonts w:ascii="Times New Roman" w:hAnsi="Times New Roman" w:cs="Times New Roman"/>
          <w:b w:val="0"/>
          <w:color w:val="auto"/>
        </w:rPr>
        <w:t>iadku.</w:t>
      </w:r>
      <w:r>
        <w:rPr>
          <w:rFonts w:ascii="Times New Roman" w:hAnsi="Times New Roman" w:cs="Times New Roman"/>
          <w:b w:val="0"/>
          <w:color w:val="auto"/>
        </w:rPr>
        <w:t xml:space="preserve"> Napriek tomu, že tento postoj súdov je všeobecne známy, niektoré strany v konaní opakovane vznášajú námietky zaujatosti výlučne z dôvodov nespokojnosti s postupom vo veci, pričom za súčasného stavu súdy i orgány činné v trestnom konaní o týchto námietkach musia rozhodovať - v zásade s dopredu jasným výsledkom konania o opravnom prostriedku. Takýto stav konanie neúmerne a bezdôvodne predlžuje a najmä v náročných veciach, kde sa pojednáva viac dní i týždňov, môže dôjsť doslova k jeho zablokovaniu. </w:t>
      </w:r>
    </w:p>
    <w:p w:rsidR="0041278A" w:rsidRPr="000E495F" w:rsidP="0041278A">
      <w:pPr>
        <w:pStyle w:val="titulok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Navrhovaná zmena nijakým spôsobom nezasiahne do práv obvinených ani ostatných strán v smere neústavného obmedzenia ich práv a odstráni ďalšiu a v poslednom čase často vyžívanú možnosť z hľadiska všeobecnej spravodlivosti nezmyselne</w:t>
      </w:r>
      <w:r w:rsidR="00C73EBD">
        <w:rPr>
          <w:rFonts w:ascii="Times New Roman" w:hAnsi="Times New Roman" w:cs="Times New Roman"/>
          <w:b w:val="0"/>
          <w:color w:val="auto"/>
        </w:rPr>
        <w:t>j obštrukcie v trestnom konaní.</w:t>
      </w:r>
    </w:p>
    <w:p w:rsidR="00900905" w:rsidP="0041278A">
      <w:pPr>
        <w:pStyle w:val="BodyText3"/>
        <w:jc w:val="both"/>
        <w:rPr>
          <w:rFonts w:cs="Calibri"/>
          <w:b/>
        </w:rPr>
      </w:pPr>
    </w:p>
    <w:p w:rsidR="00900905" w:rsidP="0041278A">
      <w:pPr>
        <w:pStyle w:val="BodyText3"/>
        <w:jc w:val="both"/>
        <w:rPr>
          <w:rFonts w:cs="Calibri"/>
          <w:b/>
        </w:rPr>
      </w:pPr>
    </w:p>
    <w:p w:rsidR="00900905" w:rsidP="0041278A">
      <w:pPr>
        <w:pStyle w:val="BodyText3"/>
        <w:jc w:val="both"/>
        <w:rPr>
          <w:rFonts w:cs="Calibri"/>
          <w:b/>
        </w:rPr>
      </w:pPr>
    </w:p>
    <w:p w:rsidR="0041278A" w:rsidP="0041278A">
      <w:pPr>
        <w:pStyle w:val="BodyText3"/>
        <w:jc w:val="both"/>
        <w:rPr>
          <w:rFonts w:cs="Calibri"/>
          <w:b/>
        </w:rPr>
      </w:pPr>
      <w:r>
        <w:rPr>
          <w:rFonts w:cs="Calibri"/>
          <w:b/>
        </w:rPr>
        <w:t>K bodu 5</w:t>
      </w:r>
    </w:p>
    <w:p w:rsidR="0041278A" w:rsidP="0041278A">
      <w:pPr>
        <w:pStyle w:val="BodyText3"/>
        <w:jc w:val="both"/>
        <w:rPr>
          <w:rFonts w:cs="Calibri"/>
          <w:b/>
        </w:rPr>
      </w:pPr>
    </w:p>
    <w:p w:rsidR="00487FDB" w:rsidP="0041278A">
      <w:pPr>
        <w:pStyle w:val="BodyText3"/>
        <w:jc w:val="both"/>
        <w:rPr>
          <w:rFonts w:cs="Calibri"/>
        </w:rPr>
      </w:pPr>
      <w:r w:rsidRPr="00696410" w:rsidR="0041278A">
        <w:rPr>
          <w:rFonts w:cs="Calibri"/>
        </w:rPr>
        <w:t>Zjednodušuje a za zachovania rovnosti strán sa ur</w:t>
      </w:r>
      <w:r w:rsidR="0041278A">
        <w:rPr>
          <w:rFonts w:cs="Calibri"/>
        </w:rPr>
        <w:t>ýchľuje vykonávanie listinných dôkazov, ktoré v mnohých prípadoch tvoria tisíce strán spisu. Navrhované znenie tiež zjednocuje možnosti spôsobu vykonania dôkazov čítaním svedeckých výpovedí (§ 263 ods. 1) a čítaním listinných dôkazov.</w:t>
      </w:r>
    </w:p>
    <w:p w:rsidR="0041278A" w:rsidP="0041278A">
      <w:pPr>
        <w:pStyle w:val="BodyText3"/>
        <w:jc w:val="both"/>
        <w:rPr>
          <w:rFonts w:cs="Calibri"/>
        </w:rPr>
      </w:pPr>
    </w:p>
    <w:p w:rsidR="000436F5" w:rsidRPr="000436F5" w:rsidP="001B39CB">
      <w:pPr>
        <w:pStyle w:val="BodyText3"/>
        <w:jc w:val="both"/>
        <w:rPr>
          <w:rFonts w:cs="Calibri"/>
          <w:b/>
        </w:rPr>
      </w:pPr>
      <w:r w:rsidR="0041278A">
        <w:rPr>
          <w:rFonts w:cs="Calibri"/>
          <w:b/>
        </w:rPr>
        <w:t>K bodu 6</w:t>
      </w:r>
    </w:p>
    <w:p w:rsidR="000436F5" w:rsidP="001B39CB">
      <w:pPr>
        <w:pStyle w:val="BodyText3"/>
        <w:jc w:val="both"/>
        <w:rPr>
          <w:rFonts w:cs="Calibri"/>
        </w:rPr>
      </w:pPr>
    </w:p>
    <w:p w:rsidR="001B39CB" w:rsidP="001B39CB">
      <w:pPr>
        <w:pStyle w:val="BodyText3"/>
        <w:jc w:val="both"/>
        <w:rPr>
          <w:rFonts w:cs="Calibri"/>
        </w:rPr>
      </w:pPr>
      <w:r w:rsidR="000436F5">
        <w:rPr>
          <w:rFonts w:cs="Calibri"/>
        </w:rPr>
        <w:t>Prechodné ust</w:t>
      </w:r>
      <w:r w:rsidR="00637EA8">
        <w:rPr>
          <w:rFonts w:cs="Calibri"/>
        </w:rPr>
        <w:t>anovenia sú navrhnuté tak, aby do pôsobnosti</w:t>
      </w:r>
      <w:r w:rsidR="000436F5">
        <w:rPr>
          <w:rFonts w:cs="Calibri"/>
        </w:rPr>
        <w:t xml:space="preserve"> Špeciáln</w:t>
      </w:r>
      <w:r w:rsidR="00637EA8">
        <w:rPr>
          <w:rFonts w:cs="Calibri"/>
        </w:rPr>
        <w:t>eho</w:t>
      </w:r>
      <w:r w:rsidR="000436F5">
        <w:rPr>
          <w:rFonts w:cs="Calibri"/>
        </w:rPr>
        <w:t xml:space="preserve"> súd</w:t>
      </w:r>
      <w:r w:rsidR="00637EA8">
        <w:rPr>
          <w:rFonts w:cs="Calibri"/>
        </w:rPr>
        <w:t>u</w:t>
      </w:r>
      <w:r w:rsidR="000436F5">
        <w:rPr>
          <w:rFonts w:cs="Calibri"/>
        </w:rPr>
        <w:t xml:space="preserve"> a Úrad</w:t>
      </w:r>
      <w:r w:rsidR="00637EA8">
        <w:rPr>
          <w:rFonts w:cs="Calibri"/>
        </w:rPr>
        <w:t>u</w:t>
      </w:r>
      <w:r w:rsidR="000436F5">
        <w:rPr>
          <w:rFonts w:cs="Calibri"/>
        </w:rPr>
        <w:t xml:space="preserve"> špeciálnej prokuratúry prešli </w:t>
      </w:r>
      <w:r w:rsidR="00637EA8">
        <w:rPr>
          <w:rFonts w:cs="Calibri"/>
        </w:rPr>
        <w:t>trestné stíhania začaté pred 1. novembrom 2006, ak v nich do tohto dátumu nebola</w:t>
      </w:r>
      <w:r w:rsidR="00422A70">
        <w:rPr>
          <w:rFonts w:cs="Calibri"/>
        </w:rPr>
        <w:t xml:space="preserve"> ešte </w:t>
      </w:r>
      <w:r w:rsidR="00637EA8">
        <w:rPr>
          <w:rFonts w:cs="Calibri"/>
        </w:rPr>
        <w:t>podaná obžaloba a nariadené hlavné pojednávanie.</w:t>
      </w:r>
    </w:p>
    <w:p w:rsidR="00C67EDB" w:rsidP="001B39CB">
      <w:pPr>
        <w:pStyle w:val="BodyText3"/>
        <w:jc w:val="both"/>
        <w:rPr>
          <w:rFonts w:cs="Calibri"/>
        </w:rPr>
      </w:pPr>
    </w:p>
    <w:p w:rsidR="00C67EDB" w:rsidRPr="00C67EDB" w:rsidP="001B39CB">
      <w:pPr>
        <w:pStyle w:val="BodyText3"/>
        <w:jc w:val="both"/>
        <w:rPr>
          <w:rFonts w:cs="Calibri"/>
          <w:b/>
          <w:u w:val="single"/>
        </w:rPr>
      </w:pPr>
      <w:r w:rsidRPr="00C67EDB">
        <w:rPr>
          <w:rFonts w:cs="Calibri"/>
          <w:b/>
          <w:u w:val="single"/>
        </w:rPr>
        <w:t>K čl. II</w:t>
      </w:r>
    </w:p>
    <w:p w:rsidR="00C67EDB" w:rsidP="001B39CB">
      <w:pPr>
        <w:pStyle w:val="BodyText3"/>
        <w:jc w:val="both"/>
        <w:rPr>
          <w:rFonts w:cs="Calibri"/>
        </w:rPr>
      </w:pPr>
    </w:p>
    <w:p w:rsidR="00C67EDB" w:rsidRPr="0026293E" w:rsidP="001B39CB">
      <w:pPr>
        <w:pStyle w:val="BodyText3"/>
        <w:jc w:val="both"/>
        <w:rPr>
          <w:rFonts w:cs="Calibri"/>
        </w:rPr>
      </w:pPr>
      <w:r w:rsidR="00DD72F4">
        <w:rPr>
          <w:rFonts w:cs="Calibri"/>
        </w:rPr>
        <w:t>Navrhuje sa účinnosť 1. novembra 2006.</w:t>
      </w:r>
    </w:p>
    <w:sectPr>
      <w:footerReference w:type="even" r:id="rId4"/>
      <w:footerReference w:type="default" r:id="rId5"/>
      <w:pgSz w:w="11906" w:h="16838" w:code="9"/>
      <w:pgMar w:top="1438" w:right="1134" w:bottom="1438" w:left="1134" w:header="709" w:footer="709" w:gutter="0"/>
      <w:cols w:space="708"/>
      <w:titlePg/>
      <w:bidi w:val="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  <w:font w:name="MS Mincho">
    <w:altName w:val="ＭＳ 明朝"/>
    <w:panose1 w:val="02020609040205080304"/>
    <w:charset w:val="00"/>
    <w:family w:val="roman"/>
    <w:pitch w:val="fixed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ms sans serif"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1C5" w:rsidP="00577D5E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C31C5" w:rsidP="003213C9">
    <w:pPr>
      <w:pStyle w:val="Footer"/>
      <w:ind w:right="360"/>
      <w:rPr>
        <w:rFonts w:cs="Calibri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1C5" w:rsidP="00577D5E">
    <w:pPr>
      <w:pStyle w:val="Footer"/>
      <w:framePr w:vAnchor="text" w:hAnchor="margin" w:xAlign="right" w:y="1"/>
      <w:rPr>
        <w:rStyle w:val="PageNumber"/>
      </w:rPr>
    </w:pPr>
  </w:p>
  <w:p w:rsidR="00577D5E" w:rsidP="00577D5E">
    <w:pPr>
      <w:pStyle w:val="Footer"/>
      <w:framePr w:vAnchor="text" w:hAnchor="margin" w:xAlign="right" w:y="1"/>
      <w:rPr>
        <w:rStyle w:val="PageNumber"/>
      </w:rPr>
    </w:pPr>
  </w:p>
  <w:p w:rsidR="000C31C5" w:rsidP="003213C9">
    <w:pPr>
      <w:pStyle w:val="Footer"/>
      <w:ind w:right="360"/>
      <w:rPr>
        <w:rFonts w:cs="Calibri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7F82"/>
    <w:multiLevelType w:val="hybridMultilevel"/>
    <w:tmpl w:val="FBE64630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1">
    <w:nsid w:val="026763B5"/>
    <w:multiLevelType w:val="hybridMultilevel"/>
    <w:tmpl w:val="ADBE0784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2">
    <w:nsid w:val="02C5734B"/>
    <w:multiLevelType w:val="hybridMultilevel"/>
    <w:tmpl w:val="AD122CDA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</w:rPr>
    </w:lvl>
  </w:abstractNum>
  <w:abstractNum w:abstractNumId="3">
    <w:nsid w:val="05861ECD"/>
    <w:multiLevelType w:val="hybridMultilevel"/>
    <w:tmpl w:val="A4B8A2A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4">
    <w:nsid w:val="080E39D5"/>
    <w:multiLevelType w:val="hybridMultilevel"/>
    <w:tmpl w:val="9FE6C110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5">
    <w:nsid w:val="0C7C2AA4"/>
    <w:multiLevelType w:val="hybridMultilevel"/>
    <w:tmpl w:val="6652E6F0"/>
    <w:lvl w:ilvl="0">
      <w:start w:val="1"/>
      <w:numFmt w:val="decimal"/>
      <w:lvlText w:val="(%1)"/>
      <w:lvlJc w:val="left"/>
      <w:pPr>
        <w:tabs>
          <w:tab w:val="num" w:pos="1215"/>
        </w:tabs>
        <w:ind w:left="1215" w:hanging="495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</w:rPr>
    </w:lvl>
  </w:abstractNum>
  <w:abstractNum w:abstractNumId="6">
    <w:nsid w:val="0DB92BC8"/>
    <w:multiLevelType w:val="hybridMultilevel"/>
    <w:tmpl w:val="B4B06F30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7">
    <w:nsid w:val="15BA34A5"/>
    <w:multiLevelType w:val="hybridMultilevel"/>
    <w:tmpl w:val="CF58188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8">
    <w:nsid w:val="16AF6E8D"/>
    <w:multiLevelType w:val="hybridMultilevel"/>
    <w:tmpl w:val="DE40C876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9">
    <w:nsid w:val="18873A02"/>
    <w:multiLevelType w:val="hybridMultilevel"/>
    <w:tmpl w:val="83D2A98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  <w:rtl w:val="0"/>
      </w:rPr>
    </w:lvl>
  </w:abstractNum>
  <w:abstractNum w:abstractNumId="10">
    <w:nsid w:val="1A543304"/>
    <w:multiLevelType w:val="hybridMultilevel"/>
    <w:tmpl w:val="C92C4C24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11">
    <w:nsid w:val="1ABD71EB"/>
    <w:multiLevelType w:val="hybridMultilevel"/>
    <w:tmpl w:val="1360C0F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12">
    <w:nsid w:val="1BC513E3"/>
    <w:multiLevelType w:val="hybridMultilevel"/>
    <w:tmpl w:val="23F61F4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13">
    <w:nsid w:val="1E4447CB"/>
    <w:multiLevelType w:val="hybridMultilevel"/>
    <w:tmpl w:val="05A02EA4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14">
    <w:nsid w:val="1F470EDD"/>
    <w:multiLevelType w:val="hybridMultilevel"/>
    <w:tmpl w:val="C166E620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15">
    <w:nsid w:val="214A5283"/>
    <w:multiLevelType w:val="hybridMultilevel"/>
    <w:tmpl w:val="6E147D72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16">
    <w:nsid w:val="21F85463"/>
    <w:multiLevelType w:val="hybridMultilevel"/>
    <w:tmpl w:val="C60A000A"/>
    <w:lvl w:ilvl="0">
      <w:start w:val="1"/>
      <w:numFmt w:val="decimal"/>
      <w:lvlText w:val="(%1)"/>
      <w:lvlJc w:val="left"/>
      <w:pPr>
        <w:tabs>
          <w:tab w:val="num" w:pos="757"/>
        </w:tabs>
        <w:ind w:left="757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  <w:rtl w:val="0"/>
      </w:rPr>
    </w:lvl>
  </w:abstractNum>
  <w:abstractNum w:abstractNumId="17">
    <w:nsid w:val="355B277C"/>
    <w:multiLevelType w:val="hybridMultilevel"/>
    <w:tmpl w:val="178A591A"/>
    <w:lvl w:ilvl="0">
      <w:start w:val="1"/>
      <w:numFmt w:val="decimal"/>
      <w:lvlText w:val="(%1)"/>
      <w:lvlJc w:val="left"/>
      <w:pPr>
        <w:ind w:left="1716" w:hanging="1008"/>
      </w:pPr>
      <w:rPr>
        <w:rFonts w:ascii="ms sans serif" w:hAnsi="ms sans serif" w:cs="Times New Roman"/>
        <w:rtl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</w:rPr>
    </w:lvl>
  </w:abstractNum>
  <w:abstractNum w:abstractNumId="18">
    <w:nsid w:val="38B066EE"/>
    <w:multiLevelType w:val="hybridMultilevel"/>
    <w:tmpl w:val="1FA8C81E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19">
    <w:nsid w:val="38EB5611"/>
    <w:multiLevelType w:val="hybridMultilevel"/>
    <w:tmpl w:val="3ABC945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20">
    <w:nsid w:val="39356C59"/>
    <w:multiLevelType w:val="hybridMultilevel"/>
    <w:tmpl w:val="B7A6EA14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21">
    <w:nsid w:val="39C86B59"/>
    <w:multiLevelType w:val="singleLevel"/>
    <w:tmpl w:val="FD8A555A"/>
    <w:lvl w:ilvl="0">
      <w:start w:val="16"/>
      <w:numFmt w:val="decimal"/>
      <w:lvlJc w:val="left"/>
      <w:pPr>
        <w:tabs>
          <w:tab w:val="num" w:pos="360"/>
        </w:tabs>
        <w:ind w:left="360" w:hanging="360"/>
      </w:pPr>
      <w:rPr>
        <w:rFonts w:cs="Times New Roman"/>
        <w:b/>
        <w:rtl w:val="0"/>
      </w:rPr>
    </w:lvl>
  </w:abstractNum>
  <w:abstractNum w:abstractNumId="22">
    <w:nsid w:val="3C135BE9"/>
    <w:multiLevelType w:val="hybridMultilevel"/>
    <w:tmpl w:val="746A6AC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23">
    <w:nsid w:val="404E2B8E"/>
    <w:multiLevelType w:val="hybridMultilevel"/>
    <w:tmpl w:val="96C8F94E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</w:rPr>
    </w:lvl>
  </w:abstractNum>
  <w:abstractNum w:abstractNumId="24">
    <w:nsid w:val="42196980"/>
    <w:multiLevelType w:val="hybridMultilevel"/>
    <w:tmpl w:val="0962470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</w:rPr>
    </w:lvl>
  </w:abstractNum>
  <w:abstractNum w:abstractNumId="25">
    <w:nsid w:val="42A56412"/>
    <w:multiLevelType w:val="hybridMultilevel"/>
    <w:tmpl w:val="4DC036A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26">
    <w:nsid w:val="467779A5"/>
    <w:multiLevelType w:val="hybridMultilevel"/>
    <w:tmpl w:val="54E08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27">
    <w:nsid w:val="49B26665"/>
    <w:multiLevelType w:val="hybridMultilevel"/>
    <w:tmpl w:val="9FB2DB40"/>
    <w:lvl w:ilvl="0">
      <w:start w:val="1"/>
      <w:numFmt w:val="lowerLetter"/>
      <w:lvlText w:val="%1)"/>
      <w:lvlJc w:val="left"/>
      <w:pPr>
        <w:tabs>
          <w:tab w:val="num" w:pos="718"/>
        </w:tabs>
        <w:ind w:left="718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38"/>
        </w:tabs>
        <w:ind w:left="1438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58"/>
        </w:tabs>
        <w:ind w:left="2158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78"/>
        </w:tabs>
        <w:ind w:left="2878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598"/>
        </w:tabs>
        <w:ind w:left="3598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18"/>
        </w:tabs>
        <w:ind w:left="4318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38"/>
        </w:tabs>
        <w:ind w:left="5038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58"/>
        </w:tabs>
        <w:ind w:left="5758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78"/>
        </w:tabs>
        <w:ind w:left="6478" w:hanging="180"/>
      </w:pPr>
      <w:rPr>
        <w:rFonts w:cs="Times New Roman"/>
        <w:rtl w:val="0"/>
      </w:rPr>
    </w:lvl>
  </w:abstractNum>
  <w:abstractNum w:abstractNumId="28">
    <w:nsid w:val="4D213C21"/>
    <w:multiLevelType w:val="hybridMultilevel"/>
    <w:tmpl w:val="F7925EC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29">
    <w:nsid w:val="4DB6757D"/>
    <w:multiLevelType w:val="multilevel"/>
    <w:tmpl w:val="1FEAA4A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30">
    <w:nsid w:val="4F274273"/>
    <w:multiLevelType w:val="hybridMultilevel"/>
    <w:tmpl w:val="0020428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31">
    <w:nsid w:val="51864FA8"/>
    <w:multiLevelType w:val="hybridMultilevel"/>
    <w:tmpl w:val="1FEAA4AA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  <w:rtl w:val="0"/>
      </w:rPr>
    </w:lvl>
  </w:abstractNum>
  <w:abstractNum w:abstractNumId="32">
    <w:nsid w:val="51CC3F47"/>
    <w:multiLevelType w:val="hybridMultilevel"/>
    <w:tmpl w:val="C29A01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33">
    <w:nsid w:val="59CE7E36"/>
    <w:multiLevelType w:val="hybridMultilevel"/>
    <w:tmpl w:val="64FEE376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34">
    <w:nsid w:val="59D45EA3"/>
    <w:multiLevelType w:val="hybridMultilevel"/>
    <w:tmpl w:val="B3066668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35">
    <w:nsid w:val="5AD970D6"/>
    <w:multiLevelType w:val="hybridMultilevel"/>
    <w:tmpl w:val="49800C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36">
    <w:nsid w:val="5F31307D"/>
    <w:multiLevelType w:val="hybridMultilevel"/>
    <w:tmpl w:val="D5BC3B0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37">
    <w:nsid w:val="5F79759C"/>
    <w:multiLevelType w:val="hybridMultilevel"/>
    <w:tmpl w:val="461ABBD8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38">
    <w:nsid w:val="66B74C4B"/>
    <w:multiLevelType w:val="hybridMultilevel"/>
    <w:tmpl w:val="855462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39">
    <w:nsid w:val="670B636F"/>
    <w:multiLevelType w:val="hybridMultilevel"/>
    <w:tmpl w:val="E40EAF4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40">
    <w:nsid w:val="74187FF1"/>
    <w:multiLevelType w:val="hybridMultilevel"/>
    <w:tmpl w:val="166ED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  <w:sz w:val="24"/>
        <w:szCs w:val="24"/>
        <w:rtl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41">
    <w:nsid w:val="74570C37"/>
    <w:multiLevelType w:val="hybridMultilevel"/>
    <w:tmpl w:val="80DE21F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42">
    <w:nsid w:val="77891B41"/>
    <w:multiLevelType w:val="hybridMultilevel"/>
    <w:tmpl w:val="99F2585E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43">
    <w:nsid w:val="785C22BE"/>
    <w:multiLevelType w:val="hybridMultilevel"/>
    <w:tmpl w:val="13FA9FE0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44">
    <w:nsid w:val="7C7D0974"/>
    <w:multiLevelType w:val="hybridMultilevel"/>
    <w:tmpl w:val="90021CF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45">
    <w:nsid w:val="7CFF168C"/>
    <w:multiLevelType w:val="hybridMultilevel"/>
    <w:tmpl w:val="3E466170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46">
    <w:nsid w:val="7D306B84"/>
    <w:multiLevelType w:val="hybridMultilevel"/>
    <w:tmpl w:val="C53E6A2E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47">
    <w:nsid w:val="7D922FF8"/>
    <w:multiLevelType w:val="hybridMultilevel"/>
    <w:tmpl w:val="E53483F6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48">
    <w:nsid w:val="7F7E4732"/>
    <w:multiLevelType w:val="hybridMultilevel"/>
    <w:tmpl w:val="FF40FC3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num w:numId="1">
    <w:abstractNumId w:val="21"/>
  </w:num>
  <w:num w:numId="2">
    <w:abstractNumId w:val="32"/>
  </w:num>
  <w:num w:numId="3">
    <w:abstractNumId w:val="25"/>
  </w:num>
  <w:num w:numId="4">
    <w:abstractNumId w:val="38"/>
  </w:num>
  <w:num w:numId="5">
    <w:abstractNumId w:val="16"/>
  </w:num>
  <w:num w:numId="6">
    <w:abstractNumId w:val="24"/>
  </w:num>
  <w:num w:numId="7">
    <w:abstractNumId w:val="35"/>
  </w:num>
  <w:num w:numId="8">
    <w:abstractNumId w:val="28"/>
  </w:num>
  <w:num w:numId="9">
    <w:abstractNumId w:val="27"/>
  </w:num>
  <w:num w:numId="10">
    <w:abstractNumId w:val="2"/>
  </w:num>
  <w:num w:numId="11">
    <w:abstractNumId w:val="9"/>
  </w:num>
  <w:num w:numId="12">
    <w:abstractNumId w:val="31"/>
  </w:num>
  <w:num w:numId="13">
    <w:abstractNumId w:val="40"/>
  </w:num>
  <w:num w:numId="14">
    <w:abstractNumId w:val="26"/>
  </w:num>
  <w:num w:numId="15">
    <w:abstractNumId w:val="15"/>
  </w:num>
  <w:num w:numId="16">
    <w:abstractNumId w:val="5"/>
  </w:num>
  <w:num w:numId="17">
    <w:abstractNumId w:val="1"/>
  </w:num>
  <w:num w:numId="18">
    <w:abstractNumId w:val="45"/>
  </w:num>
  <w:num w:numId="19">
    <w:abstractNumId w:val="19"/>
  </w:num>
  <w:num w:numId="20">
    <w:abstractNumId w:val="8"/>
  </w:num>
  <w:num w:numId="21">
    <w:abstractNumId w:val="3"/>
  </w:num>
  <w:num w:numId="22">
    <w:abstractNumId w:val="4"/>
  </w:num>
  <w:num w:numId="23">
    <w:abstractNumId w:val="12"/>
  </w:num>
  <w:num w:numId="24">
    <w:abstractNumId w:val="13"/>
  </w:num>
  <w:num w:numId="25">
    <w:abstractNumId w:val="33"/>
  </w:num>
  <w:num w:numId="26">
    <w:abstractNumId w:val="41"/>
  </w:num>
  <w:num w:numId="27">
    <w:abstractNumId w:val="10"/>
  </w:num>
  <w:num w:numId="28">
    <w:abstractNumId w:val="22"/>
  </w:num>
  <w:num w:numId="29">
    <w:abstractNumId w:val="37"/>
  </w:num>
  <w:num w:numId="30">
    <w:abstractNumId w:val="29"/>
  </w:num>
  <w:num w:numId="31">
    <w:abstractNumId w:val="11"/>
  </w:num>
  <w:num w:numId="32">
    <w:abstractNumId w:val="46"/>
  </w:num>
  <w:num w:numId="33">
    <w:abstractNumId w:val="0"/>
  </w:num>
  <w:num w:numId="34">
    <w:abstractNumId w:val="6"/>
  </w:num>
  <w:num w:numId="35">
    <w:abstractNumId w:val="14"/>
  </w:num>
  <w:num w:numId="36">
    <w:abstractNumId w:val="18"/>
  </w:num>
  <w:num w:numId="37">
    <w:abstractNumId w:val="34"/>
  </w:num>
  <w:num w:numId="38">
    <w:abstractNumId w:val="48"/>
  </w:num>
  <w:num w:numId="39">
    <w:abstractNumId w:val="44"/>
  </w:num>
  <w:num w:numId="40">
    <w:abstractNumId w:val="20"/>
  </w:num>
  <w:num w:numId="41">
    <w:abstractNumId w:val="36"/>
  </w:num>
  <w:num w:numId="42">
    <w:abstractNumId w:val="30"/>
  </w:num>
  <w:num w:numId="43">
    <w:abstractNumId w:val="7"/>
  </w:num>
  <w:num w:numId="44">
    <w:abstractNumId w:val="43"/>
  </w:num>
  <w:num w:numId="45">
    <w:abstractNumId w:val="39"/>
  </w:num>
  <w:num w:numId="46">
    <w:abstractNumId w:val="42"/>
  </w:num>
  <w:num w:numId="47">
    <w:abstractNumId w:val="47"/>
  </w:num>
  <w:num w:numId="48">
    <w:abstractNumId w:val="17"/>
  </w:num>
  <w:num w:numId="4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oNotHyphenateCaps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436F5"/>
    <w:rsid w:val="000737CC"/>
    <w:rsid w:val="000C31C5"/>
    <w:rsid w:val="000E495F"/>
    <w:rsid w:val="001049E7"/>
    <w:rsid w:val="00142232"/>
    <w:rsid w:val="00185CB7"/>
    <w:rsid w:val="001B39CB"/>
    <w:rsid w:val="001D1183"/>
    <w:rsid w:val="0026293E"/>
    <w:rsid w:val="00281250"/>
    <w:rsid w:val="00295FE9"/>
    <w:rsid w:val="003213C9"/>
    <w:rsid w:val="0038334F"/>
    <w:rsid w:val="003C31F7"/>
    <w:rsid w:val="003E3B95"/>
    <w:rsid w:val="0041278A"/>
    <w:rsid w:val="00416AF6"/>
    <w:rsid w:val="00422A70"/>
    <w:rsid w:val="0044431F"/>
    <w:rsid w:val="0047743B"/>
    <w:rsid w:val="00487FDB"/>
    <w:rsid w:val="004A4AF2"/>
    <w:rsid w:val="00577D5E"/>
    <w:rsid w:val="0061487C"/>
    <w:rsid w:val="00622A3D"/>
    <w:rsid w:val="00634607"/>
    <w:rsid w:val="00637EA8"/>
    <w:rsid w:val="00640E6C"/>
    <w:rsid w:val="00664A0D"/>
    <w:rsid w:val="00696410"/>
    <w:rsid w:val="007D1203"/>
    <w:rsid w:val="008F165E"/>
    <w:rsid w:val="00900905"/>
    <w:rsid w:val="009F4F04"/>
    <w:rsid w:val="00A92C9A"/>
    <w:rsid w:val="00A95E43"/>
    <w:rsid w:val="00AB26DF"/>
    <w:rsid w:val="00B55394"/>
    <w:rsid w:val="00B7342D"/>
    <w:rsid w:val="00BD7511"/>
    <w:rsid w:val="00BF2B48"/>
    <w:rsid w:val="00BF40AD"/>
    <w:rsid w:val="00BF41FF"/>
    <w:rsid w:val="00C67EDB"/>
    <w:rsid w:val="00C73EBD"/>
    <w:rsid w:val="00D11742"/>
    <w:rsid w:val="00D93A42"/>
    <w:rsid w:val="00DB3526"/>
    <w:rsid w:val="00DC7AA0"/>
    <w:rsid w:val="00DD72F4"/>
    <w:rsid w:val="00E22DDD"/>
    <w:rsid w:val="00E36B76"/>
    <w:rsid w:val="00E45AE7"/>
    <w:rsid w:val="00E923F2"/>
    <w:rsid w:val="00F051A4"/>
    <w:rsid w:val="00FC2F77"/>
    <w:rsid w:val="00FE2C4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/>
    <w:lsdException w:name="heading 1" w:locked="1"/>
    <w:lsdException w:name="heading 2" w:locked="1"/>
    <w:lsdException w:name="heading 3" w:locked="1"/>
    <w:lsdException w:name="heading 4" w:locked="1"/>
    <w:lsdException w:name="heading 5" w:locked="1"/>
    <w:lsdException w:name="heading 6" w:locked="1"/>
    <w:lsdException w:name="heading 7" w:locked="1"/>
    <w:lsdException w:name="heading 8" w:locked="1"/>
    <w:lsdException w:name="heading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/>
    <w:lsdException w:name="page number" w:locked="1"/>
    <w:lsdException w:name="Title" w:locked="1"/>
    <w:lsdException w:name="Body Text" w:locked="1"/>
    <w:lsdException w:name="Subtitle" w:locked="1"/>
    <w:lsdException w:name="Salutation" w:locked="1"/>
    <w:lsdException w:name="Body Text 2" w:locked="1"/>
    <w:lsdException w:name="Body Text 3" w:locked="1"/>
    <w:lsdException w:name="Strong" w:locked="1"/>
    <w:lsdException w:name="Emphasis" w:locked="1"/>
    <w:lsdException w:name="No List" w:locked="1"/>
    <w:lsdException w:name="Balloo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locked/>
    <w:rsid w:val="00E45AE7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Times New Roman" w:hAnsi="Times New Roman"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link w:val="CharChar9"/>
    <w:locked/>
    <w:rsid w:val="00E45AE7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character" w:customStyle="1" w:styleId="CharChar9">
    <w:name w:val="Char Char9"/>
    <w:basedOn w:val="DefaultParagraphFont"/>
    <w:link w:val="Heading1"/>
    <w:locked/>
    <w:rsid w:val="00E45AE7"/>
    <w:rPr>
      <w:rFonts w:ascii="Times New Roman" w:hAnsi="Times New Roman" w:cs="Times New Roman"/>
      <w:b/>
      <w:bCs/>
      <w:sz w:val="24"/>
      <w:szCs w:val="24"/>
      <w:rtl w:val="0"/>
      <w:lang w:val="x-none"/>
    </w:rPr>
  </w:style>
  <w:style w:type="paragraph" w:styleId="BodyText2">
    <w:name w:val="Body Text 2"/>
    <w:basedOn w:val="Normal"/>
    <w:link w:val="CharChar8"/>
    <w:locked/>
    <w:rsid w:val="00E45AE7"/>
    <w:pPr>
      <w:jc w:val="left"/>
    </w:pPr>
    <w:rPr>
      <w:b/>
      <w:bCs/>
    </w:rPr>
  </w:style>
  <w:style w:type="character" w:customStyle="1" w:styleId="CharChar8">
    <w:name w:val="Char Char8"/>
    <w:basedOn w:val="DefaultParagraphFont"/>
    <w:link w:val="BodyText2"/>
    <w:locked/>
    <w:rsid w:val="00E45AE7"/>
    <w:rPr>
      <w:rFonts w:ascii="Times New Roman" w:hAnsi="Times New Roman" w:cs="Times New Roman"/>
      <w:b/>
      <w:bCs/>
      <w:sz w:val="24"/>
      <w:szCs w:val="24"/>
      <w:rtl w:val="0"/>
      <w:lang w:val="x-none"/>
    </w:rPr>
  </w:style>
  <w:style w:type="paragraph" w:styleId="BodyText3">
    <w:name w:val="Body Text 3"/>
    <w:basedOn w:val="Normal"/>
    <w:link w:val="CharChar7"/>
    <w:locked/>
    <w:rsid w:val="00E45AE7"/>
    <w:pPr>
      <w:jc w:val="right"/>
    </w:pPr>
  </w:style>
  <w:style w:type="character" w:customStyle="1" w:styleId="CharChar7">
    <w:name w:val="Char Char7"/>
    <w:basedOn w:val="DefaultParagraphFont"/>
    <w:link w:val="BodyText3"/>
    <w:locked/>
    <w:rsid w:val="00E45AE7"/>
    <w:rPr>
      <w:rFonts w:ascii="Times New Roman" w:hAnsi="Times New Roman" w:cs="Times New Roman"/>
      <w:sz w:val="24"/>
      <w:szCs w:val="24"/>
      <w:rtl w:val="0"/>
      <w:lang w:val="x-none"/>
    </w:rPr>
  </w:style>
  <w:style w:type="paragraph" w:styleId="BodyText">
    <w:name w:val="Body Text"/>
    <w:basedOn w:val="Normal"/>
    <w:link w:val="CharChar6"/>
    <w:locked/>
    <w:rsid w:val="00E45AE7"/>
    <w:pPr>
      <w:jc w:val="center"/>
    </w:pPr>
    <w:rPr>
      <w:b/>
      <w:bCs/>
    </w:rPr>
  </w:style>
  <w:style w:type="character" w:customStyle="1" w:styleId="CharChar6">
    <w:name w:val="Char Char6"/>
    <w:basedOn w:val="DefaultParagraphFont"/>
    <w:link w:val="BodyText"/>
    <w:locked/>
    <w:rsid w:val="00E45AE7"/>
    <w:rPr>
      <w:rFonts w:ascii="Times New Roman" w:hAnsi="Times New Roman" w:cs="Times New Roman"/>
      <w:b/>
      <w:bCs/>
      <w:sz w:val="24"/>
      <w:szCs w:val="24"/>
      <w:rtl w:val="0"/>
      <w:lang w:val="x-none"/>
    </w:rPr>
  </w:style>
  <w:style w:type="paragraph" w:styleId="Salutation">
    <w:name w:val="Salutation"/>
    <w:basedOn w:val="Normal"/>
    <w:next w:val="Normal"/>
    <w:link w:val="CharChar3"/>
    <w:locked/>
    <w:rsid w:val="00E45AE7"/>
    <w:pPr>
      <w:jc w:val="left"/>
    </w:pPr>
  </w:style>
  <w:style w:type="character" w:customStyle="1" w:styleId="CharChar3">
    <w:name w:val="Char Char3"/>
    <w:basedOn w:val="DefaultParagraphFont"/>
    <w:link w:val="Salutation"/>
    <w:locked/>
    <w:rsid w:val="00E45AE7"/>
    <w:rPr>
      <w:rFonts w:ascii="Times New Roman" w:hAnsi="Times New Roman" w:cs="Times New Roman"/>
      <w:sz w:val="24"/>
      <w:szCs w:val="24"/>
      <w:rtl w:val="0"/>
      <w:lang w:val="x-none"/>
    </w:rPr>
  </w:style>
  <w:style w:type="paragraph" w:styleId="Header">
    <w:name w:val="header"/>
    <w:basedOn w:val="Normal"/>
    <w:link w:val="CharChar2"/>
    <w:locked/>
    <w:rsid w:val="00E45AE7"/>
    <w:pPr>
      <w:tabs>
        <w:tab w:val="center" w:pos="4536"/>
        <w:tab w:val="right" w:pos="9072"/>
      </w:tabs>
      <w:jc w:val="left"/>
    </w:pPr>
  </w:style>
  <w:style w:type="character" w:customStyle="1" w:styleId="CharChar2">
    <w:name w:val="Char Char2"/>
    <w:basedOn w:val="DefaultParagraphFont"/>
    <w:link w:val="Header"/>
    <w:locked/>
    <w:rsid w:val="00E45AE7"/>
    <w:rPr>
      <w:rFonts w:ascii="Times New Roman" w:hAnsi="Times New Roman" w:cs="Times New Roman"/>
      <w:sz w:val="24"/>
      <w:szCs w:val="24"/>
      <w:rtl w:val="0"/>
      <w:lang w:val="x-none"/>
    </w:rPr>
  </w:style>
  <w:style w:type="paragraph" w:styleId="Footer">
    <w:name w:val="footer"/>
    <w:basedOn w:val="Normal"/>
    <w:link w:val="CharChar1"/>
    <w:locked/>
    <w:rsid w:val="00E45AE7"/>
    <w:pPr>
      <w:tabs>
        <w:tab w:val="center" w:pos="4536"/>
        <w:tab w:val="right" w:pos="9072"/>
      </w:tabs>
      <w:jc w:val="left"/>
    </w:pPr>
  </w:style>
  <w:style w:type="character" w:customStyle="1" w:styleId="CharChar1">
    <w:name w:val="Char Char1"/>
    <w:basedOn w:val="DefaultParagraphFont"/>
    <w:link w:val="Footer"/>
    <w:locked/>
    <w:rsid w:val="00E45AE7"/>
    <w:rPr>
      <w:rFonts w:ascii="Times New Roman" w:hAnsi="Times New Roman" w:cs="Times New Roman"/>
      <w:sz w:val="24"/>
      <w:szCs w:val="24"/>
      <w:rtl w:val="0"/>
      <w:lang w:val="x-none"/>
    </w:rPr>
  </w:style>
  <w:style w:type="character" w:styleId="PageNumber">
    <w:name w:val="page number"/>
    <w:basedOn w:val="DefaultParagraphFont"/>
    <w:locked/>
    <w:rsid w:val="00E45AE7"/>
    <w:rPr>
      <w:rFonts w:cs="Times New Roman"/>
      <w:rtl w:val="0"/>
    </w:rPr>
  </w:style>
  <w:style w:type="paragraph" w:styleId="BalloonText">
    <w:name w:val="Balloon Text"/>
    <w:basedOn w:val="Normal"/>
    <w:link w:val="CharChar"/>
    <w:semiHidden/>
    <w:locked/>
    <w:rsid w:val="00E45AE7"/>
    <w:pPr>
      <w:jc w:val="left"/>
    </w:pPr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DefaultParagraphFont"/>
    <w:link w:val="BalloonText"/>
    <w:semiHidden/>
    <w:locked/>
    <w:rsid w:val="00E45AE7"/>
    <w:rPr>
      <w:rFonts w:ascii="Tahoma" w:hAnsi="Tahoma" w:cs="Tahoma"/>
      <w:sz w:val="16"/>
      <w:szCs w:val="16"/>
      <w:rtl w:val="0"/>
      <w:lang w:val="x-none"/>
    </w:rPr>
  </w:style>
  <w:style w:type="paragraph" w:styleId="BodyTextIndent2">
    <w:name w:val="Body Text Indent 2"/>
    <w:basedOn w:val="Normal"/>
    <w:rsid w:val="00BD7511"/>
    <w:pPr>
      <w:spacing w:after="120" w:line="480" w:lineRule="auto"/>
      <w:ind w:left="283"/>
      <w:jc w:val="left"/>
    </w:pPr>
  </w:style>
  <w:style w:type="character" w:customStyle="1" w:styleId="CharChar4">
    <w:name w:val="Char Char4"/>
    <w:basedOn w:val="DefaultParagraphFont"/>
    <w:locked/>
    <w:rsid w:val="004A4AF2"/>
    <w:rPr>
      <w:b/>
      <w:bCs/>
      <w:sz w:val="24"/>
      <w:szCs w:val="24"/>
      <w:rtl w:val="0"/>
      <w:lang w:val="sk-SK" w:bidi="ar-SA"/>
    </w:rPr>
  </w:style>
  <w:style w:type="character" w:customStyle="1" w:styleId="CharChar5">
    <w:name w:val="Char Char5"/>
    <w:basedOn w:val="DefaultParagraphFont"/>
    <w:locked/>
    <w:rsid w:val="0041278A"/>
    <w:rPr>
      <w:sz w:val="24"/>
      <w:szCs w:val="24"/>
      <w:rtl w:val="0"/>
      <w:lang w:val="sk-SK" w:bidi="ar-SA"/>
    </w:rPr>
  </w:style>
  <w:style w:type="paragraph" w:customStyle="1" w:styleId="titulok">
    <w:name w:val="titulok"/>
    <w:basedOn w:val="Normal"/>
    <w:rsid w:val="0041278A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6</Pages>
  <Words>1252</Words>
  <Characters>7142</Characters>
  <Application>Microsoft Office Word</Application>
  <DocSecurity>0</DocSecurity>
  <Lines>0</Lines>
  <Paragraphs>0</Paragraphs>
  <ScaleCrop>false</ScaleCrop>
  <Company>individual</Company>
  <LinksUpToDate>false</LinksUpToDate>
  <CharactersWithSpaces>8378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 RADA  SLOVENSKEJ  REPUBLIKY</dc:title>
  <dc:creator>Marek Kalavsky</dc:creator>
  <cp:lastModifiedBy>gaspjarm</cp:lastModifiedBy>
  <cp:revision>3</cp:revision>
  <cp:lastPrinted>2006-08-01T11:34:00Z</cp:lastPrinted>
  <dcterms:created xsi:type="dcterms:W3CDTF">2006-08-01T13:29:00Z</dcterms:created>
  <dcterms:modified xsi:type="dcterms:W3CDTF">2006-08-04T11:48:00Z</dcterms:modified>
</cp:coreProperties>
</file>