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N Á R O D N Á     R A D A    S L O V E N S K E J      R E P U B L I K Y</w:t>
      </w:r>
    </w:p>
    <w:p>
      <w:pPr>
        <w:jc w:val="center"/>
        <w:rPr>
          <w:b/>
        </w:rPr>
      </w:pPr>
      <w:r>
        <w:rPr>
          <w:b/>
        </w:rPr>
        <w:t>IV. volebné obdobie</w:t>
      </w:r>
    </w:p>
    <w:p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pStyle w:val="Heading1"/>
        <w:rPr>
          <w:bCs w:val="0"/>
          <w:sz w:val="32"/>
          <w:szCs w:val="32"/>
        </w:rPr>
      </w:pPr>
    </w:p>
    <w:p>
      <w:pPr>
        <w:pStyle w:val="Heading1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25</w:t>
      </w:r>
    </w:p>
    <w:p>
      <w:pPr>
        <w:pStyle w:val="Heading1"/>
        <w:rPr>
          <w:b w:val="0"/>
        </w:rPr>
      </w:pPr>
    </w:p>
    <w:p>
      <w:pPr>
        <w:pStyle w:val="Heading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VLÁDNY  NÁVRH</w:t>
      </w:r>
    </w:p>
    <w:p>
      <w:pPr>
        <w:rPr>
          <w:b/>
          <w:bCs/>
        </w:rPr>
      </w:pPr>
    </w:p>
    <w:p>
      <w:pPr>
        <w:pStyle w:val="Heading1"/>
        <w:rPr>
          <w:rFonts w:eastAsia="Arial Unicode MS"/>
          <w:bCs w:val="0"/>
          <w:sz w:val="28"/>
          <w:szCs w:val="28"/>
        </w:rPr>
      </w:pPr>
      <w:r>
        <w:rPr>
          <w:bCs w:val="0"/>
          <w:sz w:val="28"/>
          <w:szCs w:val="28"/>
        </w:rPr>
        <w:t>ZÁKON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z ............. 2006,</w:t>
      </w:r>
    </w:p>
    <w:p>
      <w:pPr>
        <w:pStyle w:val="Nadpis2a"/>
        <w:keepNext w:val="0"/>
        <w:spacing w:before="0"/>
        <w:outlineLvl w:val="9"/>
        <w:rPr>
          <w:noProof w:val="0"/>
          <w:lang w:val="sk-SK" w:eastAsia="cs-CZ"/>
        </w:rPr>
      </w:pPr>
    </w:p>
    <w:p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ktorým sa mení a dopĺňa zákon č. 491/2001 Z. z. o organizovaní trhu s vybranými poľnohospodárskymi výrobkami v znení neskorších predpisov</w:t>
      </w:r>
    </w:p>
    <w:p>
      <w:pPr>
        <w:jc w:val="center"/>
        <w:rPr>
          <w:b/>
          <w:bCs/>
          <w:lang w:val="sk-SK"/>
        </w:rPr>
      </w:pPr>
    </w:p>
    <w:p>
      <w:pPr>
        <w:jc w:val="center"/>
        <w:rPr>
          <w:b/>
          <w:bCs/>
          <w:lang w:val="sk-SK"/>
        </w:rPr>
      </w:pPr>
    </w:p>
    <w:p>
      <w:pPr>
        <w:pStyle w:val="BodyText"/>
        <w:ind w:firstLine="708"/>
        <w:jc w:val="left"/>
      </w:pPr>
      <w:r>
        <w:rPr>
          <w:bCs/>
        </w:rPr>
        <w:t>Národná rada Slovenskej republiky  sa uzniesla na tomto zákone:</w:t>
      </w:r>
    </w:p>
    <w:p>
      <w:pPr>
        <w:rPr>
          <w:bCs/>
          <w:lang w:val="sk-SK"/>
        </w:rPr>
      </w:pPr>
    </w:p>
    <w:p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</w:t>
      </w:r>
    </w:p>
    <w:p>
      <w:pPr>
        <w:jc w:val="center"/>
        <w:rPr>
          <w:b/>
          <w:bCs/>
          <w:lang w:val="sk-SK"/>
        </w:rPr>
      </w:pPr>
    </w:p>
    <w:p>
      <w:pPr>
        <w:pStyle w:val="BodyText"/>
        <w:ind w:firstLine="708"/>
      </w:pPr>
      <w:r>
        <w:t>Zákon č. 491/2001 Z. z. o organizovaní trhu s vybranými poľnohospodárskymi výrobkami v znení zákona č. 473/2003 Z. z., zákona č. 520/2003 Z. z. a zákona č. 546/2004 Z. z. sa mení a dopĺňa takto:</w:t>
      </w:r>
    </w:p>
    <w:p>
      <w:pPr>
        <w:pStyle w:val="BodyText"/>
        <w:ind w:firstLine="708"/>
      </w:pPr>
    </w:p>
    <w:p>
      <w:pPr>
        <w:pStyle w:val="BodyText"/>
        <w:numPr>
          <w:ilvl w:val="0"/>
          <w:numId w:val="16"/>
        </w:numPr>
      </w:pPr>
      <w:r>
        <w:t>V § 4 ods. 1 sa vypúšťa písmeno c).</w:t>
      </w:r>
    </w:p>
    <w:p>
      <w:pPr>
        <w:jc w:val="both"/>
        <w:rPr>
          <w:lang w:val="sk-SK"/>
        </w:rPr>
      </w:pPr>
    </w:p>
    <w:p>
      <w:pPr>
        <w:ind w:firstLine="708"/>
        <w:jc w:val="both"/>
        <w:rPr>
          <w:lang w:val="sk-SK"/>
        </w:rPr>
      </w:pPr>
      <w:r>
        <w:rPr>
          <w:lang w:val="sk-SK"/>
        </w:rPr>
        <w:t>Doterajšie písmená d) a e) za označujú ako písmená c) a d).</w:t>
      </w:r>
    </w:p>
    <w:p>
      <w:pPr>
        <w:jc w:val="both"/>
        <w:rPr>
          <w:lang w:val="sk-SK"/>
        </w:rPr>
      </w:pPr>
    </w:p>
    <w:p>
      <w:pPr>
        <w:numPr>
          <w:ilvl w:val="0"/>
          <w:numId w:val="16"/>
        </w:numPr>
        <w:rPr>
          <w:lang w:val="sk-SK"/>
        </w:rPr>
      </w:pPr>
      <w:r>
        <w:rPr>
          <w:lang w:val="sk-SK"/>
        </w:rPr>
        <w:t>Za § 6 sa vkladá § 7, ktorý znie:</w:t>
      </w:r>
    </w:p>
    <w:p>
      <w:pPr>
        <w:rPr>
          <w:lang w:val="sk-SK"/>
        </w:rPr>
      </w:pPr>
    </w:p>
    <w:p>
      <w:pPr>
        <w:jc w:val="center"/>
        <w:rPr>
          <w:lang w:val="sk-SK"/>
        </w:rPr>
      </w:pPr>
      <w:r>
        <w:rPr>
          <w:lang w:val="sk-SK"/>
        </w:rPr>
        <w:t>„§ 7</w:t>
      </w:r>
    </w:p>
    <w:p>
      <w:pPr>
        <w:jc w:val="center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(1) Prevádzkovateľ bitúnka</w:t>
      </w:r>
      <w:r>
        <w:rPr>
          <w:vertAlign w:val="superscript"/>
          <w:lang w:val="sk-SK"/>
        </w:rPr>
        <w:t>8a)</w:t>
      </w:r>
      <w:r>
        <w:rPr>
          <w:lang w:val="sk-SK"/>
        </w:rPr>
        <w:t xml:space="preserve">, ktorý zabíja hovädzi dobytok, ošípané a ovce je povinný zabezpečiť klasifikáciu ich jatočne opracovaných tiel. 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(2) Klasifikácia jatočne opracovaných tiel</w:t>
      </w:r>
      <w:r>
        <w:rPr>
          <w:vertAlign w:val="superscript"/>
          <w:lang w:val="sk-SK"/>
        </w:rPr>
        <w:t>8b)</w:t>
      </w:r>
      <w:r>
        <w:rPr>
          <w:lang w:val="sk-SK"/>
        </w:rPr>
        <w:t xml:space="preserve"> je ich posúdenie a zaradenie do triedy kvality, ktorá sa získava komb</w:t>
      </w:r>
      <w:r>
        <w:rPr>
          <w:lang w:val="sk-SK"/>
        </w:rPr>
        <w:t>ináciou triedy mäsitosti</w:t>
      </w:r>
      <w:r>
        <w:rPr>
          <w:vertAlign w:val="superscript"/>
          <w:lang w:val="sk-SK"/>
        </w:rPr>
        <w:t>8b)</w:t>
      </w:r>
      <w:r>
        <w:rPr>
          <w:lang w:val="sk-SK"/>
        </w:rPr>
        <w:t xml:space="preserve"> a triedy pretučnenosti</w:t>
      </w:r>
      <w:r>
        <w:rPr>
          <w:vertAlign w:val="superscript"/>
          <w:lang w:val="sk-SK"/>
        </w:rPr>
        <w:t>8b)</w:t>
      </w:r>
      <w:r>
        <w:rPr>
          <w:lang w:val="sk-SK"/>
        </w:rPr>
        <w:t xml:space="preserve">. 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 xml:space="preserve">(3) Klasifikácii nepodliehajú jatočne opracované telá hovädzieho dobytka, ktoré sa neuvádzajú na trh a slúžia na vlastnú spotrebu, teľatá s hmotnosťou jatočne opracovaného tela nižšou ako 25 kg, jatočne opracované telá oviec, ktoré sa neuvádzajú na trh a slúžia na vlastnú spotrebu, jahňatá do 13 kg jatočnej hmotnosti vrátane a ošípané z vlastného výkrmu, ktoré sa neuvádzajú na trh a slúžia na vlastnú spotrebu. 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 xml:space="preserve">(4) Klasifikácia jatočne opracovaných tiel oviec sa nevykonáva v bitúnkoch, ktoré zabíjajú ročne menej ako 1 000 kusov jatočných oviec. 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(5) Klasifikáciu jatočne opracovaných tiel môžu vykonávať fyzické osoby alebo právnické osoby  na základe osvedčenia o odbornej spôsobilosti (ďalej len „klasifikátor“) vydaného ministerstvom. Podrobnosti o klasifikácii jatočne opracovaných tiel ustanoví všeobecne záväzný právny predpis, ktorý vydá ministerstvo.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 xml:space="preserve">(6) Osvedčenie o odbornej spôsobilosti sa vydáva fyzickej osobe, ktorá preukáže zdravotnú spôsobilosť, má aspoň stredoškolské vzdelanie v odbore poľnohospodárskom, potravinárskom alebo veterinárnom, má tri roky odbornej praxe a ktorá úspešne absolvovala odbornú prípravu. Platnosť osvedčenia o odbornej spôsobilosti je päť rokov. </w:t>
      </w: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(7) Odbornú prípravu vykonáva právnická osoba poverená ministerstvom. Podrobnosti o odbornej príprave a o osvedčení o odbornej spôsobilosti ustanoví všeobecne záväzný právny predpis, ktorý vydá ministerstvo.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(8) Dozor nad klasifikáciou jatočne opracovaných tiel podľa odseku 1 vykonáva regionálna veterinárna a potravinová správa</w:t>
      </w:r>
      <w:r>
        <w:rPr>
          <w:vertAlign w:val="superscript"/>
          <w:lang w:val="sk-SK"/>
        </w:rPr>
        <w:t>8c)</w:t>
      </w:r>
      <w:r>
        <w:rPr>
          <w:lang w:val="sk-SK"/>
        </w:rPr>
        <w:t>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(9) Regionálna veterinárna a potravinová správa nepovolí zabíjanie hovädzieho dobytka, ošípaných a oviec, ak prevádzkovateľ bitúnka nezabezpečil ich klasifikáciu.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(10) Kontrolu klasifikácie jatočne opracovaných  tiel hovädzieho dobytka</w:t>
      </w:r>
      <w:r>
        <w:rPr>
          <w:vertAlign w:val="superscript"/>
          <w:lang w:val="sk-SK"/>
        </w:rPr>
        <w:t>8d)</w:t>
      </w:r>
      <w:r>
        <w:rPr>
          <w:lang w:val="sk-SK"/>
        </w:rPr>
        <w:t xml:space="preserve"> (ďalej len „kontrola klasifikácie“) môže vykonávať klasifikátor poverený ministerstvom, ktorý má aspoň 120 hodín praxe v klasifikácii jatočne opracovaných tiel hovädzieho dobytka (ďalej len „kontrolór“).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(11) Ministerstvo odníme klasifikátorovi na návrh kontrolóra osvedčenie o odbornej spôsobilosti, ak sa preukáže, že klasifikátor</w:t>
      </w:r>
    </w:p>
    <w:p>
      <w:pPr>
        <w:numPr>
          <w:ilvl w:val="0"/>
          <w:numId w:val="14"/>
        </w:numPr>
        <w:jc w:val="both"/>
        <w:rPr>
          <w:lang w:val="sk-SK"/>
        </w:rPr>
      </w:pPr>
      <w:r>
        <w:rPr>
          <w:lang w:val="sk-SK"/>
        </w:rPr>
        <w:t>v určenej lehote neodstránil nedostatky zistené kontrolou klasifikácie,</w:t>
      </w:r>
    </w:p>
    <w:p>
      <w:pPr>
        <w:numPr>
          <w:ilvl w:val="0"/>
          <w:numId w:val="14"/>
        </w:numPr>
        <w:jc w:val="both"/>
        <w:rPr>
          <w:lang w:val="sk-SK"/>
        </w:rPr>
      </w:pPr>
      <w:r>
        <w:rPr>
          <w:lang w:val="sk-SK"/>
        </w:rPr>
        <w:t>trvalo nezabezpečuje požadovanú úroveň klasifikácie,</w:t>
      </w:r>
    </w:p>
    <w:p>
      <w:pPr>
        <w:jc w:val="both"/>
        <w:rPr>
          <w:lang w:val="sk-SK"/>
        </w:rPr>
      </w:pPr>
      <w:r>
        <w:rPr>
          <w:lang w:val="sk-SK"/>
        </w:rPr>
        <w:t xml:space="preserve">      c)  chybne zatriedil viac ako 20 % z celkového počtu kontrolovaných jatočne   </w:t>
      </w:r>
    </w:p>
    <w:p>
      <w:pPr>
        <w:jc w:val="both"/>
        <w:rPr>
          <w:lang w:val="sk-SK"/>
        </w:rPr>
      </w:pPr>
      <w:r>
        <w:rPr>
          <w:lang w:val="sk-SK"/>
        </w:rPr>
        <w:t xml:space="preserve">           opracovaných tiel.</w:t>
      </w:r>
    </w:p>
    <w:p>
      <w:pPr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(12) Kontrolu zaznamenávania trhových cien dospelého hovädzieho dobytka</w:t>
      </w:r>
      <w:r>
        <w:rPr>
          <w:vertAlign w:val="superscript"/>
          <w:lang w:val="sk-SK"/>
        </w:rPr>
        <w:t>8e)</w:t>
      </w:r>
      <w:r>
        <w:rPr>
          <w:lang w:val="sk-SK"/>
        </w:rPr>
        <w:t xml:space="preserve"> vykonáva agentúra.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(13) Náklady spojené s klasifikáciou hradí rovnakým dielom dodávateľ jatočných zvierat a prevádzkovateľ bitúnka.“.</w:t>
      </w:r>
    </w:p>
    <w:p>
      <w:pPr>
        <w:jc w:val="both"/>
        <w:rPr>
          <w:lang w:val="sk-SK"/>
        </w:rPr>
      </w:pPr>
    </w:p>
    <w:p>
      <w:pPr>
        <w:ind w:firstLine="708"/>
        <w:jc w:val="both"/>
        <w:rPr>
          <w:lang w:val="sk-SK"/>
        </w:rPr>
      </w:pPr>
      <w:r>
        <w:rPr>
          <w:lang w:val="sk-SK"/>
        </w:rPr>
        <w:t>Poznámky pod čiarou k odkazom 8a až 8e znejú:</w:t>
      </w:r>
    </w:p>
    <w:p>
      <w:pPr>
        <w:ind w:left="540" w:hanging="180"/>
        <w:jc w:val="both"/>
        <w:rPr>
          <w:rFonts w:eastAsia="Batang"/>
          <w:bCs/>
          <w:sz w:val="20"/>
          <w:szCs w:val="20"/>
          <w:lang w:val="sk-SK" w:eastAsia="ko-KR"/>
        </w:rPr>
      </w:pPr>
      <w:r>
        <w:rPr>
          <w:sz w:val="20"/>
          <w:szCs w:val="20"/>
          <w:vertAlign w:val="superscript"/>
          <w:lang w:val="sk-SK"/>
        </w:rPr>
        <w:t>„8a)</w:t>
      </w:r>
      <w:r>
        <w:rPr>
          <w:sz w:val="20"/>
          <w:szCs w:val="20"/>
          <w:lang w:val="sk-SK"/>
        </w:rPr>
        <w:t xml:space="preserve"> § 22 a § 37 zákona č. 488/2002 Z. z. </w:t>
      </w:r>
      <w:r>
        <w:rPr>
          <w:rFonts w:eastAsia="Batang"/>
          <w:bCs/>
          <w:sz w:val="20"/>
          <w:szCs w:val="20"/>
          <w:lang w:val="sk-SK" w:eastAsia="ko-KR"/>
        </w:rPr>
        <w:t>o veterinárnej starostlivosti a o zmene niektorých zákonov.</w:t>
      </w:r>
    </w:p>
    <w:p>
      <w:pPr>
        <w:ind w:left="540" w:hanging="180"/>
        <w:jc w:val="both"/>
        <w:rPr>
          <w:sz w:val="20"/>
          <w:szCs w:val="20"/>
          <w:lang w:val="sk-SK"/>
        </w:rPr>
      </w:pPr>
      <w:r>
        <w:rPr>
          <w:rFonts w:eastAsia="Batang"/>
          <w:bCs/>
          <w:sz w:val="20"/>
          <w:szCs w:val="20"/>
          <w:vertAlign w:val="superscript"/>
          <w:lang w:val="sk-SK" w:eastAsia="ko-KR"/>
        </w:rPr>
        <w:t>8b)</w:t>
      </w:r>
      <w:r>
        <w:rPr>
          <w:rFonts w:eastAsia="Batang"/>
          <w:bCs/>
          <w:sz w:val="20"/>
          <w:szCs w:val="20"/>
          <w:lang w:val="sk-SK" w:eastAsia="ko-KR"/>
        </w:rPr>
        <w:t xml:space="preserve"> </w:t>
      </w:r>
      <w:r>
        <w:rPr>
          <w:sz w:val="20"/>
          <w:szCs w:val="20"/>
          <w:lang w:val="sk-SK"/>
        </w:rPr>
        <w:t>Nariadenie Rady (EHS) č. 1208/81 z 28. apríla 1981, ktorým sa určuje stupnica spoločenstva na klasifikáciu jatočne opracovaných trupov hovädzieho dobytka (Ú. v. ES L 123, 7. 5. 1981) v znení nariadenia Rady (EHS) č. 1026/91 (Ú. v. ES L 106, 26. 4. 1991).</w:t>
      </w:r>
    </w:p>
    <w:p>
      <w:pPr>
        <w:ind w:left="540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Nariadenie Rady (EHS) č. 3220/84 z 13. novembra 1984, ktorým sa určuje stupnica pre klasifikáciu trupov z ošípaných v platnom znení (Ú. v. ES L 301, 20. 11.  1984).</w:t>
      </w:r>
    </w:p>
    <w:p>
      <w:pPr>
        <w:ind w:left="540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Nariadenie Komisie (EHS) č. 344/91 z 13. februára 1991, ktorým sa stanovujú podrobné pravidlá uplatňovania nariadenia Rady (EHS) č. 1186/90 rozširujúceho rozsah stupnice spoločenstva pre klasifikáciu jatočných tiel dospelého hovädzieho dobytka v platnom znení (Ú. v. ES L 41, 14. 2. 1991).</w:t>
      </w:r>
    </w:p>
    <w:p>
      <w:pPr>
        <w:ind w:left="540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Nariadenie Rady (EHS) č. 2137/92 z 23. júla 1992 o klasifikácii trupov oviec a určovaní štandardnej kvality spoločenstva čerstvých alebo chladených trupov oviec, ktorým sa predlžuje platnosť nariadenia (EHS) č. 338/91 v platnom znení (Ú.  v.  ES L 214, 30.  7.  1992).</w:t>
      </w:r>
    </w:p>
    <w:p>
      <w:pPr>
        <w:ind w:left="540" w:hanging="18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8c)</w:t>
      </w:r>
      <w:r>
        <w:rPr>
          <w:sz w:val="20"/>
          <w:szCs w:val="20"/>
          <w:lang w:val="sk-SK"/>
        </w:rPr>
        <w:t xml:space="preserve"> § 8 zákona č. 488/2002 Z. z.</w:t>
      </w:r>
    </w:p>
    <w:p>
      <w:pPr>
        <w:ind w:left="540" w:hanging="18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8d)</w:t>
      </w:r>
      <w:r>
        <w:rPr>
          <w:sz w:val="20"/>
          <w:szCs w:val="20"/>
          <w:lang w:val="sk-SK"/>
        </w:rPr>
        <w:t xml:space="preserve"> Napríklad nariadenie (EHS) č. 1208/81, nariadenie (EHS) č. 344/91.</w:t>
      </w:r>
    </w:p>
    <w:p>
      <w:pPr>
        <w:ind w:left="540" w:hanging="180"/>
        <w:jc w:val="both"/>
        <w:rPr>
          <w:sz w:val="20"/>
          <w:szCs w:val="20"/>
          <w:lang w:val="sk-SK"/>
        </w:rPr>
      </w:pPr>
    </w:p>
    <w:p>
      <w:pPr>
        <w:ind w:left="540" w:hanging="180"/>
        <w:jc w:val="both"/>
        <w:rPr>
          <w:sz w:val="20"/>
          <w:szCs w:val="20"/>
          <w:lang w:val="sk-SK"/>
        </w:rPr>
      </w:pPr>
    </w:p>
    <w:p>
      <w:pPr>
        <w:ind w:left="540" w:hanging="180"/>
        <w:jc w:val="both"/>
        <w:rPr>
          <w:sz w:val="20"/>
          <w:szCs w:val="20"/>
          <w:lang w:val="sk-SK"/>
        </w:rPr>
      </w:pPr>
    </w:p>
    <w:p>
      <w:pPr>
        <w:autoSpaceDE w:val="0"/>
        <w:autoSpaceDN w:val="0"/>
        <w:adjustRightInd w:val="0"/>
        <w:ind w:left="540" w:hanging="180"/>
        <w:rPr>
          <w:bCs/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8e)</w:t>
      </w:r>
      <w:r>
        <w:rPr>
          <w:sz w:val="20"/>
          <w:szCs w:val="20"/>
          <w:lang w:val="sk-SK"/>
        </w:rPr>
        <w:t xml:space="preserve"> </w:t>
      </w:r>
      <w:r>
        <w:rPr>
          <w:bCs/>
          <w:sz w:val="20"/>
          <w:szCs w:val="20"/>
          <w:lang w:val="sk-SK"/>
        </w:rPr>
        <w:t>Nariadenie Komisie (ES) č. 295/96 zo 16. februára 1996, ktorým sa stanovujú predpisy na uplatňovanie nariadenia Rady (EHS) č. 1892/87 o zaznamenávaní trhových cien dospelého hovädzieho dobytka na základe stupnice Spoločenstva pre klasifikáciu zabitých zvierat (Ú.  v.  ES L 39, 17.  2. 1996).</w:t>
      </w:r>
    </w:p>
    <w:p>
      <w:pPr>
        <w:autoSpaceDE w:val="0"/>
        <w:autoSpaceDN w:val="0"/>
        <w:adjustRightInd w:val="0"/>
        <w:ind w:left="540"/>
        <w:rPr>
          <w:lang w:val="sk-SK"/>
        </w:rPr>
      </w:pPr>
      <w:r>
        <w:rPr>
          <w:bCs/>
          <w:sz w:val="20"/>
          <w:szCs w:val="20"/>
          <w:lang w:val="sk-SK"/>
        </w:rPr>
        <w:t>Nariadenie Rady (ES) č. 1254/1999 zo 17. mája 1999 o spoločnej organizácii trhu s hovädzím a teľacím mäsom v platnom znení (Ú. v. ES L 160, 26.  6. 1999).</w:t>
      </w:r>
      <w:r>
        <w:rPr>
          <w:sz w:val="20"/>
          <w:szCs w:val="20"/>
          <w:lang w:val="sk-SK"/>
        </w:rPr>
        <w:t>“.</w:t>
      </w:r>
    </w:p>
    <w:p>
      <w:pPr>
        <w:jc w:val="both"/>
        <w:rPr>
          <w:lang w:val="sk-SK"/>
        </w:rPr>
      </w:pPr>
    </w:p>
    <w:p>
      <w:pPr>
        <w:numPr>
          <w:ilvl w:val="0"/>
          <w:numId w:val="16"/>
        </w:numPr>
        <w:jc w:val="both"/>
        <w:rPr>
          <w:lang w:val="sk-SK"/>
        </w:rPr>
      </w:pPr>
      <w:r>
        <w:rPr>
          <w:lang w:val="sk-SK"/>
        </w:rPr>
        <w:t>§ 8 sa vypúšťa.</w:t>
      </w:r>
    </w:p>
    <w:p>
      <w:pPr>
        <w:jc w:val="both"/>
        <w:rPr>
          <w:lang w:val="sk-SK"/>
        </w:rPr>
      </w:pPr>
    </w:p>
    <w:p>
      <w:pPr>
        <w:numPr>
          <w:ilvl w:val="0"/>
          <w:numId w:val="16"/>
        </w:numPr>
        <w:jc w:val="both"/>
        <w:rPr>
          <w:lang w:val="sk-SK"/>
        </w:rPr>
      </w:pPr>
      <w:r>
        <w:rPr>
          <w:lang w:val="sk-SK"/>
        </w:rPr>
        <w:t>§ 10 znie:</w:t>
      </w:r>
    </w:p>
    <w:p>
      <w:pPr>
        <w:jc w:val="center"/>
        <w:rPr>
          <w:lang w:val="sk-SK"/>
        </w:rPr>
      </w:pPr>
      <w:r>
        <w:rPr>
          <w:lang w:val="sk-SK"/>
        </w:rPr>
        <w:t>„§ 10</w:t>
      </w:r>
    </w:p>
    <w:p>
      <w:pPr>
        <w:ind w:left="340" w:firstLine="368"/>
        <w:jc w:val="center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(1) Činnosti podľa osobitných predpisov</w:t>
      </w:r>
      <w:r>
        <w:rPr>
          <w:vertAlign w:val="superscript"/>
          <w:lang w:val="sk-SK"/>
        </w:rPr>
        <w:t>14a)</w:t>
      </w:r>
      <w:r>
        <w:rPr>
          <w:lang w:val="sk-SK"/>
        </w:rPr>
        <w:t xml:space="preserve"> súvisiace s organizovaním trhu s ovocím, zeleninou, chmeľom, tabakom, rezanými kvetmi, rybami a rybími výrobkami vykonávajú právnické osoby, ktoré na tento účel uznáva ministerstvo na základe návrhu agentúry.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(2) Právnické osoby vykonávajú činnosti podľa odseku 1 ako skupiny výrobcov</w:t>
      </w:r>
      <w:r>
        <w:rPr>
          <w:vertAlign w:val="superscript"/>
          <w:lang w:val="sk-SK"/>
        </w:rPr>
        <w:t>14b)</w:t>
      </w:r>
      <w:r>
        <w:rPr>
          <w:lang w:val="sk-SK"/>
        </w:rPr>
        <w:t>, organizácie výrobcov</w:t>
      </w:r>
      <w:r>
        <w:rPr>
          <w:vertAlign w:val="superscript"/>
          <w:lang w:val="sk-SK"/>
        </w:rPr>
        <w:t>14c)</w:t>
      </w:r>
      <w:r>
        <w:rPr>
          <w:lang w:val="sk-SK"/>
        </w:rPr>
        <w:t xml:space="preserve"> alebo združenia organizácií výrobcov</w:t>
      </w:r>
      <w:r>
        <w:rPr>
          <w:vertAlign w:val="superscript"/>
          <w:lang w:val="sk-SK"/>
        </w:rPr>
        <w:t>14d)</w:t>
      </w:r>
      <w:r>
        <w:rPr>
          <w:lang w:val="sk-SK"/>
        </w:rPr>
        <w:t xml:space="preserve">. 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(3) Združenie organizácie výrobcov</w:t>
      </w:r>
      <w:r>
        <w:rPr>
          <w:b/>
          <w:lang w:val="sk-SK"/>
        </w:rPr>
        <w:t xml:space="preserve"> </w:t>
      </w:r>
      <w:r>
        <w:rPr>
          <w:bCs/>
          <w:lang w:val="sk-SK"/>
        </w:rPr>
        <w:t>musí združovať</w:t>
      </w:r>
      <w:r>
        <w:rPr>
          <w:bCs/>
          <w:vertAlign w:val="superscript"/>
          <w:lang w:val="sk-SK"/>
        </w:rPr>
        <w:t>15)</w:t>
      </w:r>
      <w:r>
        <w:rPr>
          <w:bCs/>
          <w:lang w:val="sk-SK"/>
        </w:rPr>
        <w:t xml:space="preserve"> najmenej dve </w:t>
      </w:r>
      <w:r>
        <w:rPr>
          <w:lang w:val="sk-SK"/>
        </w:rPr>
        <w:t>organizácie výrobcov.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(4) Skupina výrobcov aleb</w:t>
      </w:r>
      <w:r>
        <w:rPr>
          <w:lang w:val="sk-SK"/>
        </w:rPr>
        <w:t>o organizácia výrobcov</w:t>
      </w:r>
      <w:r>
        <w:rPr>
          <w:vertAlign w:val="superscript"/>
          <w:lang w:val="sk-SK"/>
        </w:rPr>
        <w:t>16)</w:t>
      </w:r>
      <w:r>
        <w:rPr>
          <w:lang w:val="sk-SK"/>
        </w:rPr>
        <w:t xml:space="preserve"> pozostáva najmenej z piatich spoločníkov.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(5) Skupina výrobcov alebo organizácia výrobcov, ktorí podnikajú s rybami alebo rybími výrobkami pozostáva najmenej z troch spoločníkov.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(6) Kontrolu splnenia podmienok pre uznanie právnických osôb podľa odseku 1 vykonáva agentúra. Ak agentúra zistí nesplnenie podmienok pre uznanie, navrhne ministerstvu  rozhodnúť o neuznaní právnickej osoby alebo o zrušení rozhodnutia o uznaní právnickej osoby.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(7) Kontrolu zhody s obchodnými normami čerstvého ovocia, čerstvej zeleniny, rezaných kvetov a kontrolu čerstvosti, minimálnej veľkosti a hmotnosti rýb a rybích výrobkov (ďalej len „kontrola zhody“) podliehajúcich spoločnej organizácii trhu vykonáva podľa osobitných predpisov</w:t>
      </w:r>
      <w:r>
        <w:rPr>
          <w:vertAlign w:val="superscript"/>
          <w:lang w:val="sk-SK"/>
        </w:rPr>
        <w:t xml:space="preserve">16a) </w:t>
      </w:r>
      <w:r>
        <w:rPr>
          <w:lang w:val="sk-SK"/>
        </w:rPr>
        <w:t>Štátna veterinárn</w:t>
      </w:r>
      <w:r>
        <w:rPr>
          <w:lang w:val="sk-SK"/>
        </w:rPr>
        <w:t>a a potravinová správa Slovenskej republiky</w:t>
      </w:r>
      <w:r>
        <w:rPr>
          <w:vertAlign w:val="superscript"/>
          <w:lang w:val="sk-SK"/>
        </w:rPr>
        <w:t>16aa)</w:t>
      </w:r>
      <w:r>
        <w:rPr>
          <w:lang w:val="sk-SK"/>
        </w:rPr>
        <w:t xml:space="preserve"> (ďalej len „štátna veterinárna a potravinová správa“) a regionálna veterinárna a potravinová správa (ďalej len „kontrolný orgán“).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(8) Na výkon kontroly zhody</w:t>
      </w:r>
      <w:r>
        <w:rPr>
          <w:vertAlign w:val="superscript"/>
          <w:lang w:val="sk-SK"/>
        </w:rPr>
        <w:t>16a)</w:t>
      </w:r>
      <w:r>
        <w:rPr>
          <w:lang w:val="sk-SK"/>
        </w:rPr>
        <w:t xml:space="preserve"> štátna veterinárna a potravinová správa vym</w:t>
      </w:r>
      <w:r>
        <w:rPr>
          <w:lang w:val="sk-SK"/>
        </w:rPr>
        <w:t>enúva autorizovaných inšpektorov</w:t>
      </w:r>
      <w:r>
        <w:rPr>
          <w:vertAlign w:val="superscript"/>
          <w:lang w:val="sk-SK"/>
        </w:rPr>
        <w:t>16b)</w:t>
      </w:r>
      <w:r>
        <w:rPr>
          <w:lang w:val="sk-SK"/>
        </w:rPr>
        <w:t>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(9) Za autorizovaného inšpektora možno vymenovať zamestnanca kontrolného orgánu, ktorý</w:t>
      </w:r>
    </w:p>
    <w:p>
      <w:pPr>
        <w:numPr>
          <w:ilvl w:val="0"/>
          <w:numId w:val="18"/>
        </w:numPr>
        <w:jc w:val="both"/>
        <w:rPr>
          <w:lang w:val="sk-SK"/>
        </w:rPr>
      </w:pPr>
      <w:r>
        <w:rPr>
          <w:lang w:val="sk-SK"/>
        </w:rPr>
        <w:t xml:space="preserve">má aspoň stredoškolské vzdelanie v odbore poľnohospodárskom, veterinárnom alebo potravinárskom, </w:t>
      </w:r>
    </w:p>
    <w:p>
      <w:pPr>
        <w:numPr>
          <w:ilvl w:val="0"/>
          <w:numId w:val="18"/>
        </w:numPr>
        <w:jc w:val="both"/>
        <w:rPr>
          <w:lang w:val="sk-SK"/>
        </w:rPr>
      </w:pPr>
      <w:r>
        <w:rPr>
          <w:lang w:val="sk-SK"/>
        </w:rPr>
        <w:t>získal po kvalifikačnej skúške osvedčenie o autorizácii na výkon kontroly zhody.</w:t>
      </w:r>
    </w:p>
    <w:p>
      <w:pPr>
        <w:ind w:left="34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(10) Podrobnosti o kvalifikačnej skúške a o osvedčení o autorizácii na výkon kontroly zhody ustanoví všeobecne záväzný právny predpis, ktorý vydá ministerstvo.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(11) Kontrolu zhody možno vykonať aj na základe žiadosti podnikateľa. Žiadateľ o vykonanie kontroly zhody je povinný uhradiť príslušnému kontrolnému orgánu oprávnené náklady, ktoré vzniknú pri výkone tejto kontroly.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(12) Osvedčenie o zhode a nález o nezhode vydáva autorizovaný inšpektor na mieste kon</w:t>
      </w:r>
      <w:r>
        <w:rPr>
          <w:lang w:val="sk-SK"/>
        </w:rPr>
        <w:t>troly zhody.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(13) Ak sa pri kontrole zhody zistí porušenie osobitných predpisov</w:t>
      </w:r>
      <w:r>
        <w:rPr>
          <w:vertAlign w:val="superscript"/>
          <w:lang w:val="sk-SK"/>
        </w:rPr>
        <w:t>16a)</w:t>
      </w:r>
      <w:r>
        <w:rPr>
          <w:lang w:val="sk-SK"/>
        </w:rPr>
        <w:t>,</w:t>
      </w:r>
      <w:r>
        <w:rPr>
          <w:vertAlign w:val="superscript"/>
          <w:lang w:val="sk-SK"/>
        </w:rPr>
        <w:t xml:space="preserve"> </w:t>
      </w:r>
      <w:r>
        <w:rPr>
          <w:lang w:val="sk-SK"/>
        </w:rPr>
        <w:t xml:space="preserve">autorizovaný inšpektor môže uložiť podnikateľovi opatrenie na nápravu. 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(14) Štátna veterinárna a potravinová správa môže so súhlasom ministerstva na základe výsledkov vykonaných kontrol zhody uznať podnikateľov za autorizovaných obchodníkov podľa osobitného predpisu</w:t>
      </w:r>
      <w:r>
        <w:rPr>
          <w:vertAlign w:val="superscript"/>
          <w:lang w:val="sk-SK"/>
        </w:rPr>
        <w:t>16ba)</w:t>
      </w:r>
      <w:r>
        <w:rPr>
          <w:lang w:val="sk-SK"/>
        </w:rPr>
        <w:t>.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 xml:space="preserve">(15) Štátna veterinárna a potravinová správa </w:t>
      </w:r>
    </w:p>
    <w:p>
      <w:pPr>
        <w:pStyle w:val="BodyTextIndent2"/>
        <w:numPr>
          <w:ilvl w:val="0"/>
          <w:numId w:val="6"/>
        </w:numPr>
        <w:rPr>
          <w:lang w:val="sk-SK"/>
        </w:rPr>
      </w:pPr>
      <w:r>
        <w:rPr>
          <w:lang w:val="sk-SK"/>
        </w:rPr>
        <w:t>riadi, usmerňuje, koordinuje a kontroluje</w:t>
      </w:r>
      <w:r>
        <w:rPr>
          <w:vertAlign w:val="superscript"/>
          <w:lang w:val="sk-SK"/>
        </w:rPr>
        <w:t>16bb)</w:t>
      </w:r>
      <w:r>
        <w:rPr>
          <w:lang w:val="sk-SK"/>
        </w:rPr>
        <w:t xml:space="preserve"> výkon kontroly zhody, ktorú uskutočňujú regionálne veterinárne a potravinové správy,</w:t>
      </w:r>
    </w:p>
    <w:p>
      <w:pPr>
        <w:pStyle w:val="BodyTextIndent2"/>
        <w:numPr>
          <w:ilvl w:val="0"/>
          <w:numId w:val="6"/>
        </w:numPr>
        <w:rPr>
          <w:lang w:val="sk-SK"/>
        </w:rPr>
      </w:pPr>
      <w:r>
        <w:rPr>
          <w:lang w:val="sk-SK"/>
        </w:rPr>
        <w:t>rozhoduje v druhom stupni vo veciach, o ktorých v prvom stupni rozhoduje regionálna veterinárna  a potravinová správa,</w:t>
      </w:r>
    </w:p>
    <w:p>
      <w:pPr>
        <w:pStyle w:val="BodyTextIndent2"/>
        <w:numPr>
          <w:ilvl w:val="0"/>
          <w:numId w:val="6"/>
        </w:numPr>
        <w:rPr>
          <w:lang w:val="sk-SK"/>
        </w:rPr>
      </w:pPr>
      <w:r>
        <w:rPr>
          <w:lang w:val="sk-SK"/>
        </w:rPr>
        <w:t>vykonáva v prípade potreby kontrolu zhody pri dovoze a vývoze,</w:t>
      </w:r>
    </w:p>
    <w:p>
      <w:pPr>
        <w:pStyle w:val="BodyTextIndent2"/>
        <w:numPr>
          <w:ilvl w:val="0"/>
          <w:numId w:val="6"/>
        </w:numPr>
        <w:rPr>
          <w:lang w:val="sk-SK"/>
        </w:rPr>
      </w:pPr>
      <w:r>
        <w:rPr>
          <w:lang w:val="sk-SK"/>
        </w:rPr>
        <w:t>vypracúva program kontroly zhody v mieste maloobchodného predaja ovocia a zeleniny konečnému spotrebiteľovi,</w:t>
      </w:r>
    </w:p>
    <w:p>
      <w:pPr>
        <w:pStyle w:val="BodyTextIndent2"/>
        <w:numPr>
          <w:ilvl w:val="0"/>
          <w:numId w:val="6"/>
        </w:numPr>
        <w:rPr>
          <w:lang w:val="sk-SK"/>
        </w:rPr>
      </w:pPr>
      <w:r>
        <w:rPr>
          <w:lang w:val="sk-SK"/>
        </w:rPr>
        <w:t>vedie register podnikateľov s ovocím a zeleninou,</w:t>
      </w:r>
    </w:p>
    <w:p>
      <w:pPr>
        <w:pStyle w:val="BodyTextIndent2"/>
        <w:numPr>
          <w:ilvl w:val="0"/>
          <w:numId w:val="6"/>
        </w:numPr>
        <w:rPr>
          <w:lang w:val="sk-SK"/>
        </w:rPr>
      </w:pPr>
      <w:r>
        <w:rPr>
          <w:lang w:val="sk-SK"/>
        </w:rPr>
        <w:t>plní ďalšie úlohy ustanovené nariadením vlády vydaným podľa osobitného predpisu</w:t>
      </w:r>
      <w:r>
        <w:rPr>
          <w:vertAlign w:val="superscript"/>
          <w:lang w:val="sk-SK"/>
        </w:rPr>
        <w:t>16bc)</w:t>
      </w:r>
      <w:r>
        <w:rPr>
          <w:lang w:val="sk-SK"/>
        </w:rPr>
        <w:t>.</w:t>
      </w:r>
    </w:p>
    <w:p>
      <w:pPr>
        <w:pStyle w:val="BodyTextIndent2"/>
        <w:rPr>
          <w:lang w:val="sk-SK"/>
        </w:rPr>
      </w:pPr>
    </w:p>
    <w:p>
      <w:pPr>
        <w:ind w:left="720" w:hanging="12"/>
        <w:jc w:val="both"/>
        <w:rPr>
          <w:lang w:val="sk-SK"/>
        </w:rPr>
      </w:pPr>
      <w:r>
        <w:rPr>
          <w:lang w:val="sk-SK"/>
        </w:rPr>
        <w:t>(16) Regionálna veterinárna a potravinová správa</w:t>
      </w:r>
    </w:p>
    <w:p>
      <w:pPr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>vykonáv</w:t>
      </w:r>
      <w:r>
        <w:rPr>
          <w:lang w:val="sk-SK"/>
        </w:rPr>
        <w:t>a kontroly zhody pri dovoze, vývoze a na vnútornom trhu,</w:t>
      </w:r>
    </w:p>
    <w:p>
      <w:pPr>
        <w:numPr>
          <w:ilvl w:val="0"/>
          <w:numId w:val="9"/>
        </w:numPr>
        <w:jc w:val="both"/>
        <w:rPr>
          <w:lang w:val="sk-SK"/>
        </w:rPr>
      </w:pPr>
      <w:r>
        <w:rPr>
          <w:lang w:val="sk-SK"/>
        </w:rPr>
        <w:t>ukladá pokuty podľa § 10a.</w:t>
      </w:r>
    </w:p>
    <w:p>
      <w:pPr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(17) Na vydanie rozhodnutia o uznaní právnickej osoby a zrušenie rozhodnutia o uznaní právnickej osoby sa vzťahujú všeobecné predpisy o správnom konaní</w:t>
      </w:r>
      <w:r>
        <w:rPr>
          <w:vertAlign w:val="superscript"/>
          <w:lang w:val="sk-SK"/>
        </w:rPr>
        <w:t>16bd)</w:t>
      </w:r>
      <w:r>
        <w:rPr>
          <w:lang w:val="sk-SK"/>
        </w:rPr>
        <w:t xml:space="preserve">. </w:t>
      </w:r>
    </w:p>
    <w:p>
      <w:pPr>
        <w:ind w:left="360" w:firstLine="360"/>
        <w:jc w:val="both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(18) Na ukladanie opatrení na nápravu podľa odseku 13 sa nevzťahujú všeobecné predpisy o správnom konaní.“.</w:t>
      </w:r>
    </w:p>
    <w:p>
      <w:pPr>
        <w:ind w:left="360"/>
        <w:jc w:val="both"/>
        <w:rPr>
          <w:lang w:val="sk-SK"/>
        </w:rPr>
      </w:pPr>
    </w:p>
    <w:p>
      <w:pPr>
        <w:ind w:left="360" w:firstLine="348"/>
        <w:jc w:val="both"/>
        <w:rPr>
          <w:lang w:val="sk-SK"/>
        </w:rPr>
      </w:pPr>
      <w:r>
        <w:rPr>
          <w:lang w:val="sk-SK"/>
        </w:rPr>
        <w:t>Poznámky pod čiarou k odkazom 14a až 14d, 16a, 16aa a 16 ba až 16bc znejú:</w:t>
      </w:r>
    </w:p>
    <w:p>
      <w:pPr>
        <w:ind w:left="720" w:hanging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„</w:t>
      </w:r>
      <w:r>
        <w:rPr>
          <w:sz w:val="20"/>
          <w:szCs w:val="20"/>
          <w:vertAlign w:val="superscript"/>
          <w:lang w:val="sk-SK"/>
        </w:rPr>
        <w:t>14a)</w:t>
      </w:r>
      <w:r>
        <w:rPr>
          <w:sz w:val="20"/>
          <w:szCs w:val="20"/>
          <w:lang w:val="sk-SK"/>
        </w:rPr>
        <w:t xml:space="preserve"> Napríklad nariadenie Rady (ES) č. 2200/1996 z 28. októbra 1996 o spoločnej organizácii trhu s ovocím a zeleninou v platnom znení (Ú. v. ES L 297, 21.11.1996), nariadenie Rady (EHS) č. 234/1968 z 27. februára 1968 o zriadení spoločnej organizácie trhu so živými stromami a ostatnými rastlinami, hľuzami, koreňmi, rezanými kvetmi a okrasnými listami v platnom znení (Ú. v. ES L 055, 2.3.1968), nariadenie Rady (ES) č. 104/2000 zo 17. decembra 1999 o spoločnej organizácii trhov s výrobkami rybolovu a akvakultúry (Ú. v. ES L 017, 21. 1. 2000) v znení Aktu o podmienkach pristúpenia SR k EÚ (Ú. v. EÚ L 236, 23. 9. 2003), nariadenie Rady (ES) č. 2075/1992 o spoločnej organizácii trhu so surovým tabakom v platnom znení (Ú. v. ES L 215, 30. 7. 1992), nariadenie </w:t>
      </w:r>
      <w:r>
        <w:rPr>
          <w:bCs/>
          <w:sz w:val="20"/>
          <w:szCs w:val="20"/>
          <w:lang w:val="sk-SK"/>
        </w:rPr>
        <w:t xml:space="preserve">Komisie (ES) č. 2848/98 ukladajúce podrobné pravidlá pre aplikáciu nariadenia Rady (EHS) č. 2075/92 týkajúceho sa prémiovej schémy, pestovateľských kvót a špecifickej pomoci, ktorá sa udeľuje skupinám pestovateľov v sektore nespracovaného tabaku </w:t>
      </w:r>
      <w:r>
        <w:rPr>
          <w:sz w:val="20"/>
          <w:szCs w:val="20"/>
          <w:lang w:val="sk-SK"/>
        </w:rPr>
        <w:t xml:space="preserve">v platnom znení (Ú. v. ES L 358, 31. 12. 1998), nariadenie Rady (EHS) </w:t>
        <w:br/>
        <w:t>č. 1696/71 o spoločnej organizácii trhu s chmeľom v platnom znení (Ú. v. ES L 175, 4. 8. 1971).</w:t>
      </w:r>
    </w:p>
    <w:p>
      <w:pPr>
        <w:ind w:left="720" w:hanging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 xml:space="preserve">14b) </w:t>
      </w:r>
      <w:r>
        <w:rPr>
          <w:sz w:val="20"/>
          <w:szCs w:val="20"/>
          <w:lang w:val="sk-SK"/>
        </w:rPr>
        <w:t>Čl. 2 písm. d) nariadenia Komisie (ES) č. 1432/2003 z 11. augusta 2003, ktorým sa ustanovujú podrobné pravidlá uplatňovania nariadenia Rady (ES) č. 2002/96 pokiaľ ide o podmienky na uznanie organizácií výrobcov a predbežné uznanie skupín výrobcov (Ú. v. EÚ L 203, 12. 8. 2003).</w:t>
      </w:r>
    </w:p>
    <w:p>
      <w:pPr>
        <w:ind w:left="720" w:hanging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14c)</w:t>
      </w:r>
      <w:r>
        <w:rPr>
          <w:sz w:val="20"/>
          <w:szCs w:val="20"/>
          <w:lang w:val="sk-SK"/>
        </w:rPr>
        <w:t xml:space="preserve"> Čl. 11 nariadenia (ES) č. 2200/1996.</w:t>
      </w:r>
    </w:p>
    <w:p>
      <w:pPr>
        <w:ind w:left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14d)</w:t>
      </w:r>
      <w:r>
        <w:rPr>
          <w:sz w:val="20"/>
          <w:szCs w:val="20"/>
          <w:lang w:val="sk-SK"/>
        </w:rPr>
        <w:t xml:space="preserve"> Čl. 16 nariadenia (ES) č. 2200/1996. </w:t>
      </w:r>
    </w:p>
    <w:p>
      <w:pPr>
        <w:ind w:left="720" w:hanging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16a)</w:t>
      </w:r>
      <w:r>
        <w:rPr>
          <w:sz w:val="20"/>
          <w:szCs w:val="20"/>
          <w:lang w:val="sk-SK"/>
        </w:rPr>
        <w:t xml:space="preserve"> Napríklad nariadenie Komisie (ES) č. 1148/2001 z 12. júna 2001 o kontrole zhody čerstvého ovocia a zeleniny s obchodnými normami v platnom znení (Ú. v. ES L 156, 13.06.2001), nariadenie (EHS) č. 234/1968, nariadenie (ES) č. 104/2000.</w:t>
      </w:r>
    </w:p>
    <w:p>
      <w:pPr>
        <w:ind w:left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16aa)</w:t>
      </w:r>
      <w:r>
        <w:rPr>
          <w:sz w:val="20"/>
          <w:szCs w:val="20"/>
          <w:lang w:val="sk-SK"/>
        </w:rPr>
        <w:t xml:space="preserve"> § 6 zákona č. 488/2002 Z. z.</w:t>
      </w:r>
    </w:p>
    <w:p>
      <w:pPr>
        <w:ind w:left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16ba)</w:t>
      </w:r>
      <w:r>
        <w:rPr>
          <w:sz w:val="20"/>
          <w:szCs w:val="20"/>
          <w:lang w:val="sk-SK"/>
        </w:rPr>
        <w:t xml:space="preserve"> Čl. 4 ods. 3 nariadenia (ES) č. 1148/2001.</w:t>
      </w:r>
    </w:p>
    <w:p>
      <w:pPr>
        <w:ind w:left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>16bb)</w:t>
      </w:r>
      <w:r>
        <w:rPr>
          <w:sz w:val="20"/>
          <w:szCs w:val="20"/>
          <w:lang w:val="sk-SK"/>
        </w:rPr>
        <w:t xml:space="preserve"> Zákon č. 10/1996 Z .z. o kontrole v štátnej správe v znení neskorších predpisov.</w:t>
      </w:r>
    </w:p>
    <w:p>
      <w:pPr>
        <w:ind w:left="720" w:hanging="360"/>
        <w:jc w:val="both"/>
        <w:rPr>
          <w:sz w:val="20"/>
          <w:szCs w:val="20"/>
          <w:lang w:val="sk-SK"/>
        </w:rPr>
      </w:pPr>
      <w:r>
        <w:rPr>
          <w:sz w:val="20"/>
          <w:szCs w:val="20"/>
          <w:vertAlign w:val="superscript"/>
          <w:lang w:val="sk-SK"/>
        </w:rPr>
        <w:t xml:space="preserve">16bc) </w:t>
      </w:r>
      <w:r>
        <w:rPr>
          <w:sz w:val="20"/>
          <w:szCs w:val="20"/>
          <w:lang w:val="sk-SK"/>
        </w:rPr>
        <w:t xml:space="preserve">Zákon č. 19/2002 Z. z., ktorým sa ustanovujú podmienky vydávania aproximačných nariadení vlády Slovenskej republiky v znení neskorších predpisov. </w:t>
      </w:r>
    </w:p>
    <w:p>
      <w:pPr>
        <w:ind w:left="360"/>
        <w:jc w:val="both"/>
        <w:rPr>
          <w:lang w:val="sk-SK"/>
        </w:rPr>
      </w:pPr>
      <w:r>
        <w:rPr>
          <w:sz w:val="20"/>
          <w:szCs w:val="20"/>
          <w:vertAlign w:val="superscript"/>
          <w:lang w:val="sk-SK"/>
        </w:rPr>
        <w:t>16bd)</w:t>
      </w:r>
      <w:r>
        <w:rPr>
          <w:sz w:val="20"/>
          <w:szCs w:val="20"/>
          <w:lang w:val="sk-SK"/>
        </w:rPr>
        <w:t xml:space="preserve"> Zákon č. 71/1967 Zb. o správnom konaní (správny poriadok).“.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  <w:r>
        <w:rPr>
          <w:lang w:val="sk-SK"/>
        </w:rPr>
        <w:t>5. § 10a znie:</w:t>
      </w:r>
    </w:p>
    <w:p>
      <w:pPr>
        <w:jc w:val="center"/>
        <w:rPr>
          <w:lang w:val="sk-SK"/>
        </w:rPr>
      </w:pPr>
      <w:r>
        <w:rPr>
          <w:lang w:val="sk-SK"/>
        </w:rPr>
        <w:t>„§ 10a</w:t>
      </w:r>
    </w:p>
    <w:p>
      <w:pPr>
        <w:jc w:val="center"/>
        <w:rPr>
          <w:lang w:val="sk-SK"/>
        </w:rPr>
      </w:pPr>
    </w:p>
    <w:p>
      <w:pPr>
        <w:ind w:left="360" w:firstLine="360"/>
        <w:jc w:val="both"/>
        <w:rPr>
          <w:lang w:val="sk-SK"/>
        </w:rPr>
      </w:pPr>
      <w:r>
        <w:rPr>
          <w:lang w:val="sk-SK"/>
        </w:rPr>
        <w:t>(1) Regionálna veterinárna a potravinová správa môže uložiť podnikateľovi pokutu od 10 000 Sk do 500 000 Sk, ak tento</w:t>
      </w:r>
    </w:p>
    <w:p>
      <w:pPr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porušil osobitné predpisy</w:t>
      </w:r>
      <w:r>
        <w:rPr>
          <w:vertAlign w:val="superscript"/>
          <w:lang w:val="sk-SK"/>
        </w:rPr>
        <w:t>16a)</w:t>
      </w:r>
      <w:r>
        <w:rPr>
          <w:lang w:val="sk-SK"/>
        </w:rPr>
        <w:t xml:space="preserve"> v oblasti organizovania trhu, </w:t>
      </w:r>
    </w:p>
    <w:p>
      <w:pPr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sťažuje alebo marí výkon kontroly zhody podľa § 10 ods. 7,</w:t>
      </w:r>
    </w:p>
    <w:p>
      <w:pPr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v určenej lehote nevykonal uložené opatrenia podľa § 10 ods.13.</w:t>
      </w:r>
    </w:p>
    <w:p>
      <w:pPr>
        <w:jc w:val="both"/>
        <w:rPr>
          <w:lang w:val="sk-SK"/>
        </w:rPr>
      </w:pPr>
    </w:p>
    <w:p>
      <w:pPr>
        <w:ind w:left="360" w:firstLine="377"/>
        <w:jc w:val="both"/>
        <w:rPr>
          <w:lang w:val="sk-SK"/>
        </w:rPr>
      </w:pPr>
      <w:r>
        <w:rPr>
          <w:lang w:val="sk-SK"/>
        </w:rPr>
        <w:t xml:space="preserve">(2) Regionálna veterinárna a potravinová správa môže uložiť prevádzkovateľovi bitúnka pokutu od 100 000 Sk do 1 000 000 Sk, ak prevádzkovateľ bitúnka nesplnil povinnosť podľa § 7 ods. 1. </w:t>
      </w:r>
    </w:p>
    <w:p>
      <w:pPr>
        <w:ind w:firstLine="180"/>
        <w:jc w:val="both"/>
        <w:rPr>
          <w:lang w:val="sk-SK"/>
        </w:rPr>
      </w:pPr>
    </w:p>
    <w:p>
      <w:pPr>
        <w:pStyle w:val="BodyTextIndent2"/>
        <w:ind w:left="340" w:firstLine="368"/>
        <w:rPr>
          <w:lang w:val="sk-SK"/>
        </w:rPr>
      </w:pPr>
      <w:r>
        <w:rPr>
          <w:lang w:val="sk-SK"/>
        </w:rPr>
        <w:t xml:space="preserve">(3) Pokutu možno uložiť do jedného roka odo dňa, keď kontrolný orgán zistil porušenie povinností, najneskôr však do troch rokov odo dňa, keď došlo k porušeniu povinností. </w:t>
      </w:r>
    </w:p>
    <w:p>
      <w:pPr>
        <w:pStyle w:val="BodyTextIndent2"/>
        <w:ind w:left="340" w:firstLine="368"/>
        <w:rPr>
          <w:lang w:val="sk-SK"/>
        </w:rPr>
      </w:pPr>
    </w:p>
    <w:p>
      <w:pPr>
        <w:pStyle w:val="BodyTextIndent2"/>
        <w:ind w:left="340" w:firstLine="368"/>
        <w:rPr>
          <w:lang w:val="sk-SK"/>
        </w:rPr>
      </w:pPr>
      <w:r>
        <w:rPr>
          <w:lang w:val="sk-SK"/>
        </w:rPr>
        <w:t>(4) Pri určení výšky pokuty sa prihliada na závažnosť, trvanie, mieru zavinenia, následky protiprávneho konania a na to, či ide o opakované protiprávne konanie.</w:t>
      </w:r>
    </w:p>
    <w:p>
      <w:pPr>
        <w:ind w:firstLine="360"/>
        <w:jc w:val="both"/>
        <w:rPr>
          <w:lang w:val="sk-SK"/>
        </w:rPr>
      </w:pPr>
    </w:p>
    <w:p>
      <w:pPr>
        <w:pStyle w:val="BodyTextIndent3"/>
      </w:pPr>
      <w:r>
        <w:t>(5) Na konanie o uložení pokuty sa vzťahujú všeobecné predpisy o správnom konaní.“.</w:t>
      </w:r>
    </w:p>
    <w:p>
      <w:pPr>
        <w:jc w:val="both"/>
        <w:rPr>
          <w:lang w:val="sk-SK"/>
        </w:rPr>
      </w:pPr>
    </w:p>
    <w:p>
      <w:pPr>
        <w:autoSpaceDE w:val="0"/>
        <w:autoSpaceDN w:val="0"/>
        <w:adjustRightInd w:val="0"/>
        <w:jc w:val="both"/>
        <w:rPr>
          <w:rFonts w:eastAsia="Batang"/>
          <w:lang w:val="sk-SK" w:eastAsia="ko-KR"/>
        </w:rPr>
      </w:pPr>
    </w:p>
    <w:p>
      <w:pPr>
        <w:pStyle w:val="Heading1"/>
      </w:pPr>
      <w:r>
        <w:t>Čl. II</w:t>
      </w:r>
    </w:p>
    <w:p>
      <w:pPr>
        <w:jc w:val="center"/>
        <w:rPr>
          <w:b/>
          <w:bCs/>
          <w:lang w:val="sk-SK"/>
        </w:rPr>
      </w:pPr>
    </w:p>
    <w:p>
      <w:pPr>
        <w:ind w:firstLine="708"/>
        <w:jc w:val="both"/>
        <w:rPr>
          <w:lang w:val="sk-SK"/>
        </w:rPr>
      </w:pPr>
      <w:r>
        <w:rPr>
          <w:lang w:val="sk-SK"/>
        </w:rPr>
        <w:t>Tento zákon nadobúda účinnosť 1. decembra 2006.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AA8"/>
    <w:multiLevelType w:val="hybridMultilevel"/>
    <w:tmpl w:val="DEC4A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E7F1B"/>
    <w:multiLevelType w:val="hybridMultilevel"/>
    <w:tmpl w:val="FDC07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F5F82"/>
    <w:multiLevelType w:val="hybridMultilevel"/>
    <w:tmpl w:val="D4DA50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087BB3"/>
    <w:multiLevelType w:val="hybridMultilevel"/>
    <w:tmpl w:val="89004804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vertAlign w:val="baseline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0C681B"/>
    <w:multiLevelType w:val="hybridMultilevel"/>
    <w:tmpl w:val="80B64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D313F"/>
    <w:multiLevelType w:val="hybridMultilevel"/>
    <w:tmpl w:val="F8BAB5F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F1618"/>
    <w:multiLevelType w:val="hybridMultilevel"/>
    <w:tmpl w:val="BD32BA1E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211A7B"/>
    <w:multiLevelType w:val="hybridMultilevel"/>
    <w:tmpl w:val="8FBA69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3B0F64"/>
    <w:multiLevelType w:val="hybridMultilevel"/>
    <w:tmpl w:val="D94248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42B7F"/>
    <w:multiLevelType w:val="hybridMultilevel"/>
    <w:tmpl w:val="DE3E9C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737"/>
        </w:tabs>
        <w:ind w:left="737" w:hanging="397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87025"/>
    <w:multiLevelType w:val="hybridMultilevel"/>
    <w:tmpl w:val="F14A3CEC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9E602A"/>
    <w:multiLevelType w:val="hybridMultilevel"/>
    <w:tmpl w:val="AC2822A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MS Sans Serif" w:hAnsi="MS Sans Serif"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AF4854"/>
    <w:multiLevelType w:val="hybridMultilevel"/>
    <w:tmpl w:val="1C88D5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79207E"/>
    <w:multiLevelType w:val="hybridMultilevel"/>
    <w:tmpl w:val="833C0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504ED8"/>
    <w:multiLevelType w:val="hybridMultilevel"/>
    <w:tmpl w:val="559A6B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91A40"/>
    <w:multiLevelType w:val="hybridMultilevel"/>
    <w:tmpl w:val="01A4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F55F74"/>
    <w:multiLevelType w:val="hybridMultilevel"/>
    <w:tmpl w:val="699E58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7025D"/>
    <w:multiLevelType w:val="hybridMultilevel"/>
    <w:tmpl w:val="D43C8DF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1D56D3"/>
    <w:multiLevelType w:val="hybridMultilevel"/>
    <w:tmpl w:val="2BD014B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  <w:num w:numId="13">
    <w:abstractNumId w:val="4"/>
  </w:num>
  <w:num w:numId="14">
    <w:abstractNumId w:val="7"/>
  </w:num>
  <w:num w:numId="15">
    <w:abstractNumId w:val="11"/>
  </w:num>
  <w:num w:numId="16">
    <w:abstractNumId w:val="17"/>
  </w:num>
  <w:num w:numId="17">
    <w:abstractNumId w:val="15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  <w:lang w:val="sk-SK"/>
    </w:rPr>
  </w:style>
  <w:style w:type="paragraph" w:styleId="BodyText">
    <w:name w:val="Body Text"/>
    <w:basedOn w:val="Normal"/>
    <w:pPr>
      <w:jc w:val="both"/>
    </w:pPr>
    <w:rPr>
      <w:lang w:val="sk-SK"/>
    </w:rPr>
  </w:style>
  <w:style w:type="paragraph" w:styleId="BodyTextIndent">
    <w:name w:val="Body Text Indent"/>
    <w:basedOn w:val="Normal"/>
    <w:pPr>
      <w:ind w:firstLine="180"/>
      <w:jc w:val="both"/>
    </w:pPr>
    <w:rPr>
      <w:lang w:val="sk-SK"/>
    </w:rPr>
  </w:style>
  <w:style w:type="paragraph" w:styleId="NormalWeb">
    <w:name w:val="Normal (Web)"/>
    <w:basedOn w:val="Normal"/>
    <w:pPr>
      <w:spacing w:before="150" w:after="150"/>
      <w:ind w:left="675" w:right="525"/>
    </w:pPr>
    <w:rPr>
      <w:rFonts w:ascii="Arial Unicode MS" w:eastAsia="Arial Unicode MS" w:hAnsi="Arial Unicode MS" w:cs="Arial Unicode MS"/>
      <w:sz w:val="19"/>
      <w:szCs w:val="19"/>
    </w:rPr>
  </w:style>
  <w:style w:type="paragraph" w:styleId="BodyTextIndent2">
    <w:name w:val="Body Text Indent 2"/>
    <w:basedOn w:val="Normal"/>
    <w:pPr>
      <w:ind w:firstLine="360"/>
      <w:jc w:val="both"/>
    </w:pPr>
  </w:style>
  <w:style w:type="paragraph" w:customStyle="1" w:styleId="Nadpis2a">
    <w:name w:val="Nadpis 2a"/>
    <w:basedOn w:val="Heading2"/>
    <w:pPr>
      <w:spacing w:before="120" w:after="0"/>
      <w:jc w:val="center"/>
    </w:pPr>
    <w:rPr>
      <w:rFonts w:ascii="Times New Roman" w:hAnsi="Times New Roman" w:cs="Times New Roman"/>
      <w:i w:val="0"/>
      <w:iCs w:val="0"/>
      <w:noProof/>
      <w:sz w:val="24"/>
      <w:szCs w:val="24"/>
      <w:lang w:val="sk-SK" w:eastAsia="sk-SK"/>
    </w:rPr>
  </w:style>
  <w:style w:type="paragraph" w:styleId="BodyTextIndent3">
    <w:name w:val="Body Text Indent 3"/>
    <w:basedOn w:val="Normal"/>
    <w:pPr>
      <w:ind w:left="360" w:firstLine="348"/>
      <w:jc w:val="both"/>
    </w:pPr>
    <w:rPr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100</TotalTime>
  <Pages>1</Pages>
  <Words>1779</Words>
  <Characters>10143</Characters>
  <Application>Microsoft Office Word</Application>
  <DocSecurity>0</DocSecurity>
  <Lines>84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</vt:lpstr>
    </vt:vector>
  </TitlesOfParts>
  <Company>SVFA</Company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Tkačikova</dc:creator>
  <cp:lastModifiedBy>timea.lengyelova</cp:lastModifiedBy>
  <cp:revision>21</cp:revision>
  <cp:lastPrinted>2006-01-19T12:02:00Z</cp:lastPrinted>
  <dcterms:created xsi:type="dcterms:W3CDTF">2005-12-08T07:46:00Z</dcterms:created>
  <dcterms:modified xsi:type="dcterms:W3CDTF">2006-07-20T05:05:00Z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1555108184</vt:i4>
  </property>
  <property fmtid="{D5CDD505-2E9C-101B-9397-08002B2CF9AE}" pid="3" name="_AuthorEmail">
    <vt:lpwstr>miroslav.kisa@land.gov.sk</vt:lpwstr>
  </property>
  <property fmtid="{D5CDD505-2E9C-101B-9397-08002B2CF9AE}" pid="4" name="_AuthorEmailDisplayName">
    <vt:lpwstr>Kiša Miroslav</vt:lpwstr>
  </property>
  <property fmtid="{D5CDD505-2E9C-101B-9397-08002B2CF9AE}" pid="5" name="_EmailSubject">
    <vt:lpwstr>do lrv 491-2001</vt:lpwstr>
  </property>
  <property fmtid="{D5CDD505-2E9C-101B-9397-08002B2CF9AE}" pid="6" name="_PreviousAdHocReviewCycleID">
    <vt:i4>-1517582532</vt:i4>
  </property>
</Properties>
</file>