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jc w:val="center"/>
        <w:rPr>
          <w:b/>
          <w:sz w:val="28"/>
          <w:szCs w:val="28"/>
        </w:rPr>
      </w:pPr>
      <w:r>
        <w:rPr>
          <w:b/>
          <w:sz w:val="28"/>
          <w:szCs w:val="28"/>
        </w:rPr>
        <w:t>Dôvodová správa</w:t>
      </w:r>
    </w:p>
    <w:p>
      <w:pPr>
        <w:jc w:val="both"/>
        <w:rPr>
          <w:b/>
        </w:rPr>
      </w:pPr>
    </w:p>
    <w:p>
      <w:pPr>
        <w:jc w:val="both"/>
        <w:rPr>
          <w:b/>
        </w:rPr>
      </w:pPr>
    </w:p>
    <w:p>
      <w:pPr>
        <w:jc w:val="both"/>
        <w:rPr>
          <w:b/>
        </w:rPr>
      </w:pPr>
    </w:p>
    <w:p>
      <w:pPr>
        <w:jc w:val="both"/>
      </w:pPr>
      <w:r>
        <w:rPr>
          <w:b/>
        </w:rPr>
        <w:t>Všeobecná časť</w:t>
      </w:r>
    </w:p>
    <w:p>
      <w:pPr>
        <w:jc w:val="both"/>
      </w:pPr>
    </w:p>
    <w:p>
      <w:pPr>
        <w:jc w:val="both"/>
        <w:rPr>
          <w:szCs w:val="20"/>
        </w:rPr>
      </w:pPr>
      <w:r>
        <w:tab/>
        <w:t xml:space="preserve">Podporu v pôdohospodárstve v nadväznosti na predpisy Európskej únie v súčasnosti upravuje zákon č. 473/2003 Z. z. </w:t>
      </w:r>
      <w:r>
        <w:rPr>
          <w:szCs w:val="20"/>
        </w:rPr>
        <w:t xml:space="preserve">o Pôdohospodárskej platobnej agentúre, o podpore podnikania v pôdohospodárstve a o zmene a doplnení niektorých zákonov. Uvedeným zákonom bola zriadená Pôdohospodárska platobná agentúra, ktorá v súčasnosti zabezpečuje činnosti súvisiace s čerpaním jednotlivých fondov Európskej únie. Za tým účelom, Pôdohospodárska platobná agentúra bola pre jednotlivé činnosti akreditovaná. Akreditáciou bolo osvedčené, že Pôdohospodárska platobná agentúra má vybudovaný administratívny a kontrolný systém, ktorý zabezpečuje objektivitu poskytovaní podpory.  </w:t>
      </w:r>
    </w:p>
    <w:p>
      <w:pPr>
        <w:jc w:val="both"/>
        <w:rPr>
          <w:szCs w:val="20"/>
        </w:rPr>
      </w:pPr>
    </w:p>
    <w:p>
      <w:pPr>
        <w:jc w:val="both"/>
        <w:rPr>
          <w:szCs w:val="20"/>
        </w:rPr>
      </w:pPr>
      <w:r>
        <w:rPr>
          <w:szCs w:val="20"/>
        </w:rPr>
        <w:tab/>
        <w:t xml:space="preserve">Vyššie uvedený zákon v čase jeho prípravy ešte nemohol reagovať na pripravovanú reformu Spoločnej poľnohospodárskej politiky. Schválená reforma spoločnej poľnohospodárskej politiky prijatá v roku 2003 zásadným spôsobom mení financovanie v sektore poľnohospodárstva. Táto reforma bola uvedená do praxe v roku 2005. Podľa Zmluvy o pristúpení bolo umožnené novým členským krajinám dočasne zaviesť na svojom území zjednodušený systém vyplácania podpôr v poľnohospodárstve a to tzv. systém jednotnej platby na plochu. Tento systém môže Slovenská republika uplatňovať do konca roka 2006. Následne budeme povinní uplatňovať nový systém platieb a to systém jednotnej platby na farmu. </w:t>
      </w:r>
    </w:p>
    <w:p>
      <w:pPr>
        <w:jc w:val="both"/>
        <w:rPr>
          <w:szCs w:val="20"/>
        </w:rPr>
      </w:pPr>
    </w:p>
    <w:p>
      <w:pPr>
        <w:jc w:val="both"/>
        <w:rPr>
          <w:szCs w:val="20"/>
        </w:rPr>
      </w:pPr>
      <w:r>
        <w:rPr>
          <w:szCs w:val="20"/>
        </w:rPr>
        <w:tab/>
        <w:t xml:space="preserve">Vzhľadom na vyššie uvedené a skutočnosť, že reforma Spoločnej poľnohospodárskej politiky bola potvrdená prijatím nových právnych aktov Európskej únie bolo potrebné tieto premietnuť aj do slovenského právneho poriadku. Aj keď v zásade išlo len o parciálne zmeny v doteraz platnom zákone č. 473/2003 Z. z., ich značné množstvo sa z tohto dôvodu realizuje ako nový návrh zákona. </w:t>
      </w:r>
    </w:p>
    <w:p>
      <w:pPr>
        <w:jc w:val="both"/>
        <w:rPr>
          <w:szCs w:val="20"/>
        </w:rPr>
      </w:pPr>
    </w:p>
    <w:p>
      <w:pPr>
        <w:ind w:firstLine="708"/>
        <w:jc w:val="both"/>
      </w:pPr>
      <w:r>
        <w:t>Navrhovaný zákon korešponduje s ústavným záväzkom štátu chrániť a podporovať hospodársku súťaž (Čl. 55 ods. 2 Ústavy) v špecifických podmienkach agrárneho trhu a neprekročí podmienky Ústavy na zákonnú úpravu vymedzenia základných práv a slobôd, osobitné práva na podnikanie.</w:t>
      </w:r>
    </w:p>
    <w:p>
      <w:pPr>
        <w:ind w:firstLine="708"/>
        <w:jc w:val="both"/>
      </w:pPr>
    </w:p>
    <w:p>
      <w:pPr>
        <w:ind w:firstLine="708"/>
        <w:jc w:val="both"/>
      </w:pPr>
      <w:r>
        <w:t>Zmluva o pristúpení</w:t>
      </w:r>
      <w:r>
        <w:t xml:space="preserve"> Slovenskej republiky k Európskej únii a Akt o podmienkach pristúpenia vychádza v oblasti poľnohospodárstva zo zásad ES a v pravidlách hospodárskej súťaže zohľadňuje osobitné požiadavky na výrobu a obchod s poľnohospodárskymi výrobkami. </w:t>
      </w:r>
    </w:p>
    <w:p>
      <w:pPr>
        <w:jc w:val="both"/>
      </w:pPr>
    </w:p>
    <w:p>
      <w:pPr>
        <w:jc w:val="both"/>
      </w:pPr>
    </w:p>
    <w:p>
      <w:pPr>
        <w:pStyle w:val="prilohanadpis"/>
        <w:spacing w:before="0" w:after="0"/>
        <w:rPr>
          <w:caps/>
        </w:rPr>
      </w:pPr>
      <w:r>
        <w:rPr>
          <w:caps/>
        </w:rPr>
        <w:t>Doložka finančných, ekonomických, enviromentálnych vplyvov a vplyvov na zamestnanosť</w:t>
      </w:r>
    </w:p>
    <w:p>
      <w:pPr>
        <w:pStyle w:val="prilohanadpis"/>
        <w:spacing w:before="0" w:after="0"/>
        <w:jc w:val="left"/>
        <w:rPr>
          <w:caps/>
        </w:rPr>
      </w:pPr>
    </w:p>
    <w:p>
      <w:pPr>
        <w:pStyle w:val="prilohanadpis"/>
        <w:spacing w:before="0" w:after="0"/>
        <w:jc w:val="left"/>
        <w:rPr>
          <w:caps/>
        </w:rPr>
      </w:pPr>
    </w:p>
    <w:p>
      <w:pPr>
        <w:pStyle w:val="BodyText"/>
        <w:rPr>
          <w:bCs/>
        </w:rPr>
      </w:pPr>
      <w:r>
        <w:rPr>
          <w:bCs/>
        </w:rPr>
        <w:t xml:space="preserve"> </w:t>
        <w:tab/>
        <w:t xml:space="preserve">Z hľadiska hospodárskeho a finančného dopadu sa nepredpokladá zvýšenie nárokov na finančné prostriedky zo štátneho rozpočtu na rok 2007. Rovnako sa nepredpokladá dopad na rozpočty obcí a vyšších územných celkov. Návrh zákona je v súlade s prioritami a cieľmi hospodárskej politiky. </w:t>
      </w:r>
    </w:p>
    <w:p>
      <w:pPr>
        <w:ind w:firstLine="708"/>
        <w:jc w:val="both"/>
        <w:rPr>
          <w:bCs/>
        </w:rPr>
      </w:pPr>
      <w:r>
        <w:rPr>
          <w:bCs/>
        </w:rPr>
        <w:t xml:space="preserve">Návrh zákona nemá negatívny vplyv na životné prostredie a pozitívne ovplyvní mieru nezamestnanosti. </w:t>
      </w:r>
    </w:p>
    <w:p>
      <w:pPr>
        <w:ind w:firstLine="708"/>
        <w:jc w:val="both"/>
        <w:rPr>
          <w:bCs/>
        </w:rPr>
      </w:pPr>
    </w:p>
    <w:p>
      <w:pPr>
        <w:jc w:val="both"/>
        <w:rPr>
          <w:bCs/>
        </w:rPr>
      </w:pPr>
      <w:r>
        <w:rPr>
          <w:bCs/>
        </w:rPr>
        <w:t xml:space="preserve">            Z uvedených dôvodov nie je potrebné návrh zákona prerokovať v Rade hospodárskej a sociálnej dohody podľa zákona č. 106/1999 Z. z. o hospodárskom a sociálnom partnerstve.</w:t>
      </w:r>
    </w:p>
    <w:p>
      <w:pPr>
        <w:jc w:val="both"/>
        <w:rPr>
          <w:bCs/>
        </w:rPr>
      </w:pPr>
    </w:p>
    <w:p>
      <w:pPr>
        <w:ind w:firstLine="708"/>
        <w:jc w:val="both"/>
        <w:rPr>
          <w:bCs/>
        </w:rPr>
      </w:pPr>
      <w:r>
        <w:rPr>
          <w:bCs/>
        </w:rPr>
        <w:t>Návrh zákona je v súlade s Ústavou SR, s našim právnym poriadkom a so Zmluvou o pristúpení s Aktom o podmienkach pristúpenia SR</w:t>
      </w:r>
      <w:r>
        <w:rPr>
          <w:bCs/>
        </w:rPr>
        <w:t xml:space="preserve"> do EÚ. </w:t>
      </w:r>
    </w:p>
    <w:p>
      <w:pPr>
        <w:ind w:firstLine="708"/>
        <w:jc w:val="both"/>
        <w:rPr>
          <w:bCs/>
        </w:rPr>
      </w:pPr>
    </w:p>
    <w:p>
      <w:pPr>
        <w:ind w:firstLine="708"/>
        <w:jc w:val="both"/>
        <w:rPr>
          <w:bCs/>
          <w:caps/>
        </w:rPr>
      </w:pPr>
    </w:p>
    <w:p>
      <w:pPr>
        <w:jc w:val="center"/>
        <w:rPr>
          <w:b/>
          <w:bCs/>
          <w:caps/>
          <w:sz w:val="26"/>
          <w:szCs w:val="26"/>
        </w:rPr>
      </w:pPr>
      <w:r>
        <w:rPr>
          <w:b/>
          <w:bCs/>
          <w:caps/>
          <w:sz w:val="26"/>
          <w:szCs w:val="26"/>
        </w:rPr>
        <w:t>Doložka zlUčite</w:t>
      </w:r>
      <w:r>
        <w:rPr>
          <w:rFonts w:ascii="Times New Roman" w:hAnsi="Times New Roman"/>
          <w:b/>
          <w:bCs/>
          <w:caps/>
          <w:sz w:val="26"/>
          <w:szCs w:val="26"/>
        </w:rPr>
        <w:t>Ľ</w:t>
      </w:r>
      <w:r>
        <w:rPr>
          <w:b/>
          <w:bCs/>
          <w:caps/>
          <w:sz w:val="26"/>
          <w:szCs w:val="26"/>
        </w:rPr>
        <w:t>nosti</w:t>
      </w:r>
    </w:p>
    <w:p>
      <w:pPr>
        <w:jc w:val="center"/>
        <w:rPr>
          <w:b/>
          <w:bCs/>
          <w:sz w:val="26"/>
          <w:szCs w:val="26"/>
        </w:rPr>
      </w:pPr>
      <w:r>
        <w:rPr>
          <w:b/>
          <w:bCs/>
          <w:sz w:val="26"/>
          <w:szCs w:val="26"/>
        </w:rPr>
        <w:t>návrhu právneho predpisu</w:t>
      </w:r>
    </w:p>
    <w:p>
      <w:pPr>
        <w:jc w:val="center"/>
        <w:rPr>
          <w:b/>
          <w:bCs/>
          <w:sz w:val="26"/>
          <w:szCs w:val="26"/>
        </w:rPr>
      </w:pPr>
      <w:r>
        <w:rPr>
          <w:b/>
          <w:bCs/>
          <w:sz w:val="26"/>
          <w:szCs w:val="26"/>
        </w:rPr>
        <w:t xml:space="preserve"> s právom Európskych spoločenstiev a právom Európskej</w:t>
      </w:r>
      <w:r>
        <w:rPr>
          <w:sz w:val="26"/>
          <w:szCs w:val="26"/>
        </w:rPr>
        <w:t xml:space="preserve"> </w:t>
      </w:r>
      <w:r>
        <w:rPr>
          <w:b/>
          <w:bCs/>
          <w:sz w:val="26"/>
          <w:szCs w:val="26"/>
        </w:rPr>
        <w:t>únie:</w:t>
      </w:r>
    </w:p>
    <w:p>
      <w:pPr>
        <w:jc w:val="both"/>
      </w:pPr>
    </w:p>
    <w:p>
      <w:pPr>
        <w:numPr>
          <w:ilvl w:val="0"/>
          <w:numId w:val="2"/>
        </w:numPr>
        <w:jc w:val="both"/>
      </w:pPr>
      <w:r>
        <w:rPr>
          <w:b/>
          <w:bCs/>
        </w:rPr>
        <w:t>Navrhovateľ  právneho predpisu</w:t>
      </w:r>
      <w:r>
        <w:t>: vláda Slovenskej republiky</w:t>
      </w:r>
    </w:p>
    <w:p>
      <w:pPr>
        <w:pStyle w:val="Styl1"/>
      </w:pPr>
    </w:p>
    <w:p>
      <w:pPr>
        <w:numPr>
          <w:ilvl w:val="0"/>
          <w:numId w:val="3"/>
        </w:numPr>
        <w:jc w:val="both"/>
      </w:pPr>
      <w:r>
        <w:rPr>
          <w:b/>
          <w:bCs/>
        </w:rPr>
        <w:t>Názov návrhu právneho predpisu</w:t>
      </w:r>
      <w:r>
        <w:t>: Návrh zákona o podpore podnikania v pôdohospo</w:t>
      </w:r>
      <w:r>
        <w:t>dárstve a rozvoji vidieka.</w:t>
      </w:r>
    </w:p>
    <w:p>
      <w:pPr>
        <w:jc w:val="both"/>
      </w:pPr>
    </w:p>
    <w:p>
      <w:pPr>
        <w:numPr>
          <w:ilvl w:val="0"/>
          <w:numId w:val="3"/>
        </w:numPr>
        <w:jc w:val="both"/>
      </w:pPr>
      <w:r>
        <w:rPr>
          <w:b/>
          <w:bCs/>
        </w:rPr>
        <w:t xml:space="preserve">Problematika návrhu právneho predpisu: </w:t>
      </w:r>
    </w:p>
    <w:p>
      <w:pPr>
        <w:numPr>
          <w:ilvl w:val="0"/>
          <w:numId w:val="5"/>
        </w:numPr>
        <w:jc w:val="both"/>
        <w:rPr>
          <w:bCs/>
        </w:rPr>
      </w:pPr>
      <w:r>
        <w:rPr>
          <w:bCs/>
        </w:rPr>
        <w:t>je upravená v  práve Európskych spoločenstiev:</w:t>
      </w:r>
    </w:p>
    <w:p>
      <w:pPr>
        <w:ind w:left="283" w:firstLine="360"/>
        <w:jc w:val="both"/>
        <w:rPr>
          <w:b/>
          <w:bCs/>
        </w:rPr>
      </w:pPr>
    </w:p>
    <w:p>
      <w:pPr>
        <w:ind w:left="283" w:firstLine="360"/>
        <w:jc w:val="both"/>
        <w:rPr>
          <w:b/>
        </w:rPr>
      </w:pPr>
      <w:r>
        <w:rPr>
          <w:b/>
        </w:rPr>
        <w:t>v primárnom práve:</w:t>
      </w:r>
    </w:p>
    <w:p>
      <w:pPr>
        <w:jc w:val="both"/>
        <w:rPr>
          <w:bCs/>
        </w:rPr>
      </w:pPr>
      <w:r>
        <w:rPr>
          <w:bCs/>
        </w:rPr>
        <w:t xml:space="preserve">          - v hlave II, čl. 32 až 38 Zmluvy o založení Európskeho spoločenstva.</w:t>
      </w:r>
    </w:p>
    <w:p>
      <w:pPr>
        <w:ind w:left="1003"/>
        <w:jc w:val="both"/>
        <w:rPr>
          <w:b/>
          <w:bCs/>
        </w:rPr>
      </w:pPr>
    </w:p>
    <w:p>
      <w:pPr>
        <w:ind w:left="283" w:firstLine="360"/>
        <w:jc w:val="both"/>
        <w:rPr>
          <w:b/>
          <w:bCs/>
        </w:rPr>
      </w:pPr>
      <w:r>
        <w:rPr>
          <w:b/>
          <w:bCs/>
        </w:rPr>
        <w:t xml:space="preserve">v sekundárnej legislatíve  </w:t>
      </w:r>
    </w:p>
    <w:p>
      <w:pPr>
        <w:ind w:left="283" w:firstLine="360"/>
        <w:jc w:val="both"/>
        <w:rPr>
          <w:bCs/>
        </w:rPr>
      </w:pPr>
      <w:r>
        <w:rPr>
          <w:bCs/>
        </w:rPr>
        <w:t>- uvedené v </w:t>
      </w:r>
      <w:r>
        <w:rPr>
          <w:bCs/>
        </w:rPr>
        <w:t>prílohe</w:t>
      </w:r>
    </w:p>
    <w:p>
      <w:pPr>
        <w:ind w:left="283"/>
        <w:jc w:val="both"/>
        <w:rPr>
          <w:bCs/>
        </w:rPr>
      </w:pPr>
    </w:p>
    <w:p>
      <w:pPr>
        <w:numPr>
          <w:ilvl w:val="0"/>
          <w:numId w:val="5"/>
        </w:numPr>
        <w:jc w:val="both"/>
        <w:rPr>
          <w:b/>
          <w:bCs/>
        </w:rPr>
      </w:pPr>
      <w:r>
        <w:rPr>
          <w:b/>
          <w:bCs/>
        </w:rPr>
        <w:t>nie je upravená v práve Európskej únie</w:t>
      </w:r>
    </w:p>
    <w:p>
      <w:pPr>
        <w:jc w:val="both"/>
        <w:rPr>
          <w:b/>
          <w:bCs/>
        </w:rPr>
      </w:pPr>
    </w:p>
    <w:p>
      <w:pPr>
        <w:numPr>
          <w:ilvl w:val="0"/>
          <w:numId w:val="5"/>
        </w:numPr>
        <w:jc w:val="both"/>
        <w:rPr>
          <w:b/>
          <w:bCs/>
        </w:rPr>
      </w:pPr>
      <w:r>
        <w:rPr>
          <w:b/>
          <w:bCs/>
        </w:rPr>
        <w:t>je obsiahnutá v judikatúre Súdneho dvora Európskych spoločenstiev alebo súdu prvého stupňa Európskych spoločenstiev:</w:t>
      </w:r>
    </w:p>
    <w:p>
      <w:pPr>
        <w:pStyle w:val="BodyTextIndent"/>
        <w:rPr>
          <w:color w:val="auto"/>
        </w:rPr>
      </w:pPr>
      <w:r>
        <w:rPr>
          <w:color w:val="auto"/>
        </w:rPr>
        <w:t>- napr. spojené prípady C-5/90 a C-206/90, C-321/91, C-263/98, C-278/98, C-436/98, C-136/9</w:t>
      </w:r>
      <w:r>
        <w:rPr>
          <w:color w:val="auto"/>
        </w:rPr>
        <w:t>3, C-217/98, C-309/04, C-177/00, C-242/97, C-243/97, C-253/97, C-235/97, C-178/00, C-232/96.</w:t>
      </w:r>
    </w:p>
    <w:p>
      <w:pPr>
        <w:ind w:left="283"/>
        <w:jc w:val="both"/>
        <w:rPr>
          <w:bCs/>
        </w:rPr>
      </w:pPr>
    </w:p>
    <w:p>
      <w:pPr>
        <w:jc w:val="both"/>
        <w:rPr>
          <w:b/>
          <w:bCs/>
        </w:rPr>
      </w:pPr>
      <w:r>
        <w:rPr>
          <w:bCs/>
        </w:rPr>
        <w:t>4.</w:t>
      </w:r>
      <w:r>
        <w:rPr>
          <w:b/>
          <w:bCs/>
        </w:rPr>
        <w:t xml:space="preserve"> Záväzky Slovenskej republiky vo vzťahu k Európskym spoločenstvám a Európskej únii: </w:t>
      </w:r>
    </w:p>
    <w:p>
      <w:pPr>
        <w:jc w:val="both"/>
        <w:rPr>
          <w:b/>
          <w:bCs/>
        </w:rPr>
      </w:pPr>
    </w:p>
    <w:p>
      <w:pPr>
        <w:numPr>
          <w:ilvl w:val="0"/>
          <w:numId w:val="9"/>
        </w:numPr>
        <w:jc w:val="both"/>
        <w:rPr>
          <w:bCs/>
        </w:rPr>
      </w:pPr>
      <w:r>
        <w:rPr>
          <w:bCs/>
        </w:rPr>
        <w:t>Prijatie zákona je plnením záväzkov Slovenskej republiky vyplývajúcim zo Zmluvy o pristúpení a Aktu o podmienkach pristúpenia v oblasti Spoločnej poľnohospodárskej politiky.</w:t>
      </w:r>
    </w:p>
    <w:p>
      <w:pPr>
        <w:numPr>
          <w:ilvl w:val="0"/>
          <w:numId w:val="9"/>
        </w:numPr>
        <w:jc w:val="both"/>
        <w:rPr>
          <w:bCs/>
        </w:rPr>
      </w:pPr>
      <w:r>
        <w:rPr>
          <w:bCs/>
        </w:rPr>
        <w:t>Z Aktu o podmienkach pristúpenia nevyplývajú pre Slovenskú republiku žiadne prechodné ustanovenia.</w:t>
      </w:r>
    </w:p>
    <w:p>
      <w:pPr>
        <w:numPr>
          <w:ilvl w:val="0"/>
          <w:numId w:val="9"/>
        </w:numPr>
        <w:jc w:val="both"/>
        <w:rPr>
          <w:bCs/>
        </w:rPr>
      </w:pPr>
      <w:r>
        <w:rPr>
          <w:bCs/>
        </w:rPr>
        <w:t>Bezpredmetné.</w:t>
      </w:r>
    </w:p>
    <w:p>
      <w:pPr>
        <w:numPr>
          <w:ilvl w:val="0"/>
          <w:numId w:val="9"/>
        </w:numPr>
        <w:jc w:val="both"/>
        <w:rPr>
          <w:bCs/>
        </w:rPr>
      </w:pPr>
      <w:r>
        <w:rPr>
          <w:bCs/>
        </w:rPr>
        <w:t>V danej oblasti nebolo začaté konanie proti Slovenskej republike o porušení Zmluvy o založení Európskych spoločenstiev podľa čl. 226 až 228 Zmluvy o založení Európskych spoločenstiev v platnom znení.</w:t>
      </w:r>
    </w:p>
    <w:p>
      <w:pPr>
        <w:numPr>
          <w:ilvl w:val="0"/>
          <w:numId w:val="9"/>
        </w:numPr>
        <w:jc w:val="both"/>
        <w:rPr>
          <w:bCs/>
        </w:rPr>
      </w:pPr>
      <w:r>
        <w:rPr>
          <w:bCs/>
        </w:rPr>
        <w:t>Bezpredmetné.</w:t>
      </w:r>
    </w:p>
    <w:p>
      <w:pPr>
        <w:jc w:val="both"/>
      </w:pPr>
    </w:p>
    <w:p>
      <w:pPr>
        <w:jc w:val="both"/>
        <w:rPr>
          <w:b/>
          <w:bCs/>
        </w:rPr>
      </w:pPr>
      <w:r>
        <w:rPr>
          <w:bCs/>
        </w:rPr>
        <w:t>5.</w:t>
      </w:r>
      <w:r>
        <w:rPr>
          <w:b/>
          <w:bCs/>
        </w:rPr>
        <w:t xml:space="preserve">  Stupeň  zlučiteľnosti návrhu právneho predpisu   s právom Európskych spoločensti</w:t>
      </w:r>
      <w:r>
        <w:rPr>
          <w:b/>
          <w:bCs/>
        </w:rPr>
        <w:t xml:space="preserve">ev a  Európskej únie: </w:t>
      </w:r>
    </w:p>
    <w:p>
      <w:pPr>
        <w:ind w:left="360" w:hanging="360"/>
        <w:jc w:val="both"/>
        <w:rPr>
          <w:b/>
          <w:bCs/>
        </w:rPr>
      </w:pPr>
    </w:p>
    <w:p>
      <w:pPr>
        <w:ind w:left="360"/>
        <w:jc w:val="both"/>
      </w:pPr>
      <w:r>
        <w:rPr>
          <w:bCs/>
        </w:rPr>
        <w:t>Úplný.</w:t>
      </w:r>
      <w:r>
        <w:t xml:space="preserve">     </w:t>
      </w:r>
    </w:p>
    <w:p>
      <w:pPr>
        <w:ind w:left="360" w:hanging="360"/>
        <w:jc w:val="both"/>
      </w:pPr>
    </w:p>
    <w:p>
      <w:pPr>
        <w:numPr>
          <w:ilvl w:val="0"/>
          <w:numId w:val="1"/>
        </w:numPr>
        <w:jc w:val="both"/>
      </w:pPr>
      <w:r>
        <w:rPr>
          <w:b/>
          <w:bCs/>
        </w:rPr>
        <w:t>Gestor (spolupracujúce rezorty</w:t>
      </w:r>
      <w:r>
        <w:rPr>
          <w:rFonts w:ascii="Symbol" w:hAnsi="Symbol"/>
        </w:rPr>
        <w:sym w:font="Symbol" w:char="F029"/>
      </w:r>
      <w:r>
        <w:t xml:space="preserve">: </w:t>
      </w:r>
    </w:p>
    <w:p>
      <w:pPr>
        <w:ind w:firstLine="360"/>
        <w:jc w:val="both"/>
      </w:pPr>
      <w:r>
        <w:t>Ministerstvo pôdohospodárstva Slovenskej republiky je predkladateľom a zároveň aj gestorom.</w:t>
      </w:r>
    </w:p>
    <w:p>
      <w:pPr>
        <w:ind w:left="360"/>
        <w:jc w:val="both"/>
      </w:pPr>
    </w:p>
    <w:p>
      <w:pPr>
        <w:jc w:val="both"/>
        <w:rPr>
          <w:b/>
        </w:rPr>
      </w:pPr>
    </w:p>
    <w:p>
      <w:pPr>
        <w:jc w:val="both"/>
        <w:rPr>
          <w:b/>
        </w:rPr>
      </w:pPr>
      <w:r>
        <w:rPr>
          <w:b/>
        </w:rPr>
        <w:t>Osobitná časť</w:t>
      </w:r>
    </w:p>
    <w:p>
      <w:pPr>
        <w:jc w:val="both"/>
      </w:pPr>
    </w:p>
    <w:p>
      <w:pPr>
        <w:pStyle w:val="Heading1"/>
      </w:pPr>
      <w:r>
        <w:t>K § 1</w:t>
      </w:r>
    </w:p>
    <w:p>
      <w:pPr>
        <w:jc w:val="both"/>
      </w:pPr>
      <w:r>
        <w:tab/>
        <w:t xml:space="preserve">Predmet úpravy obsahuje základné ciele navrhovanej právnej úpravy. Poskytovanie finančných prostriedkov je členené na účely, ktoré sa poskytujú zo štátneho rozpočtu a z prostriedkov EÚ. Konkrétne podmienky poskytovania podpory sú upravené príslušnými predpismi EÚ.  </w:t>
      </w:r>
    </w:p>
    <w:p>
      <w:pPr>
        <w:jc w:val="both"/>
      </w:pPr>
    </w:p>
    <w:p>
      <w:pPr>
        <w:pStyle w:val="Heading1"/>
      </w:pPr>
      <w:r>
        <w:t xml:space="preserve">K § 2 </w:t>
      </w:r>
    </w:p>
    <w:p>
      <w:pPr>
        <w:jc w:val="both"/>
      </w:pPr>
      <w:r>
        <w:tab/>
        <w:t>Definujú sa niektoré pojmy na účely zrozumiteľnos</w:t>
      </w:r>
      <w:r>
        <w:t xml:space="preserve">ti zákona. </w:t>
      </w:r>
    </w:p>
    <w:p>
      <w:pPr>
        <w:jc w:val="both"/>
      </w:pPr>
    </w:p>
    <w:p>
      <w:pPr>
        <w:pStyle w:val="Heading1"/>
      </w:pPr>
      <w:r>
        <w:t xml:space="preserve">K § 3 </w:t>
      </w:r>
    </w:p>
    <w:p>
      <w:pPr>
        <w:jc w:val="both"/>
      </w:pPr>
      <w:r>
        <w:tab/>
        <w:t>V nadväznosti na § 1 návrhu zákona, upravuje sa inštitucionálne riadenie poskytovania podpory. Ústredným orgánom je ministerstvo, ktoré má explicitne ustanovené oprávnenia tak, aby podľa jednotlivých nariadení uvedených v § 1 bolo zrejme v čom má pôsobnosť ako kompetentný orgán a v čom ako riadiaci orgán. Toto rozlíšenie vyžadujú právne predpisy EÚ, ktoré sú príkladno uvedené v poznámke pod čiarou v odkaze číslo 4.</w:t>
      </w:r>
    </w:p>
    <w:p>
      <w:pPr>
        <w:jc w:val="both"/>
      </w:pPr>
    </w:p>
    <w:p>
      <w:pPr>
        <w:jc w:val="both"/>
        <w:rPr>
          <w:b/>
        </w:rPr>
      </w:pPr>
      <w:r>
        <w:rPr>
          <w:b/>
        </w:rPr>
        <w:t>K § 4</w:t>
      </w:r>
    </w:p>
    <w:p>
      <w:pPr>
        <w:jc w:val="both"/>
      </w:pPr>
      <w:r>
        <w:tab/>
        <w:t>Sieť testovaných podnikov sa v Európskej únii využíva ako nástroj na medzinárodné hodnotenie výkonnosti poľnohospodárstva členských krajín. Táto otázka je konkrétne upravená Nariadením (EHS)</w:t>
      </w:r>
      <w:r>
        <w:rPr>
          <w:color w:val="FF0000"/>
        </w:rPr>
        <w:t xml:space="preserve"> </w:t>
      </w:r>
      <w:r>
        <w:t xml:space="preserve">č. 79/65 o vytvorení siete na zhromažďovanie účtovných údajov o príjmoch z hospodárskej činnosti a poľnohospodárskych činností. </w:t>
      </w:r>
    </w:p>
    <w:p>
      <w:pPr>
        <w:jc w:val="both"/>
      </w:pPr>
    </w:p>
    <w:p>
      <w:pPr>
        <w:pStyle w:val="Heading1"/>
      </w:pPr>
      <w:r>
        <w:t>K § 5 až 9</w:t>
      </w:r>
    </w:p>
    <w:p>
      <w:pPr>
        <w:jc w:val="both"/>
      </w:pPr>
      <w:r>
        <w:tab/>
        <w:t>Platobná agentúra zabezpečuje všetky administratívne činnosti súvisiace s vyplácaním podpôr uvedených v § 1. S vyplácaním podpôr súvisia aj činnosti, ktoré je potrebné zabezpečovať k príslušným orgánom Európskej únie resp. na podnet príslušných orgánov Európskej únie. Z uvedených úloh je konštituovaná aj pôsobnosť platobnej agentúry. V súčasnosti už na uvedené činnosti platobná agentúra získala akreditáciu</w:t>
      </w:r>
    </w:p>
    <w:p>
      <w:pPr>
        <w:jc w:val="both"/>
      </w:pPr>
      <w:r>
        <w:tab/>
        <w:t>Dĺžka rozhodovacieho procesu je štandardná nakoľko podlieha zákonu o správnom konaní okr</w:t>
      </w:r>
      <w:r>
        <w:t xml:space="preserve">em platieb, ktoré podliehajú odsúhlaseniu príslušnými orgánmi Európskej únie. </w:t>
      </w:r>
    </w:p>
    <w:p>
      <w:pPr>
        <w:jc w:val="both"/>
      </w:pPr>
      <w:r>
        <w:tab/>
        <w:t>Vzhľadom na nutnosť úpravy otázky financovania intervenčných opatrení sa navrhuje túto otázku upraviť priamo v tomto zákone vzhľadom na jej špecifickosť. Táto osobitná úprava nadväzuje na zákon o rozpočtových pravidlách.</w:t>
      </w:r>
    </w:p>
    <w:p>
      <w:pPr>
        <w:jc w:val="both"/>
      </w:pPr>
      <w:r>
        <w:tab/>
        <w:t xml:space="preserve">Keďže od 1. januára 2007 začneme uplatňovať predpisy Európskej únie, ktoré v rámci reformy Spoločnej poľnohospodárskej politiky už poznajú nielen odvody, ale aj rôzne druhy poplatkov do rôznych reštrukturalizačných fondov, navrhuje sa táto skutočnosť ustanoviť zákonom. </w:t>
      </w:r>
    </w:p>
    <w:p>
      <w:pPr>
        <w:jc w:val="both"/>
      </w:pPr>
      <w:r>
        <w:tab/>
        <w:t xml:space="preserve">Navrhovaná úprava otázky informačného systému vychádza z požiadavky kontrolných orgánov Európskej únie oproti doterajšej právnej úprave tejto otázky. </w:t>
      </w:r>
    </w:p>
    <w:p>
      <w:pPr>
        <w:jc w:val="both"/>
      </w:pPr>
      <w:r>
        <w:tab/>
        <w:t xml:space="preserve">Platobná agentúra nie je jediným kontrolným orgánom. Z predpisov Európskej únie jej vyplýva povinnosť vykonať kontrolu v rozsahu zodpovedajúcom piatim percentám objemu poskytnutých prostriedkov. Ďalšie kontrolné orgány sú uvedené v odseku 3 návrhu zákona a vyplývajú z vnútroštátneho práva. Podľa predpisov Európskej únie môže platobná agentúra kontrolou poveriť špecializované organizácie vzhľadom na požiadavku MF SR toto ustanovenie bolo vypustené nakoľko toto pravidlo platí aj bez vnútroštátnej úpravy nakoľko vyplýva z predpisov EÚ. </w:t>
      </w:r>
    </w:p>
    <w:p>
      <w:pPr>
        <w:jc w:val="both"/>
      </w:pPr>
    </w:p>
    <w:p>
      <w:pPr>
        <w:pStyle w:val="Heading2"/>
        <w:rPr>
          <w:b/>
          <w:bCs/>
          <w:u w:val="none"/>
        </w:rPr>
      </w:pPr>
      <w:r>
        <w:rPr>
          <w:b/>
          <w:bCs/>
          <w:u w:val="none"/>
        </w:rPr>
        <w:t>K § 10</w:t>
      </w:r>
    </w:p>
    <w:p>
      <w:pPr>
        <w:ind w:firstLine="708"/>
        <w:jc w:val="both"/>
      </w:pPr>
      <w:r>
        <w:t>Regulácia trhu v krajinách EÚ sa vykonáva a zabezpečuje v rámci Spoločnej poľnohospodárskej politiky trhovými poriadkami, ktoré sú vydávané nariadením Rady alebo Komisie.</w:t>
      </w:r>
    </w:p>
    <w:p>
      <w:pPr>
        <w:ind w:firstLine="708"/>
        <w:jc w:val="both"/>
      </w:pPr>
      <w:r>
        <w:t>Predmetné ustanovenie nadväzuje na ustanovenia zákona č. 491/2001 Z.z. o organizovaní trhu s vybranými poľnohospodárskymi výrobkami v znení neskorších predpisov.</w:t>
      </w:r>
    </w:p>
    <w:p>
      <w:pPr>
        <w:jc w:val="both"/>
      </w:pPr>
      <w:r>
        <w:t> </w:t>
      </w:r>
    </w:p>
    <w:p>
      <w:pPr>
        <w:pStyle w:val="Heading2"/>
        <w:rPr>
          <w:b/>
          <w:bCs/>
          <w:u w:val="none"/>
        </w:rPr>
      </w:pPr>
      <w:r>
        <w:rPr>
          <w:b/>
          <w:bCs/>
          <w:u w:val="none"/>
        </w:rPr>
        <w:t>K § 11 a 12</w:t>
      </w:r>
    </w:p>
    <w:p>
      <w:r>
        <w:t> </w:t>
        <w:tab/>
        <w:t xml:space="preserve">Uzatváranie odvetvových dohôd platí v Európskom spoločenstve pre niektoré druhy výrobkov a slúži na stabilizáciu cien týchto výrobkov v celom výrobnom reťazci. </w:t>
      </w:r>
    </w:p>
    <w:p>
      <w:pPr>
        <w:jc w:val="both"/>
      </w:pPr>
      <w:r>
        <w:tab/>
        <w:t xml:space="preserve">Vzhľadom na osobitosti regulácie trhu s vybranými výrobkami v kontexte cieľov Spoločnej poľnohospodárskej politiky sa zohľadňuje skutočnosť pokračovať v inštitúte odvetvových dohôd a samofinancovania a prostredníctvom rôznych druhov odvodov a poplatkov. </w:t>
      </w:r>
    </w:p>
    <w:p>
      <w:pPr>
        <w:pStyle w:val="Heading2"/>
        <w:rPr>
          <w:b/>
          <w:bCs/>
          <w:u w:val="none"/>
        </w:rPr>
      </w:pPr>
    </w:p>
    <w:p>
      <w:pPr>
        <w:pStyle w:val="Heading2"/>
        <w:rPr>
          <w:b/>
          <w:bCs/>
          <w:u w:val="none"/>
        </w:rPr>
      </w:pPr>
      <w:r>
        <w:rPr>
          <w:b/>
          <w:bCs/>
          <w:u w:val="none"/>
        </w:rPr>
        <w:t>K § 13 až 16</w:t>
      </w:r>
    </w:p>
    <w:p>
      <w:pPr>
        <w:jc w:val="both"/>
      </w:pPr>
      <w:r>
        <w:t> </w:t>
        <w:tab/>
        <w:t>Úprava otázky domácej podpory sa navrhuje s ohľadom na odsúhlasenú schému štátnej pomoci pôdohospodárstve Komisiou.</w:t>
      </w:r>
    </w:p>
    <w:p>
      <w:pPr>
        <w:jc w:val="both"/>
      </w:pPr>
      <w:r>
        <w:tab/>
        <w:t>Návrh zákona vymedzuje subjekty, ktorým sa poskytuje podpora. Táto podpora sa poskytuje na základe žiadosti, ktorej náležitosti sú uvedené v zákone. Na rozdiel od niektorých podpôr z rozpočtu EÚ, ktoré sa poskytujú aj nie podnikateľom, štátna pomoc podľa § 12 až 16 je smerovaná len pre podnikateľov.</w:t>
      </w:r>
    </w:p>
    <w:p>
      <w:pPr>
        <w:jc w:val="both"/>
      </w:pPr>
      <w:r>
        <w:tab/>
        <w:t>V oblasti poľnohospodárstva sa poskytovanie viaže nielen na vykonávanie poľnohospodárskej činnosti. Na poskytovanie podpory v oblasti poľnohospodárstva sa nevzťahujú všeobecné predpisy o verejnom obstarávaní.</w:t>
      </w:r>
    </w:p>
    <w:p>
      <w:pPr>
        <w:jc w:val="both"/>
      </w:pPr>
      <w:r>
        <w:tab/>
        <w:t>V potravinárstve sa navrhuje poskytovať podporu podnikateľom (vymedzeným podľa zákona o súkromnom podnikaní občanov, alebo živnoste</w:t>
      </w:r>
      <w:r>
        <w:t>nským zákonom.</w:t>
      </w:r>
    </w:p>
    <w:p>
      <w:pPr>
        <w:jc w:val="both"/>
      </w:pPr>
      <w:r>
        <w:tab/>
        <w:t>Vzhľadom na odlišnosť lesného hospodárstva od ostatných pôdohospodárskych činností, navrhuje sa, aby sa podpora poskytovala obdobne ako v poľnohospodárstve.</w:t>
      </w:r>
    </w:p>
    <w:p>
      <w:pPr>
        <w:jc w:val="both"/>
      </w:pPr>
      <w:r>
        <w:tab/>
        <w:t>Ustanovenie rieši aj možnosti odmietnuť poskytovanie podpory. Pôjde najmä o prípady, keď žiadateľ je v likvidácii alebo je naň vyhlásený konkurz, exekúcia alebo sa jedná o spriaznené osoby týchto osôb podľa zákona o konkurze a reštrukturalizácii t.j. osôb, ktoré majú majetkovú účasť k osobe, ktorá je v likvidácii, konkurze alebo exekúci</w:t>
      </w:r>
      <w:r>
        <w:t>i.</w:t>
      </w:r>
    </w:p>
    <w:p>
      <w:pPr>
        <w:jc w:val="both"/>
      </w:pPr>
    </w:p>
    <w:p>
      <w:pPr>
        <w:pStyle w:val="Heading1"/>
      </w:pPr>
      <w:r>
        <w:t>K § 17 a 18</w:t>
      </w:r>
    </w:p>
    <w:p>
      <w:pPr>
        <w:jc w:val="both"/>
      </w:pPr>
      <w:r>
        <w:tab/>
        <w:t xml:space="preserve">Ustanovuje sa, za ktoré skutkové podstaty platobná agentúra uloží pokutu. Skutkové podstaty sú koncipované v podstate široko tak ako to je v súčasnosti upravené v našom právnom poriadku. Táto úprava v pôvodnom aj v navrhovanom zákone vyplynula zo skutočnosti, že v značnom množstve je táto otázka upravená v predpisoch EÚ. Výšku pokuty určí platobná agentúra podľa závažnosti porušenia. Sankčné opatrenia obsahujú aj niektoré právne predpisy EÚ, ktoré majú prednosť pred tými, ktoré sú navrhované v odseku 1. Predpisy Európskej únie priamo v niektorých odvetviach poľnohospodárstva ustanovujú poplatky napr. za nadnormatívne zásoby. </w:t>
      </w:r>
    </w:p>
    <w:p>
      <w:pPr>
        <w:jc w:val="both"/>
      </w:pPr>
      <w:r>
        <w:tab/>
        <w:t xml:space="preserve">Odobratie alebo krátenie kvót alebo prémií je v EÚ štandardným riešením za ich neplnenia. </w:t>
      </w:r>
    </w:p>
    <w:p>
      <w:pPr>
        <w:jc w:val="both"/>
      </w:pPr>
    </w:p>
    <w:p>
      <w:pPr>
        <w:pStyle w:val="Heading1"/>
      </w:pPr>
      <w:r>
        <w:t>K § 19</w:t>
      </w:r>
    </w:p>
    <w:p>
      <w:pPr>
        <w:jc w:val="both"/>
      </w:pPr>
      <w:r>
        <w:tab/>
        <w:t xml:space="preserve">Vymenúvajú sa konania, na ktoré sa správny poriadok nevzťahuje. </w:t>
      </w:r>
    </w:p>
    <w:p>
      <w:pPr>
        <w:jc w:val="both"/>
      </w:pPr>
    </w:p>
    <w:p>
      <w:pPr>
        <w:pStyle w:val="Heading1"/>
      </w:pPr>
      <w:r>
        <w:t>K § 20</w:t>
      </w:r>
    </w:p>
    <w:p>
      <w:pPr>
        <w:jc w:val="both"/>
      </w:pPr>
      <w:r>
        <w:tab/>
        <w:t xml:space="preserve">Kompetencie akreditovanej agentúry SAPARD v súvislosti s implementáciou predvstupového programu SAPARD zabezpečí platobná agentúra až do konca roku 2007, kedy sa majú zúčtovať prostriedky vyplatené </w:t>
      </w:r>
      <w:r>
        <w:t xml:space="preserve">z programu. </w:t>
      </w:r>
    </w:p>
    <w:p>
      <w:pPr>
        <w:jc w:val="both"/>
      </w:pPr>
    </w:p>
    <w:p>
      <w:pPr>
        <w:pStyle w:val="Heading1"/>
      </w:pPr>
      <w:r>
        <w:t>K § 21</w:t>
      </w:r>
    </w:p>
    <w:p>
      <w:pPr>
        <w:jc w:val="both"/>
      </w:pPr>
      <w:r>
        <w:tab/>
        <w:t xml:space="preserve">Zrušuje sa zákon č. 473/2003 Z. z. v znení neskorších predpisov. </w:t>
      </w:r>
    </w:p>
    <w:p>
      <w:pPr>
        <w:jc w:val="both"/>
      </w:pPr>
    </w:p>
    <w:p>
      <w:pPr>
        <w:pStyle w:val="Heading1"/>
      </w:pPr>
      <w:r>
        <w:t>K § 22</w:t>
      </w:r>
    </w:p>
    <w:p>
      <w:pPr>
        <w:jc w:val="both"/>
      </w:pPr>
      <w:r>
        <w:tab/>
        <w:t>Účinnosť zákona sa navrhuje dňom 1. januára 2007.</w:t>
      </w:r>
    </w:p>
    <w:p>
      <w:pPr>
        <w:jc w:val="both"/>
      </w:pPr>
    </w:p>
    <w:p>
      <w:pPr>
        <w:jc w:val="both"/>
      </w:pPr>
    </w:p>
    <w:p>
      <w:pPr>
        <w:jc w:val="both"/>
      </w:pPr>
    </w:p>
    <w:p>
      <w:pPr>
        <w:jc w:val="both"/>
      </w:pPr>
      <w:r>
        <w:t>Bratislava 22. februára 2006</w:t>
      </w:r>
    </w:p>
    <w:p>
      <w:pPr>
        <w:jc w:val="both"/>
      </w:pPr>
    </w:p>
    <w:p>
      <w:pPr>
        <w:jc w:val="both"/>
      </w:pPr>
    </w:p>
    <w:p>
      <w:pPr>
        <w:jc w:val="both"/>
      </w:pPr>
    </w:p>
    <w:p>
      <w:pPr>
        <w:jc w:val="both"/>
      </w:pPr>
    </w:p>
    <w:p>
      <w:pPr>
        <w:jc w:val="both"/>
      </w:pPr>
    </w:p>
    <w:p>
      <w:pPr>
        <w:jc w:val="both"/>
      </w:pPr>
    </w:p>
    <w:p>
      <w:pPr>
        <w:jc w:val="both"/>
      </w:pPr>
    </w:p>
    <w:p>
      <w:pPr>
        <w:jc w:val="center"/>
      </w:pPr>
      <w:r>
        <w:t>Predseda vlády Slovenskej republiky</w:t>
      </w:r>
    </w:p>
    <w:p>
      <w:pPr>
        <w:jc w:val="center"/>
      </w:pPr>
    </w:p>
    <w:p>
      <w:pPr>
        <w:jc w:val="center"/>
      </w:pPr>
      <w:r>
        <w:t xml:space="preserve">Mikuláš D z u r i n d a, v. r. </w:t>
      </w:r>
    </w:p>
    <w:p>
      <w:pPr>
        <w:jc w:val="center"/>
      </w:pPr>
    </w:p>
    <w:p>
      <w:pPr>
        <w:jc w:val="center"/>
      </w:pPr>
    </w:p>
    <w:p>
      <w:pPr>
        <w:jc w:val="center"/>
      </w:pPr>
    </w:p>
    <w:p>
      <w:pPr>
        <w:jc w:val="center"/>
      </w:pPr>
    </w:p>
    <w:p>
      <w:pPr>
        <w:jc w:val="center"/>
      </w:pPr>
    </w:p>
    <w:p>
      <w:pPr>
        <w:jc w:val="center"/>
      </w:pPr>
      <w:r>
        <w:t>Minister pôdohospodárstva</w:t>
      </w:r>
    </w:p>
    <w:p>
      <w:pPr>
        <w:jc w:val="center"/>
      </w:pPr>
      <w:r>
        <w:t>Slovenskej republiky</w:t>
      </w:r>
    </w:p>
    <w:p>
      <w:pPr>
        <w:jc w:val="center"/>
      </w:pPr>
    </w:p>
    <w:p>
      <w:pPr>
        <w:jc w:val="center"/>
      </w:pPr>
      <w:r>
        <w:t xml:space="preserve">Zsolt  S i m o n, v. r. </w:t>
      </w:r>
    </w:p>
    <w:p>
      <w:pPr>
        <w:jc w:val="center"/>
      </w:pPr>
    </w:p>
    <w:p>
      <w:pPr>
        <w:jc w:val="center"/>
      </w:pPr>
    </w:p>
    <w:p>
      <w:pPr>
        <w:jc w:val="center"/>
      </w:pPr>
    </w:p>
    <w:p>
      <w:pPr>
        <w:jc w:val="center"/>
      </w:pPr>
    </w:p>
    <w:p>
      <w:pPr>
        <w:jc w:val="center"/>
      </w:pPr>
    </w:p>
    <w:sectPr>
      <w:footerReference w:type="even" r:id="rId4"/>
      <w:footerReference w:type="default" r:id="rId5"/>
      <w:pgSz w:w="11906" w:h="16838" w:code="9"/>
      <w:pgMar w:top="1418" w:right="1418" w:bottom="1418" w:left="1418" w:header="709" w:footer="709" w:gutter="0"/>
      <w:cols w:space="708"/>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7A87" w:usb1="80000000" w:usb2="00000008" w:usb3="00000000" w:csb0="000001FF" w:csb1="00000000"/>
  </w:font>
  <w:font w:name="Arial Unicode MS">
    <w:panose1 w:val="020B0604020202020204"/>
    <w:charset w:val="80"/>
    <w:family w:val="swiss"/>
    <w:pitch w:val="variable"/>
    <w:sig w:usb0="FFFFFFFF" w:usb1="E9FFFFFF" w:usb2="0000003F" w:usb3="00000000" w:csb0="003F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50ABA"/>
    <w:multiLevelType w:val="hybridMultilevel"/>
    <w:tmpl w:val="4A9E0A1C"/>
    <w:lvl w:ilvl="0">
      <w:start w:val="1"/>
      <w:numFmt w:val="bullet"/>
      <w:lvlText w:val="-"/>
      <w:lvlJc w:val="left"/>
      <w:pPr>
        <w:tabs>
          <w:tab w:val="num" w:pos="643"/>
        </w:tabs>
        <w:ind w:left="643" w:hanging="360"/>
      </w:pPr>
      <w:rPr>
        <w:rFonts w:ascii="Times New Roman" w:eastAsia="Times New Roman" w:hAnsi="Times New Roman" w:cs="Times New Roman" w:hint="default"/>
      </w:rPr>
    </w:lvl>
    <w:lvl w:ilvl="1" w:tentative="1">
      <w:start w:val="1"/>
      <w:numFmt w:val="bullet"/>
      <w:lvlText w:val="o"/>
      <w:lvlJc w:val="left"/>
      <w:pPr>
        <w:tabs>
          <w:tab w:val="num" w:pos="1363"/>
        </w:tabs>
        <w:ind w:left="1363" w:hanging="360"/>
      </w:pPr>
      <w:rPr>
        <w:rFonts w:ascii="Courier New" w:hAnsi="Courier New" w:cs="Courier New" w:hint="default"/>
      </w:rPr>
    </w:lvl>
    <w:lvl w:ilvl="2" w:tentative="1">
      <w:start w:val="1"/>
      <w:numFmt w:val="bullet"/>
      <w:lvlText w:val=""/>
      <w:lvlJc w:val="left"/>
      <w:pPr>
        <w:tabs>
          <w:tab w:val="num" w:pos="2083"/>
        </w:tabs>
        <w:ind w:left="2083" w:hanging="360"/>
      </w:pPr>
      <w:rPr>
        <w:rFonts w:ascii="Wingdings" w:hAnsi="Wingdings" w:hint="default"/>
      </w:rPr>
    </w:lvl>
    <w:lvl w:ilvl="3" w:tentative="1">
      <w:start w:val="1"/>
      <w:numFmt w:val="bullet"/>
      <w:lvlText w:val=""/>
      <w:lvlJc w:val="left"/>
      <w:pPr>
        <w:tabs>
          <w:tab w:val="num" w:pos="2803"/>
        </w:tabs>
        <w:ind w:left="2803" w:hanging="360"/>
      </w:pPr>
      <w:rPr>
        <w:rFonts w:ascii="Symbol" w:hAnsi="Symbol" w:hint="default"/>
      </w:rPr>
    </w:lvl>
    <w:lvl w:ilvl="4" w:tentative="1">
      <w:start w:val="1"/>
      <w:numFmt w:val="bullet"/>
      <w:lvlText w:val="o"/>
      <w:lvlJc w:val="left"/>
      <w:pPr>
        <w:tabs>
          <w:tab w:val="num" w:pos="3523"/>
        </w:tabs>
        <w:ind w:left="3523" w:hanging="360"/>
      </w:pPr>
      <w:rPr>
        <w:rFonts w:ascii="Courier New" w:hAnsi="Courier New" w:cs="Courier New" w:hint="default"/>
      </w:rPr>
    </w:lvl>
    <w:lvl w:ilvl="5" w:tentative="1">
      <w:start w:val="1"/>
      <w:numFmt w:val="bullet"/>
      <w:lvlText w:val=""/>
      <w:lvlJc w:val="left"/>
      <w:pPr>
        <w:tabs>
          <w:tab w:val="num" w:pos="4243"/>
        </w:tabs>
        <w:ind w:left="4243" w:hanging="360"/>
      </w:pPr>
      <w:rPr>
        <w:rFonts w:ascii="Wingdings" w:hAnsi="Wingdings" w:hint="default"/>
      </w:rPr>
    </w:lvl>
    <w:lvl w:ilvl="6" w:tentative="1">
      <w:start w:val="1"/>
      <w:numFmt w:val="bullet"/>
      <w:lvlText w:val=""/>
      <w:lvlJc w:val="left"/>
      <w:pPr>
        <w:tabs>
          <w:tab w:val="num" w:pos="4963"/>
        </w:tabs>
        <w:ind w:left="4963" w:hanging="360"/>
      </w:pPr>
      <w:rPr>
        <w:rFonts w:ascii="Symbol" w:hAnsi="Symbol" w:hint="default"/>
      </w:rPr>
    </w:lvl>
    <w:lvl w:ilvl="7" w:tentative="1">
      <w:start w:val="1"/>
      <w:numFmt w:val="bullet"/>
      <w:lvlText w:val="o"/>
      <w:lvlJc w:val="left"/>
      <w:pPr>
        <w:tabs>
          <w:tab w:val="num" w:pos="5683"/>
        </w:tabs>
        <w:ind w:left="5683" w:hanging="360"/>
      </w:pPr>
      <w:rPr>
        <w:rFonts w:ascii="Courier New" w:hAnsi="Courier New" w:cs="Courier New" w:hint="default"/>
      </w:rPr>
    </w:lvl>
    <w:lvl w:ilvl="8" w:tentative="1">
      <w:start w:val="1"/>
      <w:numFmt w:val="bullet"/>
      <w:lvlText w:val=""/>
      <w:lvlJc w:val="left"/>
      <w:pPr>
        <w:tabs>
          <w:tab w:val="num" w:pos="6403"/>
        </w:tabs>
        <w:ind w:left="6403" w:hanging="360"/>
      </w:pPr>
      <w:rPr>
        <w:rFonts w:ascii="Wingdings" w:hAnsi="Wingdings" w:hint="default"/>
      </w:rPr>
    </w:lvl>
  </w:abstractNum>
  <w:abstractNum w:abstractNumId="1">
    <w:nsid w:val="06AB07D9"/>
    <w:multiLevelType w:val="singleLevel"/>
    <w:tmpl w:val="5AC6B17C"/>
    <w:lvl w:ilvl="0">
      <w:start w:val="3"/>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2">
    <w:nsid w:val="188E2F58"/>
    <w:multiLevelType w:val="singleLevel"/>
    <w:tmpl w:val="17BCCABC"/>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3">
    <w:nsid w:val="1C830758"/>
    <w:multiLevelType w:val="hybridMultilevel"/>
    <w:tmpl w:val="CF80181A"/>
    <w:lvl w:ilvl="0">
      <w:start w:val="6"/>
      <w:numFmt w:val="decimal"/>
      <w:lvlText w:val="%1."/>
      <w:lvlJc w:val="left"/>
      <w:pPr>
        <w:tabs>
          <w:tab w:val="num" w:pos="360"/>
        </w:tabs>
        <w:ind w:left="360" w:hanging="360"/>
      </w:pPr>
      <w:rPr>
        <w:rFonts w:hint="default"/>
        <w:b/>
        <w:bCs/>
      </w:rPr>
    </w:lvl>
    <w:lvl w:ilvl="1">
      <w:start w:val="2"/>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1DE049B7"/>
    <w:multiLevelType w:val="singleLevel"/>
    <w:tmpl w:val="4C6C6236"/>
    <w:lvl w:ilvl="0">
      <w:start w:val="2"/>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5">
    <w:nsid w:val="22AD742B"/>
    <w:multiLevelType w:val="hybridMultilevel"/>
    <w:tmpl w:val="0D3E653E"/>
    <w:lvl w:ilvl="0">
      <w:start w:val="1"/>
      <w:numFmt w:val="lowerLetter"/>
      <w:lvlText w:val="%1)"/>
      <w:lvlJc w:val="left"/>
      <w:pPr>
        <w:tabs>
          <w:tab w:val="num" w:pos="643"/>
        </w:tabs>
        <w:ind w:left="643" w:hanging="360"/>
      </w:pPr>
      <w:rPr>
        <w:rFonts w:hint="default"/>
      </w:rPr>
    </w:lvl>
    <w:lvl w:ilvl="1">
      <w:start w:val="1"/>
      <w:numFmt w:val="bullet"/>
      <w:lvlText w:val="-"/>
      <w:lvlJc w:val="left"/>
      <w:pPr>
        <w:tabs>
          <w:tab w:val="num" w:pos="1363"/>
        </w:tabs>
        <w:ind w:left="1363" w:hanging="360"/>
      </w:pPr>
      <w:rPr>
        <w:rFonts w:ascii="Times New Roman" w:eastAsia="Times New Roman" w:hAnsi="Times New Roman" w:cs="Times New Roman" w:hint="default"/>
      </w:rPr>
    </w:lvl>
    <w:lvl w:ilvl="2" w:tentative="1">
      <w:start w:val="1"/>
      <w:numFmt w:val="lowerRoman"/>
      <w:lvlText w:val="%3."/>
      <w:lvlJc w:val="right"/>
      <w:pPr>
        <w:tabs>
          <w:tab w:val="num" w:pos="2083"/>
        </w:tabs>
        <w:ind w:left="2083" w:hanging="180"/>
      </w:pPr>
    </w:lvl>
    <w:lvl w:ilvl="3" w:tentative="1">
      <w:start w:val="1"/>
      <w:numFmt w:val="decimal"/>
      <w:lvlText w:val="%4."/>
      <w:lvlJc w:val="left"/>
      <w:pPr>
        <w:tabs>
          <w:tab w:val="num" w:pos="2803"/>
        </w:tabs>
        <w:ind w:left="2803" w:hanging="360"/>
      </w:pPr>
    </w:lvl>
    <w:lvl w:ilvl="4" w:tentative="1">
      <w:start w:val="1"/>
      <w:numFmt w:val="lowerLetter"/>
      <w:lvlText w:val="%5."/>
      <w:lvlJc w:val="left"/>
      <w:pPr>
        <w:tabs>
          <w:tab w:val="num" w:pos="3523"/>
        </w:tabs>
        <w:ind w:left="3523" w:hanging="360"/>
      </w:pPr>
    </w:lvl>
    <w:lvl w:ilvl="5" w:tentative="1">
      <w:start w:val="1"/>
      <w:numFmt w:val="lowerRoman"/>
      <w:lvlText w:val="%6."/>
      <w:lvlJc w:val="right"/>
      <w:pPr>
        <w:tabs>
          <w:tab w:val="num" w:pos="4243"/>
        </w:tabs>
        <w:ind w:left="4243" w:hanging="180"/>
      </w:pPr>
    </w:lvl>
    <w:lvl w:ilvl="6" w:tentative="1">
      <w:start w:val="1"/>
      <w:numFmt w:val="decimal"/>
      <w:lvlText w:val="%7."/>
      <w:lvlJc w:val="left"/>
      <w:pPr>
        <w:tabs>
          <w:tab w:val="num" w:pos="4963"/>
        </w:tabs>
        <w:ind w:left="4963" w:hanging="360"/>
      </w:pPr>
    </w:lvl>
    <w:lvl w:ilvl="7" w:tentative="1">
      <w:start w:val="1"/>
      <w:numFmt w:val="lowerLetter"/>
      <w:lvlText w:val="%8."/>
      <w:lvlJc w:val="left"/>
      <w:pPr>
        <w:tabs>
          <w:tab w:val="num" w:pos="5683"/>
        </w:tabs>
        <w:ind w:left="5683" w:hanging="360"/>
      </w:pPr>
    </w:lvl>
    <w:lvl w:ilvl="8" w:tentative="1">
      <w:start w:val="1"/>
      <w:numFmt w:val="lowerRoman"/>
      <w:lvlText w:val="%9."/>
      <w:lvlJc w:val="right"/>
      <w:pPr>
        <w:tabs>
          <w:tab w:val="num" w:pos="6403"/>
        </w:tabs>
        <w:ind w:left="6403" w:hanging="180"/>
      </w:pPr>
    </w:lvl>
  </w:abstractNum>
  <w:abstractNum w:abstractNumId="6">
    <w:nsid w:val="25F67EC0"/>
    <w:multiLevelType w:val="hybridMultilevel"/>
    <w:tmpl w:val="F2D6B2B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B564B73"/>
    <w:multiLevelType w:val="hybridMultilevel"/>
    <w:tmpl w:val="8A14C6C2"/>
    <w:lvl w:ilvl="0">
      <w:start w:val="1"/>
      <w:numFmt w:val="bullet"/>
      <w:lvlText w:val="-"/>
      <w:lvlJc w:val="left"/>
      <w:pPr>
        <w:tabs>
          <w:tab w:val="num" w:pos="643"/>
        </w:tabs>
        <w:ind w:left="643" w:hanging="360"/>
      </w:pPr>
      <w:rPr>
        <w:rFonts w:ascii="Times New Roman" w:eastAsia="Times New Roman" w:hAnsi="Times New Roman" w:cs="Times New Roman" w:hint="default"/>
      </w:rPr>
    </w:lvl>
    <w:lvl w:ilvl="1" w:tentative="1">
      <w:start w:val="1"/>
      <w:numFmt w:val="bullet"/>
      <w:lvlText w:val="o"/>
      <w:lvlJc w:val="left"/>
      <w:pPr>
        <w:tabs>
          <w:tab w:val="num" w:pos="1363"/>
        </w:tabs>
        <w:ind w:left="1363" w:hanging="360"/>
      </w:pPr>
      <w:rPr>
        <w:rFonts w:ascii="Courier New" w:hAnsi="Courier New" w:cs="Courier New" w:hint="default"/>
      </w:rPr>
    </w:lvl>
    <w:lvl w:ilvl="2" w:tentative="1">
      <w:start w:val="1"/>
      <w:numFmt w:val="bullet"/>
      <w:lvlText w:val=""/>
      <w:lvlJc w:val="left"/>
      <w:pPr>
        <w:tabs>
          <w:tab w:val="num" w:pos="2083"/>
        </w:tabs>
        <w:ind w:left="2083" w:hanging="360"/>
      </w:pPr>
      <w:rPr>
        <w:rFonts w:ascii="Wingdings" w:hAnsi="Wingdings" w:hint="default"/>
      </w:rPr>
    </w:lvl>
    <w:lvl w:ilvl="3" w:tentative="1">
      <w:start w:val="1"/>
      <w:numFmt w:val="bullet"/>
      <w:lvlText w:val=""/>
      <w:lvlJc w:val="left"/>
      <w:pPr>
        <w:tabs>
          <w:tab w:val="num" w:pos="2803"/>
        </w:tabs>
        <w:ind w:left="2803" w:hanging="360"/>
      </w:pPr>
      <w:rPr>
        <w:rFonts w:ascii="Symbol" w:hAnsi="Symbol" w:hint="default"/>
      </w:rPr>
    </w:lvl>
    <w:lvl w:ilvl="4" w:tentative="1">
      <w:start w:val="1"/>
      <w:numFmt w:val="bullet"/>
      <w:lvlText w:val="o"/>
      <w:lvlJc w:val="left"/>
      <w:pPr>
        <w:tabs>
          <w:tab w:val="num" w:pos="3523"/>
        </w:tabs>
        <w:ind w:left="3523" w:hanging="360"/>
      </w:pPr>
      <w:rPr>
        <w:rFonts w:ascii="Courier New" w:hAnsi="Courier New" w:cs="Courier New" w:hint="default"/>
      </w:rPr>
    </w:lvl>
    <w:lvl w:ilvl="5" w:tentative="1">
      <w:start w:val="1"/>
      <w:numFmt w:val="bullet"/>
      <w:lvlText w:val=""/>
      <w:lvlJc w:val="left"/>
      <w:pPr>
        <w:tabs>
          <w:tab w:val="num" w:pos="4243"/>
        </w:tabs>
        <w:ind w:left="4243" w:hanging="360"/>
      </w:pPr>
      <w:rPr>
        <w:rFonts w:ascii="Wingdings" w:hAnsi="Wingdings" w:hint="default"/>
      </w:rPr>
    </w:lvl>
    <w:lvl w:ilvl="6" w:tentative="1">
      <w:start w:val="1"/>
      <w:numFmt w:val="bullet"/>
      <w:lvlText w:val=""/>
      <w:lvlJc w:val="left"/>
      <w:pPr>
        <w:tabs>
          <w:tab w:val="num" w:pos="4963"/>
        </w:tabs>
        <w:ind w:left="4963" w:hanging="360"/>
      </w:pPr>
      <w:rPr>
        <w:rFonts w:ascii="Symbol" w:hAnsi="Symbol" w:hint="default"/>
      </w:rPr>
    </w:lvl>
    <w:lvl w:ilvl="7" w:tentative="1">
      <w:start w:val="1"/>
      <w:numFmt w:val="bullet"/>
      <w:lvlText w:val="o"/>
      <w:lvlJc w:val="left"/>
      <w:pPr>
        <w:tabs>
          <w:tab w:val="num" w:pos="5683"/>
        </w:tabs>
        <w:ind w:left="5683" w:hanging="360"/>
      </w:pPr>
      <w:rPr>
        <w:rFonts w:ascii="Courier New" w:hAnsi="Courier New" w:cs="Courier New" w:hint="default"/>
      </w:rPr>
    </w:lvl>
    <w:lvl w:ilvl="8" w:tentative="1">
      <w:start w:val="1"/>
      <w:numFmt w:val="bullet"/>
      <w:lvlText w:val=""/>
      <w:lvlJc w:val="left"/>
      <w:pPr>
        <w:tabs>
          <w:tab w:val="num" w:pos="6403"/>
        </w:tabs>
        <w:ind w:left="6403" w:hanging="360"/>
      </w:pPr>
      <w:rPr>
        <w:rFonts w:ascii="Wingdings" w:hAnsi="Wingdings" w:hint="default"/>
      </w:rPr>
    </w:lvl>
  </w:abstractNum>
  <w:abstractNum w:abstractNumId="8">
    <w:nsid w:val="3DFE7825"/>
    <w:multiLevelType w:val="hybridMultilevel"/>
    <w:tmpl w:val="0FE2A84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4"/>
  </w:num>
  <w:num w:numId="4">
    <w:abstractNumId w:val="1"/>
  </w:num>
  <w:num w:numId="5">
    <w:abstractNumId w:val="5"/>
  </w:num>
  <w:num w:numId="6">
    <w:abstractNumId w:val="0"/>
  </w:num>
  <w:num w:numId="7">
    <w:abstractNumId w:val="7"/>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grammar="clean"/>
  <w:defaultTabStop w:val="708"/>
  <w:hyphenationZone w:val="425"/>
  <w:drawingGridHorizontalSpacing w:val="100"/>
  <w:drawingGridVerticalSpacing w:val="136"/>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sk-SK" w:eastAsia="sk-SK" w:bidi="ar-SA"/>
    </w:rPr>
  </w:style>
  <w:style w:type="paragraph" w:styleId="Heading1">
    <w:name w:val="heading 1"/>
    <w:basedOn w:val="Normal"/>
    <w:next w:val="Normal"/>
    <w:uiPriority w:val="9"/>
    <w:qFormat/>
    <w:pPr>
      <w:keepNext/>
      <w:jc w:val="both"/>
      <w:outlineLvl w:val="0"/>
    </w:pPr>
    <w:rPr>
      <w:b/>
      <w:bCs/>
    </w:rPr>
  </w:style>
  <w:style w:type="paragraph" w:styleId="Heading2">
    <w:name w:val="heading 2"/>
    <w:basedOn w:val="Normal"/>
    <w:next w:val="Normal"/>
    <w:uiPriority w:val="9"/>
    <w:qFormat/>
    <w:pPr>
      <w:keepNext/>
      <w:jc w:val="both"/>
      <w:outlineLvl w:val="1"/>
    </w:pPr>
    <w:rPr>
      <w:rFonts w:eastAsia="Arial Unicode MS"/>
      <w:u w:val="single"/>
    </w:rPr>
  </w:style>
  <w:style w:type="character" w:default="1" w:styleId="DefaultParagraphFont">
    <w:name w:val="Default Paragraph Fon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customStyle="1" w:styleId="Styl1">
    <w:name w:val="Styl1"/>
    <w:basedOn w:val="Normal"/>
    <w:pPr>
      <w:jc w:val="both"/>
    </w:pPr>
    <w:rPr>
      <w:lang w:eastAsia="cs-CZ"/>
    </w:rPr>
  </w:style>
  <w:style w:type="paragraph" w:styleId="BodyText">
    <w:name w:val="Body Text"/>
    <w:basedOn w:val="Normal"/>
    <w:pPr>
      <w:jc w:val="both"/>
    </w:pPr>
    <w:rPr>
      <w:lang w:eastAsia="cs-CZ"/>
    </w:rPr>
  </w:style>
  <w:style w:type="paragraph" w:customStyle="1" w:styleId="prilohanadpis">
    <w:name w:val="priloha_nadpis"/>
    <w:basedOn w:val="Normal"/>
    <w:pPr>
      <w:spacing w:before="240" w:after="240"/>
      <w:jc w:val="center"/>
    </w:pPr>
    <w:rPr>
      <w:b/>
      <w:lang w:eastAsia="cs-CZ"/>
    </w:rPr>
  </w:style>
  <w:style w:type="paragraph" w:styleId="BodyTextIndent">
    <w:name w:val="Body Text Indent"/>
    <w:basedOn w:val="Normal"/>
    <w:pPr>
      <w:ind w:left="643"/>
      <w:jc w:val="both"/>
    </w:pPr>
    <w:rPr>
      <w:color w:val="FF000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15</TotalTime>
  <Pages>1</Pages>
  <Words>1604</Words>
  <Characters>9144</Characters>
  <Application>Microsoft Office Word</Application>
  <DocSecurity>0</DocSecurity>
  <Lines>76</Lines>
  <Paragraphs>18</Paragraphs>
  <ScaleCrop>false</ScaleCrop>
  <HeadingPairs>
    <vt:vector size="2" baseType="variant">
      <vt:variant>
        <vt:lpstr>Názov</vt:lpstr>
      </vt:variant>
      <vt:variant>
        <vt:i4>1</vt:i4>
      </vt:variant>
    </vt:vector>
  </HeadingPairs>
  <TitlesOfParts>
    <vt:vector size="1" baseType="lpstr">
      <vt:lpstr>Dôvodová správa</vt:lpstr>
    </vt:vector>
  </TitlesOfParts>
  <Company>MP SR</Company>
  <LinksUpToDate>false</LinksUpToDate>
  <CharactersWithSpaces>11229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Vaše meno</dc:creator>
  <cp:lastModifiedBy>timea.lengyelova</cp:lastModifiedBy>
  <cp:revision>7</cp:revision>
  <cp:lastPrinted>2006-02-23T08:33:00Z</cp:lastPrinted>
  <dcterms:created xsi:type="dcterms:W3CDTF">2006-02-23T08:21:00Z</dcterms:created>
  <dcterms:modified xsi:type="dcterms:W3CDTF">2006-02-23T11:00:00Z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508804808</vt:i4>
  </property>
  <property fmtid="{D5CDD505-2E9C-101B-9397-08002B2CF9AE}" pid="3" name="_AuthorEmail">
    <vt:lpwstr>jozef.gaisbacher@land.gov.sk</vt:lpwstr>
  </property>
  <property fmtid="{D5CDD505-2E9C-101B-9397-08002B2CF9AE}" pid="4" name="_AuthorEmailDisplayName">
    <vt:lpwstr>Gaisbacher Jozef</vt:lpwstr>
  </property>
  <property fmtid="{D5CDD505-2E9C-101B-9397-08002B2CF9AE}" pid="5" name="_EmailSubject">
    <vt:lpwstr/>
  </property>
  <property fmtid="{D5CDD505-2E9C-101B-9397-08002B2CF9AE}" pid="6" name="_PreviousAdHocReviewCycleID">
    <vt:i4>601423776</vt:i4>
  </property>
</Properties>
</file>