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rPr>
          <w:bCs w:val="0"/>
          <w:sz w:val="28"/>
          <w:szCs w:val="28"/>
        </w:rPr>
      </w:pPr>
      <w:r>
        <w:rPr>
          <w:bCs w:val="0"/>
          <w:sz w:val="28"/>
          <w:szCs w:val="28"/>
        </w:rPr>
        <w:t>N Á R O D N Á     R A D A    S L O V E N S K E J      R E P U B L I K Y</w:t>
      </w:r>
    </w:p>
    <w:p>
      <w:pPr>
        <w:jc w:val="center"/>
        <w:rPr>
          <w:b/>
        </w:rPr>
      </w:pPr>
      <w:r>
        <w:rPr>
          <w:b/>
        </w:rPr>
        <w:t>III. volebné obdobie</w:t>
      </w:r>
    </w:p>
    <w:p>
      <w:r>
        <w:t>–––––––––––––––––––––––––––––––––––––––––––––––––––––––––––––––––––––––––––</w:t>
      </w:r>
    </w:p>
    <w:p>
      <w:pPr>
        <w:pStyle w:val="Heading1"/>
        <w:rPr>
          <w:bCs w:val="0"/>
          <w:sz w:val="32"/>
          <w:szCs w:val="32"/>
        </w:rPr>
      </w:pPr>
    </w:p>
    <w:p>
      <w:pPr>
        <w:pStyle w:val="Heading1"/>
        <w:rPr>
          <w:bCs w:val="0"/>
          <w:sz w:val="32"/>
          <w:szCs w:val="32"/>
        </w:rPr>
      </w:pPr>
      <w:r>
        <w:rPr>
          <w:bCs w:val="0"/>
          <w:sz w:val="32"/>
          <w:szCs w:val="32"/>
        </w:rPr>
        <w:t>1508</w:t>
      </w:r>
    </w:p>
    <w:p>
      <w:pPr>
        <w:pStyle w:val="Heading1"/>
        <w:rPr>
          <w:b w:val="0"/>
        </w:rPr>
      </w:pPr>
    </w:p>
    <w:p>
      <w:pPr>
        <w:pStyle w:val="Heading1"/>
        <w:rPr>
          <w:bCs w:val="0"/>
          <w:sz w:val="28"/>
          <w:szCs w:val="28"/>
        </w:rPr>
      </w:pPr>
      <w:r>
        <w:rPr>
          <w:bCs w:val="0"/>
          <w:sz w:val="28"/>
          <w:szCs w:val="28"/>
        </w:rPr>
        <w:t>VLÁDNY  NÁVRH</w:t>
      </w:r>
    </w:p>
    <w:p>
      <w:pPr>
        <w:rPr>
          <w:b/>
          <w:bCs/>
        </w:rPr>
      </w:pPr>
    </w:p>
    <w:p>
      <w:pPr>
        <w:pStyle w:val="Heading1"/>
        <w:rPr>
          <w:rFonts w:eastAsia="Arial Unicode MS"/>
          <w:bCs w:val="0"/>
          <w:sz w:val="28"/>
          <w:szCs w:val="28"/>
        </w:rPr>
      </w:pPr>
      <w:r>
        <w:rPr>
          <w:bCs w:val="0"/>
          <w:sz w:val="28"/>
          <w:szCs w:val="28"/>
        </w:rPr>
        <w:t>ZÁKON</w:t>
      </w:r>
    </w:p>
    <w:p>
      <w:pPr>
        <w:jc w:val="center"/>
        <w:rPr>
          <w:b/>
          <w:bCs/>
        </w:rPr>
      </w:pPr>
    </w:p>
    <w:p>
      <w:pPr>
        <w:jc w:val="center"/>
        <w:rPr>
          <w:b/>
          <w:bCs/>
        </w:rPr>
      </w:pPr>
      <w:r>
        <w:rPr>
          <w:b/>
          <w:bCs/>
        </w:rPr>
        <w:t>z ............. 2006,</w:t>
      </w:r>
    </w:p>
    <w:p>
      <w:pPr>
        <w:jc w:val="center"/>
        <w:rPr>
          <w:b/>
          <w:bCs/>
        </w:rPr>
      </w:pPr>
    </w:p>
    <w:p>
      <w:pPr>
        <w:jc w:val="center"/>
        <w:rPr>
          <w:b/>
          <w:bCs/>
        </w:rPr>
      </w:pPr>
      <w:r>
        <w:rPr>
          <w:b/>
          <w:bCs/>
        </w:rPr>
        <w:t xml:space="preserve">o podpore v pôdohospodárstve a rozvoji vidieka </w:t>
      </w:r>
    </w:p>
    <w:p/>
    <w:p/>
    <w:p>
      <w:pPr>
        <w:ind w:firstLine="708"/>
      </w:pPr>
      <w:r>
        <w:t>Národná rada Slovenskej republiky sa uzniesla na tomto zákone:</w:t>
      </w:r>
    </w:p>
    <w:p/>
    <w:p/>
    <w:p>
      <w:pPr>
        <w:jc w:val="center"/>
      </w:pPr>
    </w:p>
    <w:p>
      <w:pPr>
        <w:jc w:val="center"/>
      </w:pPr>
      <w:r>
        <w:t>ZÁKLADNÉ USTANOVENIA</w:t>
      </w:r>
    </w:p>
    <w:p/>
    <w:p>
      <w:pPr>
        <w:jc w:val="center"/>
      </w:pPr>
      <w:r>
        <w:t>§ 1</w:t>
      </w:r>
    </w:p>
    <w:p>
      <w:pPr>
        <w:jc w:val="center"/>
      </w:pPr>
      <w:r>
        <w:t>Predmet úpravy</w:t>
      </w:r>
    </w:p>
    <w:p/>
    <w:p>
      <w:pPr>
        <w:ind w:firstLine="708"/>
        <w:jc w:val="both"/>
      </w:pPr>
      <w:r>
        <w:t xml:space="preserve">Tento zákon upravuje pôsobnosť Ministerstva pôdohospodárstva Slovenskej republiky (ďalej len „ministerstvo“) a pôsobnosť Pôdohospodárskej platobnej agentúry (ďalej len „platobná agentúra“) pri poskytovaní </w:t>
      </w:r>
    </w:p>
    <w:p>
      <w:pPr>
        <w:numPr>
          <w:ilvl w:val="0"/>
          <w:numId w:val="13"/>
        </w:numPr>
        <w:jc w:val="both"/>
      </w:pPr>
      <w:r>
        <w:t>finančných prostriedkov na rozvojové programy poľnohospodárstva a vidieka podľa podmienok ustanovených vo viacročnej finančnej dohode</w:t>
      </w:r>
      <w:r>
        <w:rPr>
          <w:rStyle w:val="FootnoteReference"/>
        </w:rPr>
        <w:footnoteReference w:customMarkFollows="1" w:id="2"/>
        <w:t xml:space="preserve">1)</w:t>
      </w:r>
      <w:r>
        <w:t xml:space="preserve"> z programu SAPARD,</w:t>
      </w:r>
    </w:p>
    <w:p>
      <w:pPr>
        <w:numPr>
          <w:ilvl w:val="0"/>
          <w:numId w:val="13"/>
        </w:numPr>
        <w:jc w:val="both"/>
      </w:pPr>
      <w:r>
        <w:t>dotácií</w:t>
      </w:r>
      <w:r>
        <w:rPr>
          <w:vertAlign w:val="superscript"/>
        </w:rPr>
        <w:t xml:space="preserve"> </w:t>
      </w:r>
      <w:r>
        <w:t>v poľnohospodárstve, potravinárstve a lesnom hospodárstve z prostriedkov  štátneho rozpočtu</w:t>
      </w:r>
      <w:r>
        <w:rPr>
          <w:rStyle w:val="FootnoteReference"/>
        </w:rPr>
        <w:footnoteReference w:customMarkFollows="1" w:id="3"/>
        <w:t xml:space="preserve">2)</w:t>
      </w:r>
      <w:r>
        <w:t>; podmienky poskytovania dotácií upravuje osobitný</w:t>
      </w:r>
      <w:r>
        <w:t xml:space="preserve"> predpis</w:t>
      </w:r>
      <w:r>
        <w:rPr>
          <w:rStyle w:val="FootnoteReference"/>
        </w:rPr>
        <w:footnoteReference w:customMarkFollows="1" w:id="4"/>
        <w:t xml:space="preserve">3)</w:t>
      </w:r>
      <w:r>
        <w:t>,</w:t>
      </w:r>
    </w:p>
    <w:p>
      <w:pPr>
        <w:numPr>
          <w:ilvl w:val="0"/>
          <w:numId w:val="13"/>
        </w:numPr>
        <w:jc w:val="both"/>
      </w:pPr>
      <w:r>
        <w:t>podpory pre pôdohospodárstvo, rozvoj vidieka a rybné hospodárstvo</w:t>
      </w:r>
      <w:r>
        <w:rPr>
          <w:rStyle w:val="FootnoteReference"/>
        </w:rPr>
        <w:footnoteReference w:customMarkFollows="1" w:id="5"/>
        <w:t xml:space="preserve">4)</w:t>
      </w:r>
      <w:r>
        <w:t xml:space="preserve">. </w:t>
      </w:r>
    </w:p>
    <w:p/>
    <w:p/>
    <w:p/>
    <w:p/>
    <w:p>
      <w:pPr>
        <w:jc w:val="center"/>
      </w:pPr>
      <w:r>
        <w:t>§ 2</w:t>
      </w:r>
    </w:p>
    <w:p>
      <w:pPr>
        <w:jc w:val="center"/>
      </w:pPr>
      <w:r>
        <w:t>Vymedzenie pojmov</w:t>
      </w:r>
    </w:p>
    <w:p/>
    <w:p>
      <w:pPr>
        <w:ind w:firstLine="708"/>
      </w:pPr>
      <w:r>
        <w:t>Na účely tohto zákona sa rozumie</w:t>
      </w:r>
    </w:p>
    <w:p>
      <w:pPr>
        <w:numPr>
          <w:ilvl w:val="0"/>
          <w:numId w:val="1"/>
        </w:numPr>
        <w:jc w:val="both"/>
      </w:pPr>
      <w:r>
        <w:t>pôdnym blokom základná jednotka evidencie pôdy, ktorá predstavuje súvislú plochu obhospodarovanej poľnohospodárske</w:t>
      </w:r>
      <w:r>
        <w:t>j pôdy,</w:t>
      </w:r>
    </w:p>
    <w:p>
      <w:pPr>
        <w:numPr>
          <w:ilvl w:val="0"/>
          <w:numId w:val="1"/>
        </w:numPr>
        <w:jc w:val="both"/>
      </w:pPr>
      <w:r>
        <w:t>dielom pôdneho bloku súvislá plocha obhospodarovanej poľnohospodárskej pôdy     príslušného  druhu pozemku v pôdnom bloku,</w:t>
      </w:r>
    </w:p>
    <w:p>
      <w:pPr>
        <w:numPr>
          <w:ilvl w:val="0"/>
          <w:numId w:val="1"/>
        </w:numPr>
        <w:jc w:val="both"/>
      </w:pPr>
      <w:r>
        <w:t>hospodárskym  rokom  časové  obdobie 12 mesiacov,  ktorého   začiatok  je odvodený od biologických vlastností výrobkov a od š</w:t>
      </w:r>
      <w:r>
        <w:t>pecifických podmienok domáceho trhu s týmito výrobkami,</w:t>
      </w:r>
    </w:p>
    <w:p>
      <w:pPr>
        <w:numPr>
          <w:ilvl w:val="0"/>
          <w:numId w:val="1"/>
        </w:numPr>
        <w:jc w:val="both"/>
      </w:pPr>
      <w:r>
        <w:t>informačným systémom akýkoľvek usporiadaný súbor, sústava alebo databáza obsahujúca jeden alebo viac údajov, ktoré sú systematicky spracúvané s použitím automatizovaných alebo čiastočne automatizovaných prostriedkov spracúvania bez ohľadu na to, či ide o systém centralizovaný, decentralizovaný alebo distribuovaný na funkčnom základe alebo geografickom základe,</w:t>
      </w:r>
    </w:p>
    <w:p>
      <w:pPr>
        <w:numPr>
          <w:ilvl w:val="0"/>
          <w:numId w:val="1"/>
        </w:numPr>
        <w:jc w:val="both"/>
      </w:pPr>
      <w:r>
        <w:t>nepotravinárskym využitím výrobkov využitie výrobkov na iné účely ako na účely výživy ľudí al</w:t>
      </w:r>
      <w:r>
        <w:t>ebo hospodárskych zvierat,</w:t>
      </w:r>
    </w:p>
    <w:p>
      <w:pPr>
        <w:numPr>
          <w:ilvl w:val="0"/>
          <w:numId w:val="1"/>
        </w:numPr>
        <w:jc w:val="both"/>
      </w:pPr>
      <w:r>
        <w:t xml:space="preserve">programom propagácie pre poľnohospodárske výrobky súbor opatrení a činností zameraných na spotrebu a odbyt poľnohospodárskych výrobkov, </w:t>
      </w:r>
    </w:p>
    <w:p>
      <w:pPr>
        <w:numPr>
          <w:ilvl w:val="0"/>
          <w:numId w:val="1"/>
        </w:numPr>
        <w:jc w:val="both"/>
      </w:pPr>
      <w:r>
        <w:t xml:space="preserve">programom Sektorový operačný program, Plán rozvoja vidieka, Program rozvoja vidieka, Operačný program Rybné hospodárstvo, Program pre spracovanie poľnohospodárskych výrobkov, ktoré nie sú uvedené v prílohe I. Zmluvy o založení Európskeho spoločenstva, </w:t>
      </w:r>
    </w:p>
    <w:p>
      <w:pPr>
        <w:numPr>
          <w:ilvl w:val="0"/>
          <w:numId w:val="1"/>
        </w:numPr>
        <w:jc w:val="both"/>
      </w:pPr>
      <w:r>
        <w:t>účastníkom trhu fyzická osoba alebo právnická osoba, ktorá vyrába, spracúva alebo uvádza na trh</w:t>
      </w:r>
      <w:r>
        <w:t xml:space="preserve">  vybrané výrobky.</w:t>
      </w:r>
    </w:p>
    <w:p>
      <w:pPr>
        <w:jc w:val="center"/>
      </w:pPr>
    </w:p>
    <w:p>
      <w:pPr>
        <w:jc w:val="center"/>
      </w:pPr>
      <w:r>
        <w:t>Inštitucionálne riadenie</w:t>
      </w:r>
    </w:p>
    <w:p>
      <w:pPr>
        <w:jc w:val="center"/>
      </w:pPr>
      <w:r>
        <w:t>§ 3</w:t>
      </w:r>
    </w:p>
    <w:p/>
    <w:p>
      <w:pPr>
        <w:pStyle w:val="BodyTextIndent2"/>
      </w:pPr>
      <w:r>
        <w:t xml:space="preserve">(1) Ministerstvo je ústredným orgánom štátnej správy na podporu v pôdohospodárstve. </w:t>
      </w:r>
    </w:p>
    <w:p>
      <w:pPr>
        <w:pStyle w:val="BodyTextIndent2"/>
        <w:ind w:firstLine="0"/>
      </w:pPr>
      <w:r>
        <w:t>Ministerstvo vo vzťahu k orgánom Európskej únie vykonáva a zabezpečuje úlohy príslušného orgánu pre záručnú sekciu Európskeho poľnohospodárskeho usmerňovacieho a záručného fondu (ďalej len „fond“), Európskeho poľnohospodárskeho záručného fondu, Európskeho poľnohospodárskeho fondu pre rozvoj vidieka a riadiaceho orgánu pre usmerňovaciu sekciu fondu a pre programy financované z Európskeho poľnohospodárskeho fondu na rozvoj vidieka, Európskeho fondu rybného hospodárstva, Finančný nástroj na usmerňovanie rybolovu, Európskeho fondu na regionálny rozvoj na podporu spracovania poľnohospodárskych výrobkov, ktoré nie sú zaradené do prílohy I Zmluvy o založení Európskeho spoločenstva.</w:t>
      </w:r>
    </w:p>
    <w:p>
      <w:pPr>
        <w:ind w:firstLine="708"/>
        <w:jc w:val="both"/>
      </w:pPr>
    </w:p>
    <w:p>
      <w:pPr>
        <w:ind w:firstLine="708"/>
        <w:jc w:val="both"/>
      </w:pPr>
      <w:r>
        <w:t xml:space="preserve">(2) Ministerstvo </w:t>
      </w:r>
    </w:p>
    <w:p>
      <w:pPr>
        <w:numPr>
          <w:ilvl w:val="0"/>
          <w:numId w:val="2"/>
        </w:numPr>
        <w:jc w:val="both"/>
      </w:pPr>
      <w:r>
        <w:t xml:space="preserve">rozhoduje o usmerňovaní poskytovania podpory a národných doplatkov, </w:t>
      </w:r>
    </w:p>
    <w:p>
      <w:pPr>
        <w:numPr>
          <w:ilvl w:val="0"/>
          <w:numId w:val="2"/>
        </w:numPr>
        <w:jc w:val="both"/>
      </w:pPr>
      <w:r>
        <w:t xml:space="preserve">udeľuje a odníma akreditáciu na činnosti platobnej agentúre, </w:t>
      </w:r>
    </w:p>
    <w:p>
      <w:pPr>
        <w:numPr>
          <w:ilvl w:val="0"/>
          <w:numId w:val="2"/>
        </w:numPr>
        <w:jc w:val="both"/>
      </w:pPr>
      <w:r>
        <w:t>rozhoduje o pridelení kvóty, o pridelení kvóty</w:t>
      </w:r>
      <w:r>
        <w:rPr>
          <w:vertAlign w:val="superscript"/>
        </w:rPr>
        <w:t>4)</w:t>
      </w:r>
      <w:r>
        <w:t xml:space="preserve"> z národnej rezervy a o pridelení prémie na chov oviec, kôz a dojčiacich kráv (ďalej len „prémie“) a individuálnych limitov prémií, </w:t>
      </w:r>
    </w:p>
    <w:p>
      <w:pPr>
        <w:jc w:val="both"/>
      </w:pPr>
    </w:p>
    <w:p>
      <w:pPr>
        <w:jc w:val="both"/>
      </w:pPr>
    </w:p>
    <w:p>
      <w:pPr>
        <w:numPr>
          <w:ilvl w:val="0"/>
          <w:numId w:val="2"/>
        </w:numPr>
        <w:jc w:val="both"/>
      </w:pPr>
      <w:r>
        <w:t>posudzuje vhodnosť programov propagácie zameraných pre poľnohospodárske výrobky na vnútornom trhu a v tretích krajinách podľa os</w:t>
      </w:r>
      <w:r>
        <w:t>obitných predpisov</w:t>
      </w:r>
      <w:r>
        <w:rPr>
          <w:rStyle w:val="FootnoteReference"/>
        </w:rPr>
        <w:footnoteReference w:customMarkFollows="1" w:id="6"/>
        <w:t xml:space="preserve">5)</w:t>
      </w:r>
      <w:r>
        <w:t xml:space="preserve">, kontroluje ich a vyhodnocuje; vyhodnotenie zasiela Európskej komisii (ďalej len „Komisia“), </w:t>
      </w:r>
    </w:p>
    <w:p>
      <w:pPr>
        <w:numPr>
          <w:ilvl w:val="0"/>
          <w:numId w:val="2"/>
        </w:numPr>
        <w:jc w:val="both"/>
      </w:pPr>
      <w:r>
        <w:t>zriaďuje monitorovacie výbory pre programy,</w:t>
      </w:r>
    </w:p>
    <w:p>
      <w:pPr>
        <w:numPr>
          <w:ilvl w:val="0"/>
          <w:numId w:val="2"/>
        </w:numPr>
        <w:jc w:val="both"/>
      </w:pPr>
      <w:r>
        <w:t>vypracúva  pre vládu Slovenskej republiky a Národnú radu Slovenskej republiky správu o poľnohospodárstve, potravinárstve a lesnom hospodárstve za príslušný rok, v ktorej  hodnotí stav týchto odvetví a účinnosť poskytovanej podpory a navrhuje opatrenia a ďalšie postupy na zlepšenie,</w:t>
      </w:r>
    </w:p>
    <w:p>
      <w:pPr>
        <w:numPr>
          <w:ilvl w:val="0"/>
          <w:numId w:val="2"/>
        </w:numPr>
        <w:jc w:val="both"/>
      </w:pPr>
      <w:r>
        <w:t>zostavuje v  spolupráci so  Štatistickým  úradom  Slovenskej republiky (ďalej len „úrad“) ekonomický poľnohospodársky účet a súhrnný lesnícky ekonomický účet,</w:t>
      </w:r>
    </w:p>
    <w:p>
      <w:pPr>
        <w:numPr>
          <w:ilvl w:val="0"/>
          <w:numId w:val="2"/>
        </w:numPr>
        <w:jc w:val="both"/>
      </w:pPr>
      <w:r>
        <w:t>zriaďuje Národnú komisiu pre informačnú sieť poľnohospodárskeho účtovníctva,</w:t>
      </w:r>
    </w:p>
    <w:p>
      <w:pPr>
        <w:numPr>
          <w:ilvl w:val="0"/>
          <w:numId w:val="2"/>
        </w:numPr>
        <w:jc w:val="both"/>
      </w:pPr>
      <w:r>
        <w:t xml:space="preserve">zabezpečuje cyklickú obnovu pôdnych blokov a dielov pôdnych blokov pomocou leteckých snímok alebo satelitných snímok a systém identifikácie poľnohospodárskych pozemkov vrátane aktualizácie registrov podľa osobitných predpisov,  </w:t>
      </w:r>
    </w:p>
    <w:p>
      <w:pPr>
        <w:numPr>
          <w:ilvl w:val="0"/>
          <w:numId w:val="2"/>
        </w:numPr>
        <w:jc w:val="both"/>
      </w:pPr>
      <w:r>
        <w:t>zriaďuje a koordinuje národnú vidiecku sieť</w:t>
      </w:r>
      <w:r>
        <w:rPr>
          <w:rStyle w:val="FootnoteReference"/>
        </w:rPr>
        <w:footnoteReference w:customMarkFollows="1" w:id="7"/>
        <w:t xml:space="preserve">6)</w:t>
      </w:r>
      <w:r>
        <w:t>,</w:t>
      </w:r>
    </w:p>
    <w:p>
      <w:pPr>
        <w:numPr>
          <w:ilvl w:val="0"/>
          <w:numId w:val="2"/>
        </w:numPr>
        <w:jc w:val="both"/>
      </w:pPr>
      <w:r>
        <w:t>vypracúva programy a Národné strategické plány</w:t>
      </w:r>
      <w:r>
        <w:rPr>
          <w:rStyle w:val="FootnoteReference"/>
        </w:rPr>
        <w:footnoteReference w:customMarkFollows="1" w:id="8"/>
        <w:t xml:space="preserve">7)</w:t>
      </w:r>
      <w:r>
        <w:t xml:space="preserve">, </w:t>
      </w:r>
    </w:p>
    <w:p>
      <w:pPr>
        <w:numPr>
          <w:ilvl w:val="0"/>
          <w:numId w:val="2"/>
        </w:numPr>
        <w:jc w:val="both"/>
      </w:pPr>
      <w:r>
        <w:t>je odvolacím orgáno</w:t>
      </w:r>
      <w:r>
        <w:t>m vo veciach, v ktorých rozhodla v prvom stupni platobná agentúra,</w:t>
      </w:r>
    </w:p>
    <w:p>
      <w:pPr>
        <w:numPr>
          <w:ilvl w:val="0"/>
          <w:numId w:val="2"/>
        </w:numPr>
        <w:jc w:val="both"/>
      </w:pPr>
      <w:r>
        <w:t xml:space="preserve">vypracúva súhrnné správy o pokroku dosiahnutom pri implementácii Národného strategického plánu. </w:t>
      </w:r>
    </w:p>
    <w:p>
      <w:pPr>
        <w:jc w:val="both"/>
      </w:pPr>
    </w:p>
    <w:p>
      <w:pPr>
        <w:ind w:firstLine="708"/>
        <w:jc w:val="both"/>
      </w:pPr>
      <w:r>
        <w:t>(3) Ministerstvo podľa odseku 1</w:t>
      </w:r>
    </w:p>
    <w:p>
      <w:pPr>
        <w:numPr>
          <w:ilvl w:val="1"/>
          <w:numId w:val="19"/>
        </w:numPr>
        <w:jc w:val="both"/>
      </w:pPr>
      <w:r>
        <w:t>zabezpečuje</w:t>
      </w:r>
    </w:p>
    <w:p>
      <w:pPr>
        <w:numPr>
          <w:ilvl w:val="0"/>
          <w:numId w:val="17"/>
        </w:numPr>
        <w:jc w:val="both"/>
      </w:pPr>
      <w:r>
        <w:t xml:space="preserve">audit na účel udeľovania a odňatia akreditácie </w:t>
      </w:r>
      <w:r>
        <w:t>platobnej agentúre,</w:t>
      </w:r>
    </w:p>
    <w:p>
      <w:pPr>
        <w:numPr>
          <w:ilvl w:val="0"/>
          <w:numId w:val="17"/>
        </w:numPr>
        <w:jc w:val="both"/>
      </w:pPr>
      <w:r>
        <w:t>prípravu programov a ich zmien,</w:t>
      </w:r>
    </w:p>
    <w:p>
      <w:pPr>
        <w:numPr>
          <w:ilvl w:val="0"/>
          <w:numId w:val="17"/>
        </w:numPr>
        <w:jc w:val="both"/>
      </w:pPr>
      <w:r>
        <w:t>certifikáciu účtov podľa osobitných predpisov</w:t>
      </w:r>
      <w:r>
        <w:rPr>
          <w:rStyle w:val="FootnoteReference"/>
        </w:rPr>
        <w:footnoteReference w:customMarkFollows="1" w:id="9"/>
        <w:t xml:space="preserve">8)</w:t>
      </w:r>
      <w:r>
        <w:t>,</w:t>
      </w:r>
    </w:p>
    <w:p>
      <w:pPr>
        <w:numPr>
          <w:ilvl w:val="0"/>
          <w:numId w:val="17"/>
        </w:numPr>
        <w:jc w:val="both"/>
      </w:pPr>
      <w:r>
        <w:t>poskytovanie podpory na spracované poľnohospodárske výrobky, ktoré nie sú uvedené v prílohe I Zmluvy o založení Európskeho spoločenstva,</w:t>
      </w:r>
    </w:p>
    <w:p>
      <w:pPr>
        <w:numPr>
          <w:ilvl w:val="1"/>
          <w:numId w:val="19"/>
        </w:numPr>
        <w:jc w:val="both"/>
      </w:pPr>
      <w:r>
        <w:t xml:space="preserve">vyhodnocuje efektívnosť  a  správnosť   riadenia  a  implementácie  programov, </w:t>
      </w:r>
    </w:p>
    <w:p>
      <w:pPr>
        <w:numPr>
          <w:ilvl w:val="1"/>
          <w:numId w:val="19"/>
        </w:numPr>
        <w:jc w:val="both"/>
      </w:pPr>
      <w:r>
        <w:t>vypracúva a zverejňuje priority rezortu a zverejňuje výzvy na predkladanie návrhov programov.</w:t>
      </w:r>
    </w:p>
    <w:p>
      <w:pPr>
        <w:ind w:firstLine="708"/>
        <w:jc w:val="both"/>
      </w:pPr>
      <w:r>
        <w:t xml:space="preserve"> </w:t>
      </w:r>
    </w:p>
    <w:p>
      <w:pPr>
        <w:ind w:firstLine="708"/>
        <w:jc w:val="both"/>
      </w:pPr>
      <w:r>
        <w:t>(4) Podrobnosti o realizácii programov a programov propagácie ustanoví všeobecne záväzný právny pr</w:t>
      </w:r>
      <w:r>
        <w:t xml:space="preserve">edpis, ktorý vydá ministerstvo. </w:t>
      </w:r>
    </w:p>
    <w:p>
      <w:pPr>
        <w:ind w:firstLine="708"/>
        <w:jc w:val="center"/>
      </w:pPr>
    </w:p>
    <w:p>
      <w:pPr>
        <w:ind w:firstLine="708"/>
        <w:jc w:val="center"/>
      </w:pPr>
      <w:r>
        <w:t>§ 4</w:t>
      </w:r>
    </w:p>
    <w:p>
      <w:pPr>
        <w:ind w:firstLine="708"/>
        <w:jc w:val="center"/>
      </w:pPr>
    </w:p>
    <w:p>
      <w:pPr>
        <w:ind w:firstLine="708"/>
        <w:jc w:val="both"/>
      </w:pPr>
      <w:r>
        <w:t>(1) Na účely poskytovania vybraných údajov z účtovných záznamov</w:t>
      </w:r>
      <w:r>
        <w:rPr>
          <w:rStyle w:val="FootnoteReference"/>
        </w:rPr>
        <w:footnoteReference w:customMarkFollows="1" w:id="10"/>
        <w:t xml:space="preserve">9)</w:t>
      </w:r>
      <w:r>
        <w:t xml:space="preserve"> podnikateľov  a iných právnických osôb Komisii, zriaďuje ministerstvo v spolupráci s úradom</w:t>
      </w:r>
      <w:r>
        <w:rPr>
          <w:rStyle w:val="FootnoteReference"/>
        </w:rPr>
        <w:footnoteReference w:customMarkFollows="1" w:id="11"/>
        <w:t xml:space="preserve">10)</w:t>
      </w:r>
      <w:r>
        <w:t xml:space="preserve"> sieť testovacích podnikov pôdohospodárskeho účtovníctva.</w:t>
      </w:r>
    </w:p>
    <w:p>
      <w:pPr>
        <w:ind w:firstLine="708"/>
        <w:jc w:val="both"/>
      </w:pPr>
    </w:p>
    <w:p>
      <w:pPr>
        <w:ind w:firstLine="708"/>
        <w:jc w:val="both"/>
      </w:pPr>
    </w:p>
    <w:p>
      <w:pPr>
        <w:ind w:firstLine="708"/>
        <w:jc w:val="both"/>
      </w:pPr>
      <w:r>
        <w:t>(2) Sieť testovacích podnikov predstavuje reprezentatívnu vzorku právnických osôb, ktoré poskytujú ministerstvu údaje na základe zmluvy.</w:t>
      </w:r>
    </w:p>
    <w:p>
      <w:pPr>
        <w:jc w:val="both"/>
      </w:pPr>
    </w:p>
    <w:p>
      <w:pPr>
        <w:ind w:firstLine="708"/>
        <w:jc w:val="both"/>
      </w:pPr>
      <w:r>
        <w:t>(3) Údaje získané z účtovných záznamov právnických osôb podľa odseku 2 môže ministerstvo použiť len na účely hodnotenia vývoja pôdohospodárstva a na vypracovanie ekonomického poľnohospodárskeho účtu a súhrnného lesníckeho ekonomického účtu.</w:t>
      </w:r>
    </w:p>
    <w:p/>
    <w:p/>
    <w:p>
      <w:pPr>
        <w:jc w:val="center"/>
      </w:pPr>
      <w:r>
        <w:t>PÔSOBNOSŤ PLATOBNEJ AGENTÚRY</w:t>
      </w:r>
    </w:p>
    <w:p/>
    <w:p>
      <w:pPr>
        <w:jc w:val="center"/>
      </w:pPr>
      <w:r>
        <w:t>§ 5</w:t>
      </w:r>
    </w:p>
    <w:p/>
    <w:p>
      <w:pPr>
        <w:jc w:val="both"/>
      </w:pPr>
      <w:r>
        <w:tab/>
        <w:t xml:space="preserve">(1) Administratívnu činnosť podľa § 1 ods.1 zabezpečuje platobná agentúra ako orgán štátnej správy. Platobná agentúra je rozpočtovou organizáciou. </w:t>
      </w:r>
    </w:p>
    <w:p>
      <w:pPr>
        <w:jc w:val="both"/>
      </w:pPr>
    </w:p>
    <w:p>
      <w:pPr>
        <w:jc w:val="both"/>
      </w:pPr>
      <w:r>
        <w:tab/>
        <w:t>(2) Platobná agentúra sa organizačne člení na útvary zabezpečujúce implementáciu podporných schém</w:t>
      </w:r>
      <w:r>
        <w:rPr>
          <w:vertAlign w:val="superscript"/>
        </w:rPr>
        <w:t>4)</w:t>
      </w:r>
      <w:r>
        <w:t xml:space="preserve"> a poskytovanie dotácií. </w:t>
      </w:r>
    </w:p>
    <w:p>
      <w:pPr>
        <w:jc w:val="both"/>
      </w:pPr>
    </w:p>
    <w:p>
      <w:pPr>
        <w:jc w:val="both"/>
      </w:pPr>
      <w:r>
        <w:tab/>
        <w:t>(3) Sídlom platobnej agentúry je Bratislava. Na zabezpečenie výkonu vybraných činností si platobná agentúra môže vytvárať pracoviská s určeným rozsahom ich činnosti a územným obvodom ich pôsobnosti.</w:t>
      </w:r>
    </w:p>
    <w:p>
      <w:pPr>
        <w:jc w:val="both"/>
      </w:pPr>
    </w:p>
    <w:p>
      <w:pPr>
        <w:jc w:val="both"/>
      </w:pPr>
      <w:r>
        <w:tab/>
        <w:t>(4) Organizačnú štruktúru upraví štatút platobnej agentúry, ktorý schvaľuje Minister pôdohospodárstva Slovenskej republiky. Podrobnosti o organizačnej štruktúre upraví organizačný poriadok platobnej agentúry.</w:t>
      </w:r>
    </w:p>
    <w:p>
      <w:pPr>
        <w:jc w:val="center"/>
      </w:pPr>
    </w:p>
    <w:p>
      <w:pPr>
        <w:jc w:val="center"/>
      </w:pPr>
      <w:r>
        <w:t xml:space="preserve">§ 6 </w:t>
      </w:r>
    </w:p>
    <w:p>
      <w:pPr>
        <w:jc w:val="center"/>
      </w:pPr>
    </w:p>
    <w:p>
      <w:pPr>
        <w:jc w:val="both"/>
      </w:pPr>
      <w:r>
        <w:tab/>
        <w:t>(1) Príjmy a výdavky súvisiace s intervenčnými opatreniami realizuje platobná agentúra prostredníctvom samostatného mimorozpočtového účtu</w:t>
      </w:r>
      <w:r>
        <w:rPr>
          <w:rStyle w:val="FootnoteReference"/>
        </w:rPr>
        <w:footnoteReference w:customMarkFollows="1" w:id="12"/>
        <w:t xml:space="preserve">11)</w:t>
      </w:r>
      <w:r>
        <w:t xml:space="preserve">. Nevyčerpané zostatky na tomto účte možno použiť v nasledujúcom rozpočtovom roku. </w:t>
      </w:r>
    </w:p>
    <w:p>
      <w:pPr>
        <w:jc w:val="both"/>
      </w:pPr>
    </w:p>
    <w:p>
      <w:pPr>
        <w:jc w:val="both"/>
      </w:pPr>
      <w:r>
        <w:tab/>
        <w:t xml:space="preserve">(2) Príjmom samostatného mimorozpočtového účtu sú </w:t>
      </w:r>
    </w:p>
    <w:p>
      <w:pPr>
        <w:numPr>
          <w:ilvl w:val="0"/>
          <w:numId w:val="15"/>
        </w:numPr>
        <w:jc w:val="both"/>
      </w:pPr>
      <w:r>
        <w:t xml:space="preserve">príjmy z predaja zásob súvisiacich s intervenčnými opatreniami vrátane dane z pridanej hodnoty, </w:t>
      </w:r>
    </w:p>
    <w:p>
      <w:pPr>
        <w:numPr>
          <w:ilvl w:val="0"/>
          <w:numId w:val="15"/>
        </w:numPr>
        <w:jc w:val="both"/>
      </w:pPr>
      <w:r>
        <w:t>prostriedky Európskej únie na krytie oprávnenýc</w:t>
      </w:r>
      <w:r>
        <w:t>h výdavkov súvisiacich s intervenčnými opatreniami,</w:t>
      </w:r>
    </w:p>
    <w:p>
      <w:pPr>
        <w:numPr>
          <w:ilvl w:val="0"/>
          <w:numId w:val="15"/>
        </w:numPr>
        <w:jc w:val="both"/>
      </w:pPr>
      <w:r>
        <w:t xml:space="preserve">úhrada časti úrokových nákladov odsúhlasených Komisiou Slovenskej republike na intervenčný nákup výrobkov, </w:t>
      </w:r>
    </w:p>
    <w:p>
      <w:pPr>
        <w:numPr>
          <w:ilvl w:val="0"/>
          <w:numId w:val="15"/>
        </w:numPr>
        <w:jc w:val="both"/>
      </w:pPr>
      <w:r>
        <w:t xml:space="preserve">príjmy za kurzové rozdiely, </w:t>
      </w:r>
    </w:p>
    <w:p>
      <w:pPr>
        <w:numPr>
          <w:ilvl w:val="0"/>
          <w:numId w:val="15"/>
        </w:numPr>
        <w:jc w:val="both"/>
      </w:pPr>
      <w:r>
        <w:t>iné príjmy.</w:t>
      </w:r>
    </w:p>
    <w:p>
      <w:pPr>
        <w:ind w:firstLine="708"/>
        <w:jc w:val="both"/>
      </w:pPr>
    </w:p>
    <w:p>
      <w:pPr>
        <w:ind w:firstLine="708"/>
        <w:jc w:val="both"/>
      </w:pPr>
      <w:r>
        <w:t xml:space="preserve">(3) Výdavkom samostatného mimorozpočtového účtu sú </w:t>
      </w:r>
    </w:p>
    <w:p>
      <w:pPr>
        <w:numPr>
          <w:ilvl w:val="0"/>
          <w:numId w:val="16"/>
        </w:numPr>
        <w:jc w:val="both"/>
      </w:pPr>
      <w:r>
        <w:t>vý</w:t>
      </w:r>
      <w:r>
        <w:t xml:space="preserve">davky na intervenčné opatrenia, </w:t>
      </w:r>
    </w:p>
    <w:p>
      <w:pPr>
        <w:jc w:val="both"/>
      </w:pPr>
    </w:p>
    <w:p>
      <w:pPr>
        <w:jc w:val="both"/>
      </w:pPr>
    </w:p>
    <w:p>
      <w:pPr>
        <w:jc w:val="both"/>
      </w:pPr>
    </w:p>
    <w:p>
      <w:pPr>
        <w:jc w:val="both"/>
      </w:pPr>
    </w:p>
    <w:p>
      <w:pPr>
        <w:numPr>
          <w:ilvl w:val="0"/>
          <w:numId w:val="16"/>
        </w:numPr>
        <w:jc w:val="both"/>
      </w:pPr>
      <w:r>
        <w:t>oprávnené výdavky spojené s nákupom, a predajom intervenčných zásob podľa osobitných predpisov</w:t>
      </w:r>
      <w:r>
        <w:rPr>
          <w:rStyle w:val="FootnoteReference"/>
        </w:rPr>
        <w:footnoteReference w:customMarkFollows="1" w:id="13"/>
        <w:t xml:space="preserve">12)</w:t>
      </w:r>
      <w:r>
        <w:t xml:space="preserve">. </w:t>
      </w:r>
    </w:p>
    <w:p>
      <w:pPr>
        <w:jc w:val="center"/>
      </w:pPr>
    </w:p>
    <w:p>
      <w:pPr>
        <w:jc w:val="center"/>
      </w:pPr>
      <w:r>
        <w:t>§ 7</w:t>
      </w:r>
    </w:p>
    <w:p>
      <w:pPr>
        <w:jc w:val="center"/>
      </w:pPr>
    </w:p>
    <w:p>
      <w:pPr>
        <w:ind w:firstLine="708"/>
        <w:jc w:val="both"/>
      </w:pPr>
      <w:r>
        <w:t xml:space="preserve">(1) Platobná agentúra </w:t>
      </w:r>
    </w:p>
    <w:p>
      <w:pPr>
        <w:numPr>
          <w:ilvl w:val="1"/>
          <w:numId w:val="4"/>
        </w:numPr>
        <w:jc w:val="both"/>
      </w:pPr>
      <w:r>
        <w:t>rozhoduje o poskytovaní podpory a o poskytovaní dotácií a kontroluje jej použitie, </w:t>
      </w:r>
    </w:p>
    <w:p>
      <w:pPr>
        <w:numPr>
          <w:ilvl w:val="1"/>
          <w:numId w:val="4"/>
        </w:numPr>
        <w:jc w:val="both"/>
      </w:pPr>
      <w:r>
        <w:t>sleduj</w:t>
      </w:r>
      <w:r>
        <w:t xml:space="preserve">e, spracúva a kontroluje cenové informácie a trhové informácie (ďalej len „cenový monitoring“) a tieto informácie poskytuje ministerstvu, Ministerstvu financií Slovenskej republiky (ďalej len „ministerstvu financií“) a Komisii, </w:t>
      </w:r>
    </w:p>
    <w:p>
      <w:pPr>
        <w:numPr>
          <w:ilvl w:val="1"/>
          <w:numId w:val="4"/>
        </w:numPr>
        <w:jc w:val="both"/>
      </w:pPr>
      <w:r>
        <w:t>vydáva povolenie na dovoz a</w:t>
      </w:r>
      <w:r>
        <w:t> vývoz výrobkov (ďalej len „licencia“)</w:t>
      </w:r>
      <w:r>
        <w:rPr>
          <w:rStyle w:val="FootnoteReference"/>
        </w:rPr>
        <w:footnoteReference w:customMarkFollows="1" w:id="14"/>
        <w:t xml:space="preserve">13)</w:t>
      </w:r>
      <w:r>
        <w:t>, vyberá finančné zábezpeky, vracia finančné zábezpeky alebo ich časti, rozhoduje o prepadnutí finančnej zábezpeky alebo jej časti,</w:t>
      </w:r>
    </w:p>
    <w:p>
      <w:pPr>
        <w:numPr>
          <w:ilvl w:val="1"/>
          <w:numId w:val="4"/>
        </w:numPr>
        <w:jc w:val="both"/>
      </w:pPr>
      <w:r>
        <w:t xml:space="preserve">vyberá odvody z produkcie cukru a poplatky podľa osobitných predpisov a vymáha zadržané odvody z produkcie cukru, </w:t>
      </w:r>
    </w:p>
    <w:p>
      <w:pPr>
        <w:numPr>
          <w:ilvl w:val="1"/>
          <w:numId w:val="4"/>
        </w:numPr>
        <w:jc w:val="both"/>
      </w:pPr>
      <w:r>
        <w:t xml:space="preserve">prideľuje identifikačné číslo pôdnym blokom a dielom pôdnych blokov a vedie ich evidenciu, </w:t>
      </w:r>
    </w:p>
    <w:p>
      <w:pPr>
        <w:numPr>
          <w:ilvl w:val="1"/>
          <w:numId w:val="4"/>
        </w:numPr>
        <w:jc w:val="both"/>
      </w:pPr>
      <w:r>
        <w:t>organizuje trh s poľnohospodárskymi výrobkami a potravinárskymi výrobkami</w:t>
      </w:r>
      <w:r>
        <w:rPr>
          <w:vertAlign w:val="superscript"/>
        </w:rPr>
        <w:t xml:space="preserve"> </w:t>
      </w:r>
      <w:r>
        <w:t>a ukladá povinnosť odstrániť z trhu určené množstvo výrobkov</w:t>
      </w:r>
      <w:r>
        <w:rPr>
          <w:rStyle w:val="FootnoteReference"/>
        </w:rPr>
        <w:footnoteReference w:customMarkFollows="1" w:id="15"/>
        <w:t xml:space="preserve">14)</w:t>
      </w:r>
      <w:r>
        <w:t xml:space="preserve">, </w:t>
      </w:r>
    </w:p>
    <w:p>
      <w:pPr>
        <w:numPr>
          <w:ilvl w:val="1"/>
          <w:numId w:val="4"/>
        </w:numPr>
        <w:jc w:val="both"/>
      </w:pPr>
      <w:r>
        <w:t xml:space="preserve">spravuje prémie a národnú rezervu prémií, </w:t>
      </w:r>
    </w:p>
    <w:p>
      <w:pPr>
        <w:numPr>
          <w:ilvl w:val="1"/>
          <w:numId w:val="4"/>
        </w:numPr>
        <w:jc w:val="both"/>
      </w:pPr>
      <w:r>
        <w:t>spravuje národné referenčné množstvo mlieka a individuálne referenčné množstvo mlieka</w:t>
      </w:r>
      <w:r>
        <w:rPr>
          <w:rStyle w:val="FootnoteReference"/>
        </w:rPr>
        <w:footnoteReference w:customMarkFollows="1" w:id="16"/>
        <w:t xml:space="preserve">15)</w:t>
      </w:r>
      <w:r>
        <w:t xml:space="preserve">, </w:t>
      </w:r>
    </w:p>
    <w:p>
      <w:pPr>
        <w:numPr>
          <w:ilvl w:val="1"/>
          <w:numId w:val="4"/>
        </w:numPr>
        <w:jc w:val="both"/>
      </w:pPr>
      <w:r>
        <w:t xml:space="preserve">predkladá ministerstvu plán kontrolnej činnosti na kalendárny rok a informácie o vyhodnotení kontrolnej činnosti a nahlasovaní nezrovnalosti, </w:t>
      </w:r>
    </w:p>
    <w:p>
      <w:pPr>
        <w:numPr>
          <w:ilvl w:val="1"/>
          <w:numId w:val="4"/>
        </w:numPr>
        <w:jc w:val="both"/>
      </w:pPr>
      <w:r>
        <w:t>zabezpečuje ďalšie činnosti a prípravu metodických postupov pre žiadateľov podľa osobitných predpisov , ktoré predkladá pred zverejnením na schválenie ministerstvu,</w:t>
      </w:r>
    </w:p>
    <w:p>
      <w:pPr>
        <w:numPr>
          <w:ilvl w:val="1"/>
          <w:numId w:val="4"/>
        </w:numPr>
        <w:jc w:val="both"/>
      </w:pPr>
      <w:r>
        <w:t xml:space="preserve">prijíma, kontroluje vecnú stránku prijatých návrhov programov </w:t>
      </w:r>
      <w:r>
        <w:t>zameraných na propagáciu spotreby a odbytu výrobkov a vecnej stránke zodpovedajúce návrhy programov zasiela ministerstvu; posudzuje a zasiela späť predkladateľom návrhy programov, ktoré po vecnej stránke nespĺňajú ustanovenia osobitných predpisov</w:t>
      </w:r>
      <w:r>
        <w:rPr>
          <w:vertAlign w:val="superscript"/>
        </w:rPr>
        <w:t>5)</w:t>
      </w:r>
      <w:r>
        <w:t>,</w:t>
      </w:r>
    </w:p>
    <w:p>
      <w:pPr>
        <w:numPr>
          <w:ilvl w:val="1"/>
          <w:numId w:val="4"/>
        </w:numPr>
        <w:jc w:val="both"/>
      </w:pPr>
      <w:r>
        <w:t>ukladá</w:t>
      </w:r>
      <w:r>
        <w:t xml:space="preserve"> pokuty za správne delikty podľa § 17,</w:t>
      </w:r>
    </w:p>
    <w:p>
      <w:pPr>
        <w:numPr>
          <w:ilvl w:val="1"/>
          <w:numId w:val="4"/>
        </w:numPr>
        <w:jc w:val="both"/>
      </w:pPr>
      <w:r>
        <w:t>zabezpečuje ďalšie činnosti podľa osobitného predpisu</w:t>
      </w:r>
      <w:r>
        <w:rPr>
          <w:rStyle w:val="FootnoteReference"/>
        </w:rPr>
        <w:footnoteReference w:customMarkFollows="1" w:id="17"/>
        <w:t xml:space="preserve">16)</w:t>
      </w:r>
      <w:r>
        <w:t xml:space="preserve">. </w:t>
      </w:r>
    </w:p>
    <w:p>
      <w:pPr>
        <w:jc w:val="both"/>
      </w:pPr>
    </w:p>
    <w:p>
      <w:pPr>
        <w:ind w:firstLine="708"/>
        <w:jc w:val="both"/>
      </w:pPr>
      <w:r>
        <w:t>(2) Platobná agentúra zabezpečuje výkon vnútorného auditu v rámci poskytovaných dotácií zo štátneho rozpočtu a podpory poskytovanej z rozpočtu Európskej únie na programy v poľnohospodárstve a rozvoja vidieka podľa zásad medzinárodných audítorských  štandardov. Vnútorným auditom sa na účely tohto zákona rozumie nezávislá, objektívna,  hodnotiaca a konzultačná činnosť zriadená na účely zabezpečenia úloh podľa tohto zákona a podľa osobitných predpisov</w:t>
      </w:r>
      <w:r>
        <w:rPr>
          <w:rStyle w:val="FootnoteReference"/>
        </w:rPr>
        <w:footnoteReference w:customMarkFollows="1" w:id="18"/>
        <w:t xml:space="preserve">17)</w:t>
      </w:r>
      <w:r>
        <w:t xml:space="preserve">.  </w:t>
      </w:r>
    </w:p>
    <w:p>
      <w:pPr>
        <w:ind w:firstLine="708"/>
        <w:jc w:val="both"/>
      </w:pPr>
    </w:p>
    <w:p>
      <w:pPr>
        <w:pStyle w:val="BodyTextIndent2"/>
      </w:pPr>
      <w:r>
        <w:t>(3) Platobná agentúra pri svojej činnosti spolupracuje s príslušnými štátnymi orgánmi, ktoré na žiadosť platobnej agentúry poskytujú informácie nevyhnutné  na jej činnosť a poskytuje informácie nevyhnutné na činnosť príslušných štátnych orgánov.</w:t>
      </w:r>
    </w:p>
    <w:p>
      <w:pPr>
        <w:pStyle w:val="BodyTextIndent2"/>
      </w:pPr>
    </w:p>
    <w:p>
      <w:pPr>
        <w:pStyle w:val="BodyTextIndent2"/>
      </w:pPr>
      <w:r>
        <w:t>(4) Platobná agentúra rozhodne o poskytovaní podpory podľa odseku 1 písm. a) na plodiny na ornej pôde, znevýhodnené oblasti a o priamych platbách v lehote do 18 mesiacov odo dňa doručenia žiadosti.</w:t>
      </w:r>
    </w:p>
    <w:p/>
    <w:p>
      <w:pPr>
        <w:jc w:val="center"/>
      </w:pPr>
      <w:r>
        <w:t>§ 8</w:t>
      </w:r>
    </w:p>
    <w:p/>
    <w:p>
      <w:pPr>
        <w:jc w:val="both"/>
      </w:pPr>
      <w:r>
        <w:tab/>
        <w:t xml:space="preserve">(1) Platobná </w:t>
      </w:r>
      <w:r>
        <w:t xml:space="preserve">agentúra je povinná viesť informačný systém tak, aby </w:t>
      </w:r>
    </w:p>
    <w:p>
      <w:pPr>
        <w:numPr>
          <w:ilvl w:val="0"/>
          <w:numId w:val="14"/>
        </w:numPr>
        <w:jc w:val="both"/>
      </w:pPr>
      <w:r>
        <w:t xml:space="preserve">bolo zabezpečené ohlasovanie chýb pri zaznamenávaní údajov a ich oprava, </w:t>
      </w:r>
    </w:p>
    <w:p>
      <w:pPr>
        <w:numPr>
          <w:ilvl w:val="0"/>
          <w:numId w:val="14"/>
        </w:numPr>
        <w:jc w:val="both"/>
      </w:pPr>
      <w:r>
        <w:t xml:space="preserve">údaje nemohli byť zaznamenávané, menené alebo prezerané osobami, ktoré nemajú pridelené individuálne heslo, </w:t>
      </w:r>
    </w:p>
    <w:p>
      <w:pPr>
        <w:numPr>
          <w:ilvl w:val="0"/>
          <w:numId w:val="14"/>
        </w:numPr>
        <w:jc w:val="both"/>
      </w:pPr>
      <w:r>
        <w:t>bola identita každej osoby, ktorá vstupuje do informačného systému zaznamenaná do operačných záznamov,</w:t>
      </w:r>
    </w:p>
    <w:p>
      <w:pPr>
        <w:numPr>
          <w:ilvl w:val="0"/>
          <w:numId w:val="14"/>
        </w:numPr>
        <w:jc w:val="both"/>
      </w:pPr>
      <w:r>
        <w:t>prístupové heslá do systému boli pravidelne menené,</w:t>
      </w:r>
    </w:p>
    <w:p>
      <w:pPr>
        <w:numPr>
          <w:ilvl w:val="0"/>
          <w:numId w:val="14"/>
        </w:numPr>
        <w:jc w:val="both"/>
      </w:pPr>
      <w:r>
        <w:t xml:space="preserve">údaje boli zálohované kópiami skladovanými na oddelenom chránenom mieste. </w:t>
      </w:r>
    </w:p>
    <w:p>
      <w:pPr>
        <w:jc w:val="both"/>
      </w:pPr>
    </w:p>
    <w:p>
      <w:pPr>
        <w:ind w:firstLine="708"/>
        <w:jc w:val="both"/>
      </w:pPr>
      <w:r>
        <w:t>(2) Platobná agentúra je oprávnená spracúvať v informačnom systéme osobné údaje žiadateľov, ktorí žiadajú o podporu a to meno, priezvisko, rodné číslo, identifikačné číslo, adresu trvalého pobytu a prechodného pobytu, telefónne číslo a identifikačné údaje.</w:t>
      </w:r>
    </w:p>
    <w:p>
      <w:pPr>
        <w:ind w:firstLine="708"/>
        <w:jc w:val="both"/>
      </w:pPr>
    </w:p>
    <w:p>
      <w:pPr>
        <w:ind w:firstLine="708"/>
        <w:jc w:val="both"/>
      </w:pPr>
      <w:r>
        <w:t>(3) Osobné údaje sa používajú v informačných systémoch podľa odseku 1 a možno ich použiť alebo poskytnúť tretím osobám za podmienok ustanovených osobitným predpisom</w:t>
      </w:r>
      <w:r>
        <w:rPr>
          <w:rStyle w:val="FootnoteReference"/>
        </w:rPr>
        <w:footnoteReference w:customMarkFollows="1" w:id="19"/>
        <w:t xml:space="preserve">18)</w:t>
      </w:r>
      <w:r>
        <w:t>.</w:t>
      </w:r>
    </w:p>
    <w:p>
      <w:pPr>
        <w:ind w:firstLine="708"/>
        <w:jc w:val="both"/>
      </w:pPr>
    </w:p>
    <w:p>
      <w:pPr>
        <w:ind w:firstLine="708"/>
        <w:jc w:val="both"/>
      </w:pPr>
      <w:r>
        <w:t xml:space="preserve">(4) Údaje o poskytovaných podporách a dotáciách sa uverejňujú na internetovej stránke platobnej agentúry. </w:t>
      </w:r>
    </w:p>
    <w:p>
      <w:pPr>
        <w:jc w:val="center"/>
      </w:pPr>
    </w:p>
    <w:p>
      <w:pPr>
        <w:jc w:val="center"/>
      </w:pPr>
      <w:r>
        <w:t>§ 9</w:t>
      </w:r>
    </w:p>
    <w:p>
      <w:pPr>
        <w:jc w:val="center"/>
      </w:pPr>
    </w:p>
    <w:p>
      <w:pPr>
        <w:jc w:val="both"/>
      </w:pPr>
      <w:r>
        <w:tab/>
        <w:t>(1) Na účely posudzovania žiadostí o poskytnutie podpory podľa tohto zákona a  kontroly ich použitia, vykonáva  platobná agentúra predbežnú kontrolu, priebežnú kontrolu a následnú kontrolu, ak osobitne predpisy neustanovujú inak</w:t>
      </w:r>
      <w:r>
        <w:rPr>
          <w:vertAlign w:val="superscript"/>
        </w:rPr>
        <w:t>4)</w:t>
      </w:r>
      <w:r>
        <w:t xml:space="preserve">. </w:t>
      </w:r>
    </w:p>
    <w:p>
      <w:pPr>
        <w:jc w:val="both"/>
      </w:pPr>
    </w:p>
    <w:p>
      <w:pPr>
        <w:jc w:val="both"/>
      </w:pPr>
      <w:r>
        <w:tab/>
        <w:t>(2) Následnú kontrolu vykonáva plat</w:t>
      </w:r>
      <w:r>
        <w:t xml:space="preserve">obná agentúra v rozsahu zodpovedajúcom 5 % objemu poskytnutých finančných prostriedkov na Sektorový operačný program pre poľnohospodárstvo a rozvoj vidieka platobnou agentúrou.  </w:t>
      </w:r>
    </w:p>
    <w:p>
      <w:pPr>
        <w:jc w:val="both"/>
      </w:pPr>
    </w:p>
    <w:p>
      <w:pPr>
        <w:jc w:val="both"/>
      </w:pPr>
      <w:r>
        <w:tab/>
        <w:t>(3) Následnú kontrolu vykonávajú okrem zamestnancov platobnej agentúry kont</w:t>
      </w:r>
      <w:r>
        <w:t xml:space="preserve">rolné orgány ministerstva, ministerstva financií, príslušnej správy finančnej kontroly a Najvyššieho kontrolného úradu Slovenskej republiky. </w:t>
      </w:r>
    </w:p>
    <w:p>
      <w:pPr>
        <w:jc w:val="both"/>
      </w:pPr>
      <w:r>
        <w:tab/>
      </w:r>
    </w:p>
    <w:p>
      <w:pPr>
        <w:jc w:val="center"/>
      </w:pPr>
      <w:r>
        <w:t>ORGANIZOVANIE TRHU S VÝROBKAMI</w:t>
      </w:r>
    </w:p>
    <w:p/>
    <w:p>
      <w:pPr>
        <w:jc w:val="center"/>
      </w:pPr>
      <w:r>
        <w:t>§ 10</w:t>
      </w:r>
    </w:p>
    <w:p>
      <w:pPr>
        <w:jc w:val="center"/>
      </w:pPr>
      <w:r>
        <w:t>Organizovanie trhu s výrobkami</w:t>
      </w:r>
    </w:p>
    <w:p/>
    <w:p>
      <w:pPr>
        <w:pStyle w:val="BodyTextIndent2"/>
      </w:pPr>
      <w:r>
        <w:t>(1) Účelom  organizovania  trhu  s  výrobkami je minimalizovať akékoľvek negatívne  dôsledky zmien na trhu s výrobkami a zabezpečiť plynulé  zásobovanie a  dodávanie  výrobkov spotrebiteľom pomocou systému ekonomických,  obchodných  a  administratívnych nástrojov určených pre jednotlivé druhy výrobkov (ďalej len „opatrenia“).</w:t>
      </w:r>
    </w:p>
    <w:p>
      <w:pPr>
        <w:jc w:val="both"/>
      </w:pPr>
    </w:p>
    <w:p>
      <w:pPr>
        <w:ind w:firstLine="708"/>
        <w:jc w:val="both"/>
      </w:pPr>
      <w:r>
        <w:t>(2) Na organizovanie trhu s výrobkami možno podľa tohto zákona a podľa osobitných predpisov</w:t>
      </w:r>
      <w:r>
        <w:rPr>
          <w:rStyle w:val="FootnoteReference"/>
        </w:rPr>
        <w:footnoteReference w:customMarkFollows="1" w:id="20"/>
        <w:t xml:space="preserve">19)</w:t>
      </w:r>
      <w:r>
        <w:rPr>
          <w:vertAlign w:val="superscript"/>
        </w:rPr>
        <w:t xml:space="preserve"> </w:t>
      </w:r>
      <w:r>
        <w:t>použiť opatrenia</w:t>
      </w:r>
    </w:p>
    <w:p>
      <w:pPr>
        <w:numPr>
          <w:ilvl w:val="0"/>
          <w:numId w:val="5"/>
        </w:numPr>
        <w:jc w:val="both"/>
      </w:pPr>
      <w:r>
        <w:t>cenové,</w:t>
      </w:r>
    </w:p>
    <w:p>
      <w:pPr>
        <w:numPr>
          <w:ilvl w:val="0"/>
          <w:numId w:val="5"/>
        </w:numPr>
        <w:jc w:val="both"/>
      </w:pPr>
      <w:r>
        <w:t>intervenčné,</w:t>
      </w:r>
    </w:p>
    <w:p>
      <w:pPr>
        <w:numPr>
          <w:ilvl w:val="0"/>
          <w:numId w:val="5"/>
        </w:numPr>
        <w:jc w:val="both"/>
      </w:pPr>
      <w:r>
        <w:t>regulačné,</w:t>
      </w:r>
    </w:p>
    <w:p>
      <w:pPr>
        <w:numPr>
          <w:ilvl w:val="0"/>
          <w:numId w:val="5"/>
        </w:numPr>
        <w:jc w:val="both"/>
      </w:pPr>
      <w:r>
        <w:t>kompenzačné.</w:t>
      </w:r>
    </w:p>
    <w:p>
      <w:pPr>
        <w:jc w:val="both"/>
      </w:pPr>
    </w:p>
    <w:p>
      <w:pPr>
        <w:pStyle w:val="BodyTextIndent3"/>
        <w:jc w:val="both"/>
        <w:rPr>
          <w:b w:val="0"/>
          <w:bCs w:val="0"/>
        </w:rPr>
      </w:pPr>
      <w:r>
        <w:rPr>
          <w:b w:val="0"/>
          <w:bCs w:val="0"/>
        </w:rPr>
        <w:t>(3) Účastník trhu je povinný poskytnúť platobnej agentúre údaje o cenách, výrobe, množstvách a predaji vybraných poľnohospodárskych výrobkov a potravinárskych výrobkov.</w:t>
      </w:r>
    </w:p>
    <w:p>
      <w:pPr>
        <w:jc w:val="center"/>
      </w:pPr>
    </w:p>
    <w:p>
      <w:pPr>
        <w:jc w:val="center"/>
      </w:pPr>
      <w:r>
        <w:t>§ 11</w:t>
      </w:r>
    </w:p>
    <w:p>
      <w:pPr>
        <w:jc w:val="center"/>
      </w:pPr>
      <w:r>
        <w:t>Odvetvové dohody</w:t>
      </w:r>
    </w:p>
    <w:p/>
    <w:p>
      <w:pPr>
        <w:ind w:firstLine="708"/>
        <w:jc w:val="both"/>
      </w:pPr>
      <w:r>
        <w:t>(1) Uplatňovanie  niektorých  opatrení  na  organizovanie trhu možno  podmieniť  uzatvorením  písomnej  odvetvovej  dohody  medzi združeniami  podnikateľov. Odvetvová dohoda je záväzná pre uzatvorenie zmluvy medzi kupujúcimi a predavajucimi daného druhu výrobku.</w:t>
      </w:r>
    </w:p>
    <w:p>
      <w:pPr>
        <w:jc w:val="both"/>
      </w:pPr>
    </w:p>
    <w:p>
      <w:pPr>
        <w:ind w:firstLine="708"/>
        <w:jc w:val="both"/>
      </w:pPr>
      <w:r>
        <w:t>(2) Odvetvová dohoda podľa odseku 1 uzavretá medzi orgánmi záujmovej  samosprávy  podnikateľov  upravuje  všeobecné podmienky nákupu najmä druh výrobku, odrodu, kvalitu a množstvo, termíny dodávok, prevzatia  výrobkov a platobných podmienok medzi združeniami  podnikateľov,  ktorí  v  rámci  vzájomného obchodného vzťahu podnikajú v rôznych oblastiach výrobného reťazca.</w:t>
      </w:r>
    </w:p>
    <w:p>
      <w:pPr>
        <w:jc w:val="both"/>
      </w:pPr>
    </w:p>
    <w:p>
      <w:pPr>
        <w:ind w:firstLine="708"/>
        <w:jc w:val="both"/>
      </w:pPr>
      <w:r>
        <w:t xml:space="preserve">(3) Ak </w:t>
      </w:r>
      <w:r>
        <w:t xml:space="preserve"> nedôjde  k uzatvoreniu odvetvovej dohody, za odvetvovú dohodu sa považuje dohoda existujúca pred uzatvorením zmluvy medzi kupujúcimi a predávajúcimi za  podmienky, že k  tejto  dohode pristúpili predávajúci,  ktorých dodávky predstavujú  najmenej 60 % celkového množstva dodávok určených pre kupujúcich.</w:t>
      </w:r>
    </w:p>
    <w:p>
      <w:pPr>
        <w:jc w:val="both"/>
      </w:pPr>
    </w:p>
    <w:p>
      <w:pPr>
        <w:jc w:val="both"/>
      </w:pPr>
    </w:p>
    <w:p>
      <w:pPr>
        <w:jc w:val="center"/>
      </w:pPr>
    </w:p>
    <w:p>
      <w:pPr>
        <w:jc w:val="center"/>
      </w:pPr>
    </w:p>
    <w:p>
      <w:pPr>
        <w:jc w:val="center"/>
      </w:pPr>
      <w:r>
        <w:t>§ 12</w:t>
      </w:r>
    </w:p>
    <w:p>
      <w:pPr>
        <w:jc w:val="center"/>
      </w:pPr>
      <w:r>
        <w:t>Spolufinancovanie</w:t>
      </w:r>
    </w:p>
    <w:p>
      <w:pPr>
        <w:jc w:val="both"/>
      </w:pPr>
    </w:p>
    <w:p>
      <w:pPr>
        <w:ind w:firstLine="708"/>
        <w:jc w:val="both"/>
      </w:pPr>
      <w:r>
        <w:t>(1) Výrobca cukru, izoglukózy a inulínového sirupu je povinný na zabezpečenie  krytia časti strát a nákladov, ktoré vznikli v dôsledku uplatňovania opatrení na organizovanie trhu s výrobkami, uhrádzať odvody z produkcie cukru.</w:t>
      </w:r>
    </w:p>
    <w:p>
      <w:pPr>
        <w:ind w:firstLine="708"/>
        <w:jc w:val="both"/>
      </w:pPr>
    </w:p>
    <w:p>
      <w:pPr>
        <w:ind w:firstLine="708"/>
        <w:jc w:val="both"/>
      </w:pPr>
      <w:r>
        <w:t>(2) Výšku odvodov z produkcie cukru ustanovujú osobitné predpisy</w:t>
      </w:r>
      <w:r>
        <w:rPr>
          <w:rStyle w:val="FootnoteReference"/>
        </w:rPr>
        <w:footnoteReference w:customMarkFollows="1" w:id="21"/>
        <w:t xml:space="preserve">20)</w:t>
      </w:r>
      <w:r>
        <w:t>.</w:t>
      </w:r>
    </w:p>
    <w:p>
      <w:pPr>
        <w:jc w:val="both"/>
      </w:pPr>
    </w:p>
    <w:p>
      <w:pPr>
        <w:pStyle w:val="Footer"/>
        <w:tabs>
          <w:tab w:val="clear" w:pos="4536"/>
          <w:tab w:val="clear" w:pos="9072"/>
        </w:tabs>
        <w:jc w:val="center"/>
      </w:pPr>
      <w:r>
        <w:t>§ 13</w:t>
      </w:r>
    </w:p>
    <w:p>
      <w:pPr>
        <w:pStyle w:val="Heading1"/>
        <w:rPr>
          <w:b w:val="0"/>
          <w:bCs w:val="0"/>
        </w:rPr>
      </w:pPr>
      <w:r>
        <w:rPr>
          <w:b w:val="0"/>
          <w:bCs w:val="0"/>
        </w:rPr>
        <w:t>Dotácie v poľnohospodárstve</w:t>
      </w:r>
    </w:p>
    <w:p>
      <w:pPr>
        <w:jc w:val="center"/>
      </w:pPr>
    </w:p>
    <w:p>
      <w:pPr>
        <w:pStyle w:val="BodyTextIndent2"/>
      </w:pPr>
      <w:r>
        <w:t>(1) Účelom dotácii v poľnohospodárstve je ustanoviť podporné a ochranné  opatrenia na vyrovnanie prirodzených hospodárskych nevýhod podnikania a rizík v  poľnohospodárstve a na podporu produkčných a mimoprodukčných funkcií poľnohospodárstva zameraných na zabezpečenie potravinovej bezpečnosti a konkurencieschopnosti domácej  výroby,  na  ochranu  zložiek  životného  prostredia a na tvorbu a udržiavanie kultúrnej vidieckej krajiny.</w:t>
      </w:r>
    </w:p>
    <w:p/>
    <w:p>
      <w:pPr>
        <w:ind w:firstLine="708"/>
      </w:pPr>
      <w:r>
        <w:t>(2) Dotácie podľa odseku 1 možno poskytnúť na</w:t>
      </w:r>
    </w:p>
    <w:p>
      <w:pPr>
        <w:numPr>
          <w:ilvl w:val="0"/>
          <w:numId w:val="6"/>
        </w:numPr>
        <w:jc w:val="both"/>
      </w:pPr>
      <w:r>
        <w:t>štrukturálne zmeny poľnohospodárstva v záujme konkurencieschopnosti jeho produkcie  na  trhu,  na  podporu  obstarávania výkonných  vstupov do výroby  a podporu spotreby,  a spracovania, odbytu a na útlm iných odvetví poľnohospodárskej výroby, najmä na zatrávňovanie  poľnohospodárskych pozemkov vrátane podpory doplnkových činností  a  na  produkciu výrobkov na nepotravinárske využitie,</w:t>
      </w:r>
    </w:p>
    <w:p>
      <w:pPr>
        <w:numPr>
          <w:ilvl w:val="0"/>
          <w:numId w:val="6"/>
        </w:numPr>
        <w:jc w:val="both"/>
      </w:pPr>
      <w:r>
        <w:t>ú</w:t>
      </w:r>
      <w:r>
        <w:t>hradu  nákladov na  prevenciu, kontrolu  a eradikáciu  chorôb zvierat</w:t>
      </w:r>
      <w:r>
        <w:rPr>
          <w:rStyle w:val="FootnoteReference"/>
        </w:rPr>
        <w:footnoteReference w:customMarkFollows="1" w:id="22"/>
        <w:t xml:space="preserve">21)</w:t>
      </w:r>
      <w:r>
        <w:t xml:space="preserve">  do 50% škody,   ktorá vznikla nariadením mimoriadneho veterinárneho opatrenia vlastníkovi hospodárskych zvierat a úhradu nákladov na prevenciu, kontrolu a eradikáciu škodlivých organizmov do 50 % škody, ktorá vznikla na základe vyhlásených fytosanitárnych opatrení</w:t>
      </w:r>
      <w:r>
        <w:rPr>
          <w:rStyle w:val="FootnoteReference"/>
        </w:rPr>
        <w:footnoteReference w:customMarkFollows="1" w:id="23"/>
        <w:t xml:space="preserve">22)</w:t>
      </w:r>
      <w:r>
        <w:t xml:space="preserve"> na predchádzanie a rozširovanie škodlivých organizmov</w:t>
      </w:r>
    </w:p>
    <w:p>
      <w:pPr>
        <w:numPr>
          <w:ilvl w:val="0"/>
          <w:numId w:val="6"/>
        </w:numPr>
        <w:jc w:val="both"/>
      </w:pPr>
      <w:r>
        <w:t>nákup, zachovanie a starostlivosť o genofond zvierat</w:t>
      </w:r>
      <w:r>
        <w:rPr>
          <w:rStyle w:val="FootnoteReference"/>
        </w:rPr>
        <w:footnoteReference w:customMarkFollows="1" w:id="24"/>
        <w:t xml:space="preserve">23)</w:t>
      </w:r>
      <w:r>
        <w:rPr>
          <w:vertAlign w:val="superscript"/>
        </w:rPr>
        <w:t xml:space="preserve">  </w:t>
      </w:r>
      <w:r>
        <w:t>a rastlín</w:t>
      </w:r>
      <w:r>
        <w:rPr>
          <w:rStyle w:val="FootnoteReference"/>
        </w:rPr>
        <w:footnoteReference w:customMarkFollows="1" w:id="25"/>
        <w:t xml:space="preserve">24)</w:t>
      </w:r>
      <w:r>
        <w:t xml:space="preserve">, </w:t>
      </w:r>
    </w:p>
    <w:p>
      <w:pPr>
        <w:numPr>
          <w:ilvl w:val="0"/>
          <w:numId w:val="6"/>
        </w:numPr>
        <w:jc w:val="both"/>
      </w:pPr>
      <w:r>
        <w:t>čiastočnú úhradu úrokov z investičných úverov na modernizáciu poľnohospodárskych technológií, ako aj úrokov z úverov na prevádzkovú činnosť spojenú s modernizáciou výroby,</w:t>
      </w:r>
    </w:p>
    <w:p>
      <w:pPr>
        <w:numPr>
          <w:ilvl w:val="0"/>
          <w:numId w:val="6"/>
        </w:numPr>
        <w:jc w:val="both"/>
      </w:pPr>
      <w:r>
        <w:t xml:space="preserve">úhradu škody v rastlinnej výrobe spôsobenej v dôsledku sucha, podmáčania, chorôb  rastlín  alebo škodcov rastlín, </w:t>
      </w:r>
    </w:p>
    <w:p>
      <w:pPr>
        <w:numPr>
          <w:ilvl w:val="0"/>
          <w:numId w:val="6"/>
        </w:numPr>
        <w:jc w:val="both"/>
      </w:pPr>
      <w:r>
        <w:t>účasť na veľtrhoch, výstavách a súťažiach a pre súťažiacich,</w:t>
      </w:r>
    </w:p>
    <w:p>
      <w:pPr>
        <w:numPr>
          <w:ilvl w:val="0"/>
          <w:numId w:val="6"/>
        </w:numPr>
        <w:jc w:val="both"/>
      </w:pPr>
      <w:r>
        <w:t>poradenstvo a vzdelávanie, vznik a činnosť regionálnych združení podnikateľov a celoslovenských zväzov podnikateľov,</w:t>
      </w:r>
    </w:p>
    <w:p>
      <w:pPr>
        <w:numPr>
          <w:ilvl w:val="0"/>
          <w:numId w:val="6"/>
        </w:numPr>
        <w:jc w:val="both"/>
      </w:pPr>
      <w:r>
        <w:t>chov hospodárskych zvierat historického významu,</w:t>
      </w:r>
    </w:p>
    <w:p>
      <w:pPr>
        <w:numPr>
          <w:ilvl w:val="0"/>
          <w:numId w:val="6"/>
        </w:numPr>
        <w:jc w:val="both"/>
      </w:pPr>
      <w:r>
        <w:t>využívanie závlahových zariadení na odber, prívod a rozvod závlahovej vody,</w:t>
      </w:r>
    </w:p>
    <w:p>
      <w:pPr>
        <w:numPr>
          <w:ilvl w:val="0"/>
          <w:numId w:val="6"/>
        </w:numPr>
        <w:jc w:val="both"/>
      </w:pPr>
      <w:r>
        <w:t>platenie poistného,</w:t>
      </w:r>
    </w:p>
    <w:p>
      <w:pPr>
        <w:numPr>
          <w:ilvl w:val="0"/>
          <w:numId w:val="6"/>
        </w:numPr>
        <w:jc w:val="both"/>
      </w:pPr>
      <w:r>
        <w:t xml:space="preserve">investície v poľnohospodárstve. </w:t>
      </w:r>
    </w:p>
    <w:p/>
    <w:p>
      <w:pPr>
        <w:jc w:val="center"/>
      </w:pPr>
    </w:p>
    <w:p>
      <w:pPr>
        <w:jc w:val="center"/>
      </w:pPr>
      <w:r>
        <w:t>§ 14</w:t>
      </w:r>
    </w:p>
    <w:p>
      <w:pPr>
        <w:pStyle w:val="Heading1"/>
        <w:rPr>
          <w:b w:val="0"/>
          <w:bCs w:val="0"/>
        </w:rPr>
      </w:pPr>
      <w:r>
        <w:rPr>
          <w:b w:val="0"/>
          <w:bCs w:val="0"/>
        </w:rPr>
        <w:t xml:space="preserve">Dotácie v potravinárstve </w:t>
      </w:r>
    </w:p>
    <w:p>
      <w:pPr>
        <w:jc w:val="center"/>
        <w:rPr>
          <w:b/>
          <w:bCs/>
        </w:rPr>
      </w:pPr>
    </w:p>
    <w:p>
      <w:pPr>
        <w:pStyle w:val="BodyTextIndent2"/>
      </w:pPr>
      <w:r>
        <w:t>(1) Účelom dotácii v potravinárstve je zabezpečiť dodržiavanie všeobecných zásad a požiadaviek na  bezpečnosť potravín a vytvoriť predpoklady na výrobu potravín s chráneným označením pôvodu, potravín chránených zemepisným označením a potravín s certifikáciou špecifického cha</w:t>
      </w:r>
      <w:r>
        <w:t xml:space="preserve">rakteru.  </w:t>
      </w:r>
    </w:p>
    <w:p/>
    <w:p>
      <w:pPr>
        <w:ind w:firstLine="708"/>
        <w:jc w:val="both"/>
      </w:pPr>
      <w:r>
        <w:t>(2) Dotácie podľa odseku 1 možno poskytnúť na</w:t>
      </w:r>
    </w:p>
    <w:p>
      <w:pPr>
        <w:numPr>
          <w:ilvl w:val="0"/>
          <w:numId w:val="7"/>
        </w:numPr>
        <w:jc w:val="both"/>
      </w:pPr>
      <w:r>
        <w:t>technológiu súvisiacu s výrobou potravín</w:t>
      </w:r>
      <w:r>
        <w:rPr>
          <w:rStyle w:val="FootnoteReference"/>
        </w:rPr>
        <w:footnoteReference w:customMarkFollows="1" w:id="26"/>
        <w:t xml:space="preserve">25)</w:t>
      </w:r>
      <w:r>
        <w:t xml:space="preserve"> s použitím tradičných surovín, potravín s tradičným  zložením, tradičným spôsobom výroby alebo spracovania a na potraviny  s  chráneným  označením  pôvodu a chráneným zemepisným označením v oblasti politiky kvality,</w:t>
      </w:r>
    </w:p>
    <w:p>
      <w:pPr>
        <w:numPr>
          <w:ilvl w:val="0"/>
          <w:numId w:val="7"/>
        </w:numPr>
        <w:jc w:val="both"/>
      </w:pPr>
      <w:r>
        <w:t>dosiahnutie štandardov hygieny prevádzok a bezpečnosti potravín, systémov kvality a systém environmentálneho manažmentu, zvyšovanie funkčnosti a účinnosti správnej výrobnej praxe a systému zabezpečenia hygieny potravín,</w:t>
      </w:r>
    </w:p>
    <w:p>
      <w:pPr>
        <w:numPr>
          <w:ilvl w:val="0"/>
          <w:numId w:val="7"/>
        </w:numPr>
        <w:jc w:val="both"/>
      </w:pPr>
      <w:r>
        <w:t>poradenstvo,   vzdelávanie,  vznik   a  činnosť   regionálnych združení podnikateľov na účely politiky kvality,</w:t>
      </w:r>
    </w:p>
    <w:p>
      <w:pPr>
        <w:numPr>
          <w:ilvl w:val="0"/>
          <w:numId w:val="7"/>
        </w:numPr>
        <w:jc w:val="both"/>
      </w:pPr>
      <w:r>
        <w:t xml:space="preserve">propagáciu odbytu a spotreby vybraných výrobkov, </w:t>
      </w:r>
    </w:p>
    <w:p>
      <w:pPr>
        <w:numPr>
          <w:ilvl w:val="0"/>
          <w:numId w:val="7"/>
        </w:numPr>
        <w:jc w:val="both"/>
      </w:pPr>
      <w:r>
        <w:t>účasť na veľtrhoch, výstavách a súťažiach a pre súťažiacich,</w:t>
      </w:r>
    </w:p>
    <w:p>
      <w:pPr>
        <w:numPr>
          <w:ilvl w:val="0"/>
          <w:numId w:val="7"/>
        </w:numPr>
        <w:jc w:val="both"/>
      </w:pPr>
      <w:r>
        <w:t>investí</w:t>
      </w:r>
      <w:r>
        <w:t xml:space="preserve">cie v potravinárstve. </w:t>
      </w:r>
    </w:p>
    <w:p/>
    <w:p>
      <w:pPr>
        <w:jc w:val="center"/>
      </w:pPr>
      <w:r>
        <w:t>§ 15</w:t>
      </w:r>
    </w:p>
    <w:p>
      <w:pPr>
        <w:pStyle w:val="Heading1"/>
        <w:rPr>
          <w:b w:val="0"/>
          <w:bCs w:val="0"/>
        </w:rPr>
      </w:pPr>
      <w:r>
        <w:rPr>
          <w:b w:val="0"/>
          <w:bCs w:val="0"/>
        </w:rPr>
        <w:t xml:space="preserve">Dotácie v lesnom hospodárstve </w:t>
      </w:r>
    </w:p>
    <w:p>
      <w:pPr>
        <w:jc w:val="center"/>
        <w:rPr>
          <w:b/>
          <w:bCs/>
        </w:rPr>
      </w:pPr>
    </w:p>
    <w:p>
      <w:pPr>
        <w:pStyle w:val="BodyText"/>
      </w:pPr>
      <w:r>
        <w:tab/>
        <w:t xml:space="preserve">(1) Účelom dotácií v lesnom hospodárstve je podporiť hospodárenie v lesoch, obnovu, ochranu a výchovu lesných porastov a tým zabezpečiť trvalo udržateľné obhospodarovanie lesov a rozvoj lesného </w:t>
      </w:r>
      <w:r>
        <w:t xml:space="preserve">hospodárstva. </w:t>
      </w:r>
    </w:p>
    <w:p>
      <w:pPr>
        <w:jc w:val="both"/>
      </w:pPr>
    </w:p>
    <w:p>
      <w:pPr>
        <w:ind w:firstLine="708"/>
        <w:jc w:val="both"/>
      </w:pPr>
      <w:r>
        <w:t>(2) Dotácie podľa odseku 1 možno poskytnúť na</w:t>
      </w:r>
    </w:p>
    <w:p>
      <w:pPr>
        <w:numPr>
          <w:ilvl w:val="0"/>
          <w:numId w:val="8"/>
        </w:numPr>
        <w:jc w:val="both"/>
      </w:pPr>
      <w:r>
        <w:t>trvalo udržateľné obhospodarovanie lesov a dlhodobo udržateľný rozvoj lesného hospodárstva a na zalesňovanie poľnohospodárskych pozemkov,</w:t>
      </w:r>
    </w:p>
    <w:p>
      <w:pPr>
        <w:numPr>
          <w:ilvl w:val="0"/>
          <w:numId w:val="8"/>
        </w:numPr>
        <w:jc w:val="both"/>
      </w:pPr>
      <w:r>
        <w:t>odborné obhospodarovanie lesov,</w:t>
      </w:r>
    </w:p>
    <w:p>
      <w:pPr>
        <w:numPr>
          <w:ilvl w:val="0"/>
          <w:numId w:val="8"/>
        </w:numPr>
        <w:jc w:val="both"/>
      </w:pPr>
      <w:r>
        <w:t>obnovu lesov poškodených škodlivými činiteľmi a na zavedenie ochranných,   ozdravných   a  preventívnych opatrení,</w:t>
      </w:r>
    </w:p>
    <w:p>
      <w:pPr>
        <w:numPr>
          <w:ilvl w:val="0"/>
          <w:numId w:val="8"/>
        </w:numPr>
        <w:jc w:val="both"/>
      </w:pPr>
      <w:r>
        <w:t xml:space="preserve">investície  na rozvoj  produkcie a  spracovanie surového dreva pred priemyselným spracovaním a realizáciu lesnej produkcie, </w:t>
      </w:r>
    </w:p>
    <w:p>
      <w:pPr>
        <w:numPr>
          <w:ilvl w:val="0"/>
          <w:numId w:val="8"/>
        </w:numPr>
        <w:jc w:val="both"/>
      </w:pPr>
      <w:r>
        <w:t>združovanie  vlastníkov  lesov  do  výmery  50  hektárov do združení s právnou subjektivitou</w:t>
      </w:r>
      <w:r>
        <w:rPr>
          <w:rStyle w:val="FootnoteReference"/>
        </w:rPr>
        <w:footnoteReference w:customMarkFollows="1" w:id="27"/>
        <w:t xml:space="preserve">26)</w:t>
      </w:r>
      <w:r>
        <w:t xml:space="preserve">, </w:t>
      </w:r>
    </w:p>
    <w:p>
      <w:pPr>
        <w:numPr>
          <w:ilvl w:val="0"/>
          <w:numId w:val="8"/>
        </w:numPr>
        <w:jc w:val="both"/>
      </w:pPr>
      <w:r>
        <w:t>poradenstvo a vzdelávanie, vznik a činnosť regionálnych združení užívateľov a vlastníkov lesa,</w:t>
      </w:r>
    </w:p>
    <w:p>
      <w:pPr>
        <w:numPr>
          <w:ilvl w:val="0"/>
          <w:numId w:val="8"/>
        </w:numPr>
        <w:jc w:val="both"/>
      </w:pPr>
      <w:r>
        <w:t>účasť na veľtrhoch, výstavách a súťažiach a pre súťažiacich,</w:t>
      </w:r>
    </w:p>
    <w:p>
      <w:pPr>
        <w:numPr>
          <w:ilvl w:val="0"/>
          <w:numId w:val="8"/>
        </w:numPr>
        <w:jc w:val="both"/>
      </w:pPr>
      <w:r>
        <w:t>platenie poistného,</w:t>
      </w:r>
    </w:p>
    <w:p>
      <w:pPr>
        <w:numPr>
          <w:ilvl w:val="0"/>
          <w:numId w:val="8"/>
        </w:numPr>
        <w:jc w:val="both"/>
      </w:pPr>
      <w:r>
        <w:t xml:space="preserve">zachovanie ohrozeného </w:t>
      </w:r>
      <w:r>
        <w:t xml:space="preserve">genofondu lesných drevín. </w:t>
      </w:r>
    </w:p>
    <w:p>
      <w:pPr>
        <w:jc w:val="both"/>
      </w:pPr>
    </w:p>
    <w:p>
      <w:pPr>
        <w:jc w:val="center"/>
      </w:pPr>
    </w:p>
    <w:p>
      <w:pPr>
        <w:jc w:val="center"/>
      </w:pPr>
    </w:p>
    <w:p>
      <w:pPr>
        <w:jc w:val="center"/>
      </w:pPr>
    </w:p>
    <w:p>
      <w:pPr>
        <w:jc w:val="center"/>
      </w:pPr>
      <w:r>
        <w:t>§ 16</w:t>
      </w:r>
    </w:p>
    <w:p>
      <w:pPr>
        <w:pStyle w:val="Heading1"/>
        <w:rPr>
          <w:b w:val="0"/>
          <w:bCs w:val="0"/>
        </w:rPr>
      </w:pPr>
      <w:r>
        <w:rPr>
          <w:b w:val="0"/>
          <w:bCs w:val="0"/>
        </w:rPr>
        <w:t>Poskytovanie dotácií</w:t>
      </w:r>
    </w:p>
    <w:p>
      <w:pPr>
        <w:jc w:val="center"/>
      </w:pPr>
    </w:p>
    <w:p>
      <w:pPr>
        <w:ind w:firstLine="708"/>
        <w:jc w:val="both"/>
      </w:pPr>
      <w:r>
        <w:t xml:space="preserve">(1) Dotácia podľa  § 13, 14 a 15 sa  poskytuje na základe písomnej žiadosti. </w:t>
      </w:r>
    </w:p>
    <w:p>
      <w:pPr>
        <w:ind w:firstLine="708"/>
        <w:jc w:val="both"/>
      </w:pPr>
    </w:p>
    <w:p>
      <w:pPr>
        <w:ind w:firstLine="708"/>
        <w:jc w:val="both"/>
      </w:pPr>
      <w:r>
        <w:t>(2) Žiadosť o poskytnutie dotácie obsahuje</w:t>
      </w:r>
    </w:p>
    <w:p>
      <w:pPr>
        <w:numPr>
          <w:ilvl w:val="0"/>
          <w:numId w:val="9"/>
        </w:numPr>
        <w:jc w:val="both"/>
      </w:pPr>
      <w:r>
        <w:t>u fyzickej osoby meno, priezvisko, miesto trvalého bydliska, rodné číslo, u </w:t>
      </w:r>
      <w:r>
        <w:t>právnickej osoby obchodný názov, sídlo firmy,</w:t>
      </w:r>
    </w:p>
    <w:p>
      <w:pPr>
        <w:numPr>
          <w:ilvl w:val="0"/>
          <w:numId w:val="9"/>
        </w:numPr>
        <w:jc w:val="both"/>
      </w:pPr>
      <w:r>
        <w:t>výpis z obchodného registra, výpis zo živnostenského registra alebo z inej obdobnej evidencie  nie starší ako 60 dní,</w:t>
      </w:r>
    </w:p>
    <w:p>
      <w:pPr>
        <w:numPr>
          <w:ilvl w:val="0"/>
          <w:numId w:val="9"/>
        </w:numPr>
        <w:jc w:val="both"/>
      </w:pPr>
      <w:r>
        <w:t>číslo účtu v banke alebo v pobočke zahraničnej banky podnikateľa v pôdohospodárstve,</w:t>
      </w:r>
    </w:p>
    <w:p>
      <w:pPr>
        <w:numPr>
          <w:ilvl w:val="0"/>
          <w:numId w:val="9"/>
        </w:numPr>
        <w:jc w:val="both"/>
      </w:pPr>
      <w:r>
        <w:t>účel, na ktorý sa má dotácia poskytnúť,</w:t>
      </w:r>
    </w:p>
    <w:p>
      <w:pPr>
        <w:numPr>
          <w:ilvl w:val="0"/>
          <w:numId w:val="9"/>
        </w:numPr>
        <w:jc w:val="both"/>
      </w:pPr>
      <w:r>
        <w:t xml:space="preserve">požadovanú výšku dotácie, </w:t>
      </w:r>
    </w:p>
    <w:p>
      <w:pPr>
        <w:numPr>
          <w:ilvl w:val="0"/>
          <w:numId w:val="9"/>
        </w:numPr>
        <w:jc w:val="both"/>
      </w:pPr>
      <w:r>
        <w:t>prílohu podľa jednotlivých druhov dotácií.</w:t>
      </w:r>
    </w:p>
    <w:p>
      <w:pPr>
        <w:jc w:val="both"/>
      </w:pPr>
    </w:p>
    <w:p>
      <w:pPr>
        <w:ind w:firstLine="708"/>
      </w:pPr>
      <w:r>
        <w:t>(3) Dotácia podľa § 13 až 15 nemožno poskytnúť tomu, kto</w:t>
      </w:r>
    </w:p>
    <w:p>
      <w:pPr>
        <w:numPr>
          <w:ilvl w:val="0"/>
          <w:numId w:val="10"/>
        </w:numPr>
      </w:pPr>
      <w:r>
        <w:t>je v likvidácii</w:t>
      </w:r>
      <w:r>
        <w:rPr>
          <w:rStyle w:val="FootnoteReference"/>
        </w:rPr>
        <w:footnoteReference w:customMarkFollows="1" w:id="28"/>
        <w:t xml:space="preserve">27)</w:t>
      </w:r>
      <w:r>
        <w:t xml:space="preserve"> alebo bol na neho vyhlásený konkurz alebo je spriaznenou osobou</w:t>
      </w:r>
      <w:r>
        <w:rPr>
          <w:rStyle w:val="FootnoteReference"/>
        </w:rPr>
        <w:footnoteReference w:customMarkFollows="1" w:id="29"/>
        <w:t xml:space="preserve">28)</w:t>
      </w:r>
      <w:r>
        <w:t xml:space="preserve"> podnikateľa, ktorý je v likvidácii alebo v konkurze, alebo sa voči nemu vedie exekučné konanie. </w:t>
      </w:r>
    </w:p>
    <w:p>
      <w:pPr>
        <w:numPr>
          <w:ilvl w:val="0"/>
          <w:numId w:val="10"/>
        </w:numPr>
      </w:pPr>
      <w:r>
        <w:t>je rozpočtovou organizáciou alebo príspevkovou organizáciou,</w:t>
      </w:r>
    </w:p>
    <w:p>
      <w:pPr>
        <w:numPr>
          <w:ilvl w:val="0"/>
          <w:numId w:val="10"/>
        </w:numPr>
        <w:jc w:val="both"/>
      </w:pPr>
      <w:r>
        <w:t>porušil zákaz nelegálneho zamestnania podľa osobitného predpisu</w:t>
      </w:r>
      <w:r>
        <w:rPr>
          <w:rStyle w:val="FootnoteReference"/>
        </w:rPr>
        <w:footnoteReference w:customMarkFollows="1" w:id="30"/>
        <w:t xml:space="preserve">29)</w:t>
      </w:r>
      <w:r>
        <w:t xml:space="preserve"> počas piatich rokov odo dňa prerokovania</w:t>
      </w:r>
      <w:r>
        <w:t xml:space="preserve"> protokolu o výsledku kontroly; neporušenie zákazu nelegálneho  zamestnávania sa preukazuje potvrdením príslušného inšpektorátu práce nie starším ako tri mesiace.</w:t>
      </w:r>
    </w:p>
    <w:p/>
    <w:p>
      <w:pPr>
        <w:pStyle w:val="BodyTextIndent2"/>
      </w:pPr>
      <w:r>
        <w:t>(4) Podrobnosti o poskytovaní dotácie podľa § 13 až 15 a o obsahu a vzoroch príloh k jednotlivým žiadostiam a predpísaných tlačivách ustanoví všeobecne záväzný právny predpis, ktorý vydá ministerstvo.</w:t>
      </w:r>
    </w:p>
    <w:p>
      <w:pPr>
        <w:jc w:val="center"/>
      </w:pPr>
    </w:p>
    <w:p>
      <w:pPr>
        <w:jc w:val="center"/>
      </w:pPr>
      <w:r>
        <w:t>SPRÁVNE DELIKTY</w:t>
      </w:r>
    </w:p>
    <w:p/>
    <w:p>
      <w:pPr>
        <w:jc w:val="center"/>
      </w:pPr>
      <w:r>
        <w:t>§ 17</w:t>
      </w:r>
    </w:p>
    <w:p/>
    <w:p>
      <w:pPr>
        <w:ind w:firstLine="708"/>
        <w:rPr>
          <w:szCs w:val="20"/>
        </w:rPr>
      </w:pPr>
      <w:r>
        <w:rPr>
          <w:szCs w:val="20"/>
        </w:rPr>
        <w:t>(1) Platobná agentúra uloží pokutu až do 5 000 000 Sk tomu, kto</w:t>
      </w:r>
    </w:p>
    <w:p>
      <w:pPr>
        <w:numPr>
          <w:ilvl w:val="0"/>
          <w:numId w:val="11"/>
        </w:numPr>
        <w:rPr>
          <w:szCs w:val="20"/>
        </w:rPr>
      </w:pPr>
      <w:r>
        <w:rPr>
          <w:szCs w:val="20"/>
        </w:rPr>
        <w:t xml:space="preserve">neposkytne platobnej agentúre informácie nevyhnutné na jej </w:t>
      </w:r>
      <w:r>
        <w:rPr>
          <w:rFonts w:hint="eastAsia"/>
          <w:szCs w:val="20"/>
        </w:rPr>
        <w:t>č</w:t>
      </w:r>
      <w:r>
        <w:rPr>
          <w:szCs w:val="20"/>
        </w:rPr>
        <w:t>innos</w:t>
      </w:r>
      <w:r>
        <w:rPr>
          <w:rFonts w:hint="eastAsia"/>
          <w:szCs w:val="20"/>
        </w:rPr>
        <w:t>ť</w:t>
      </w:r>
      <w:r>
        <w:rPr>
          <w:szCs w:val="20"/>
        </w:rPr>
        <w:t xml:space="preserve">, </w:t>
      </w:r>
    </w:p>
    <w:p>
      <w:pPr>
        <w:numPr>
          <w:ilvl w:val="0"/>
          <w:numId w:val="11"/>
        </w:numPr>
        <w:rPr>
          <w:szCs w:val="20"/>
        </w:rPr>
      </w:pPr>
      <w:r>
        <w:rPr>
          <w:szCs w:val="20"/>
        </w:rPr>
        <w:t xml:space="preserve">poskytne platobnej agentúre nepravdivé informácie, </w:t>
      </w:r>
    </w:p>
    <w:p>
      <w:pPr>
        <w:numPr>
          <w:ilvl w:val="0"/>
          <w:numId w:val="11"/>
        </w:numPr>
        <w:rPr>
          <w:szCs w:val="20"/>
        </w:rPr>
      </w:pPr>
      <w:r>
        <w:rPr>
          <w:szCs w:val="20"/>
        </w:rPr>
        <w:t xml:space="preserve">bráni plneniu oprávnení osôb vykonávajúcich kontrolu, </w:t>
      </w:r>
    </w:p>
    <w:p>
      <w:pPr>
        <w:numPr>
          <w:ilvl w:val="0"/>
          <w:numId w:val="11"/>
        </w:numPr>
        <w:jc w:val="both"/>
        <w:rPr>
          <w:szCs w:val="20"/>
        </w:rPr>
      </w:pPr>
      <w:r>
        <w:rPr>
          <w:szCs w:val="20"/>
        </w:rPr>
        <w:t xml:space="preserve">poruší opatrenia na organizovanie trhu, </w:t>
      </w:r>
    </w:p>
    <w:p>
      <w:pPr>
        <w:numPr>
          <w:ilvl w:val="0"/>
          <w:numId w:val="11"/>
        </w:numPr>
        <w:jc w:val="both"/>
        <w:rPr>
          <w:szCs w:val="20"/>
        </w:rPr>
      </w:pPr>
      <w:r>
        <w:rPr>
          <w:szCs w:val="20"/>
        </w:rPr>
        <w:t>neodstráni z trhu ur</w:t>
      </w:r>
      <w:r>
        <w:rPr>
          <w:rFonts w:hint="eastAsia"/>
          <w:szCs w:val="20"/>
        </w:rPr>
        <w:t>č</w:t>
      </w:r>
      <w:r>
        <w:rPr>
          <w:szCs w:val="20"/>
        </w:rPr>
        <w:t>ené množstvo výrobkov</w:t>
      </w:r>
      <w:r>
        <w:rPr>
          <w:rStyle w:val="FootnoteReference"/>
          <w:szCs w:val="20"/>
        </w:rPr>
        <w:footnoteReference w:customMarkFollows="1" w:id="31"/>
        <w:t xml:space="preserve">30)</w:t>
      </w:r>
      <w:r>
        <w:rPr>
          <w:szCs w:val="20"/>
        </w:rPr>
        <w:t>.</w:t>
      </w:r>
    </w:p>
    <w:p>
      <w:pPr>
        <w:jc w:val="both"/>
        <w:rPr>
          <w:szCs w:val="20"/>
        </w:rPr>
      </w:pPr>
    </w:p>
    <w:p>
      <w:pPr>
        <w:ind w:firstLine="708"/>
        <w:jc w:val="both"/>
        <w:rPr>
          <w:szCs w:val="20"/>
        </w:rPr>
      </w:pPr>
      <w:r>
        <w:rPr>
          <w:szCs w:val="20"/>
        </w:rPr>
        <w:t>(2) Pri ur</w:t>
      </w:r>
      <w:r>
        <w:rPr>
          <w:rFonts w:hint="eastAsia"/>
          <w:szCs w:val="20"/>
        </w:rPr>
        <w:t>č</w:t>
      </w:r>
      <w:r>
        <w:rPr>
          <w:szCs w:val="20"/>
        </w:rPr>
        <w:t>ení výšky pokuty sa prihliada na závažnos</w:t>
      </w:r>
      <w:r>
        <w:rPr>
          <w:rFonts w:hint="eastAsia"/>
          <w:szCs w:val="20"/>
        </w:rPr>
        <w:t>ť</w:t>
      </w:r>
      <w:r>
        <w:rPr>
          <w:szCs w:val="20"/>
        </w:rPr>
        <w:t xml:space="preserve"> protiprávneho konania, spôsob a </w:t>
      </w:r>
      <w:r>
        <w:rPr>
          <w:rFonts w:hint="eastAsia"/>
          <w:szCs w:val="20"/>
        </w:rPr>
        <w:t>č</w:t>
      </w:r>
      <w:r>
        <w:rPr>
          <w:szCs w:val="20"/>
        </w:rPr>
        <w:t>as trvania, ako aj na možné následky tohto konania.</w:t>
      </w:r>
    </w:p>
    <w:p>
      <w:pPr>
        <w:ind w:firstLine="708"/>
        <w:jc w:val="both"/>
        <w:rPr>
          <w:szCs w:val="20"/>
        </w:rPr>
      </w:pPr>
    </w:p>
    <w:p>
      <w:pPr>
        <w:ind w:firstLine="708"/>
        <w:jc w:val="both"/>
        <w:rPr>
          <w:szCs w:val="20"/>
        </w:rPr>
      </w:pPr>
      <w:r>
        <w:rPr>
          <w:szCs w:val="20"/>
        </w:rPr>
        <w:t>(3) Pokutu pod</w:t>
      </w:r>
      <w:r>
        <w:rPr>
          <w:rFonts w:hint="eastAsia"/>
          <w:szCs w:val="20"/>
        </w:rPr>
        <w:t>ľ</w:t>
      </w:r>
      <w:r>
        <w:rPr>
          <w:szCs w:val="20"/>
        </w:rPr>
        <w:t>a odseku 1 možno uloži</w:t>
      </w:r>
      <w:r>
        <w:rPr>
          <w:rFonts w:hint="eastAsia"/>
          <w:szCs w:val="20"/>
        </w:rPr>
        <w:t>ť</w:t>
      </w:r>
      <w:r>
        <w:rPr>
          <w:szCs w:val="20"/>
        </w:rPr>
        <w:t xml:space="preserve"> do jedného roka odo d</w:t>
      </w:r>
      <w:r>
        <w:rPr>
          <w:rFonts w:hint="eastAsia"/>
          <w:szCs w:val="20"/>
        </w:rPr>
        <w:t>ň</w:t>
      </w:r>
      <w:r>
        <w:rPr>
          <w:szCs w:val="20"/>
        </w:rPr>
        <w:t>a, ke</w:t>
      </w:r>
      <w:r>
        <w:rPr>
          <w:rFonts w:hint="eastAsia"/>
          <w:szCs w:val="20"/>
        </w:rPr>
        <w:t>ď</w:t>
      </w:r>
      <w:r>
        <w:rPr>
          <w:szCs w:val="20"/>
        </w:rPr>
        <w:t xml:space="preserve"> platobná agentúra zistila porušenie povinností, najneskôr do troch rokov odo d</w:t>
      </w:r>
      <w:r>
        <w:rPr>
          <w:rFonts w:hint="eastAsia"/>
          <w:szCs w:val="20"/>
        </w:rPr>
        <w:t>ň</w:t>
      </w:r>
      <w:r>
        <w:rPr>
          <w:szCs w:val="20"/>
        </w:rPr>
        <w:t>a, ke</w:t>
      </w:r>
      <w:r>
        <w:rPr>
          <w:rFonts w:hint="eastAsia"/>
          <w:szCs w:val="20"/>
        </w:rPr>
        <w:t>ď</w:t>
      </w:r>
      <w:r>
        <w:rPr>
          <w:szCs w:val="20"/>
        </w:rPr>
        <w:t xml:space="preserve"> došlo k poru</w:t>
      </w:r>
      <w:r>
        <w:rPr>
          <w:szCs w:val="20"/>
        </w:rPr>
        <w:t>šeniu povinností.</w:t>
      </w:r>
    </w:p>
    <w:p>
      <w:pPr>
        <w:ind w:firstLine="708"/>
        <w:jc w:val="both"/>
        <w:rPr>
          <w:szCs w:val="20"/>
        </w:rPr>
      </w:pPr>
    </w:p>
    <w:p>
      <w:pPr>
        <w:ind w:firstLine="708"/>
        <w:jc w:val="both"/>
        <w:rPr>
          <w:szCs w:val="20"/>
        </w:rPr>
      </w:pPr>
      <w:r>
        <w:rPr>
          <w:szCs w:val="20"/>
        </w:rPr>
        <w:t>(4) Výnos z pokút je príjmom štátneho rozpo</w:t>
      </w:r>
      <w:r>
        <w:rPr>
          <w:rFonts w:hint="eastAsia"/>
          <w:szCs w:val="20"/>
        </w:rPr>
        <w:t>č</w:t>
      </w:r>
      <w:r>
        <w:rPr>
          <w:szCs w:val="20"/>
        </w:rPr>
        <w:t>tu.</w:t>
      </w:r>
    </w:p>
    <w:p>
      <w:pPr>
        <w:ind w:firstLine="708"/>
        <w:jc w:val="both"/>
        <w:rPr>
          <w:szCs w:val="20"/>
        </w:rPr>
      </w:pPr>
    </w:p>
    <w:p>
      <w:pPr>
        <w:ind w:firstLine="708"/>
        <w:jc w:val="both"/>
        <w:rPr>
          <w:szCs w:val="20"/>
        </w:rPr>
      </w:pPr>
      <w:r>
        <w:rPr>
          <w:szCs w:val="20"/>
        </w:rPr>
        <w:t>(5) Pokutu podľa odsekov 1 až 3 možno uložiť vtedy, ak osobitné predpisy   neustanovujú inak</w:t>
      </w:r>
      <w:r>
        <w:rPr>
          <w:szCs w:val="20"/>
          <w:vertAlign w:val="superscript"/>
        </w:rPr>
        <w:t>30)</w:t>
      </w:r>
      <w:r>
        <w:rPr>
          <w:szCs w:val="20"/>
        </w:rPr>
        <w:t xml:space="preserve">. </w:t>
      </w:r>
    </w:p>
    <w:p>
      <w:pPr>
        <w:jc w:val="center"/>
      </w:pPr>
    </w:p>
    <w:p>
      <w:pPr>
        <w:jc w:val="center"/>
      </w:pPr>
      <w:r>
        <w:t>§ 18</w:t>
      </w:r>
    </w:p>
    <w:p>
      <w:pPr>
        <w:jc w:val="center"/>
      </w:pPr>
    </w:p>
    <w:p>
      <w:pPr>
        <w:ind w:firstLine="708"/>
        <w:jc w:val="both"/>
      </w:pPr>
      <w:r>
        <w:t>(1) Pridelenú kvótu, prémiu alebo obdobné práva pre jednotlivé druhy výrobkov môže ministerstvo rozhodnutím jej držiteľovi v prípade porušenia osobitných predpisov</w:t>
      </w:r>
      <w:r>
        <w:rPr>
          <w:rStyle w:val="FootnoteReference"/>
        </w:rPr>
        <w:footnoteReference w:customMarkFollows="1" w:id="32"/>
        <w:t xml:space="preserve">31)</w:t>
      </w:r>
      <w:r>
        <w:t xml:space="preserve"> odobrať alebo krátiť.</w:t>
      </w:r>
    </w:p>
    <w:p>
      <w:pPr>
        <w:jc w:val="both"/>
      </w:pPr>
    </w:p>
    <w:p>
      <w:pPr>
        <w:ind w:firstLine="708"/>
      </w:pPr>
      <w:r>
        <w:t>(2) Postup podľa odseku 1 možno uplatniť aj v prípade, ak na držiteľa alebo jeho spriaznenú osobu bol vyhlásený konkurz, likvidácia alebo bolo začaté exekučné konanie.</w:t>
      </w:r>
    </w:p>
    <w:p>
      <w:r>
        <w:t xml:space="preserve"> </w:t>
      </w:r>
    </w:p>
    <w:p>
      <w:pPr>
        <w:jc w:val="both"/>
      </w:pPr>
      <w:r>
        <w:tab/>
        <w:t>(3) Ministerstvo môže začať konanie podľa odseku 1 a 2 do jedného roka odo dňa, keď zistilo porušenie povinností, najneskôr do troch rokov odo dňa, keď došlo k porušeniu povinností, ak osobitné predpisy neustanovujú inak</w:t>
      </w:r>
      <w:r>
        <w:rPr>
          <w:rStyle w:val="FootnoteReference"/>
        </w:rPr>
        <w:footnoteReference w:customMarkFollows="1" w:id="33"/>
        <w:t xml:space="preserve">32)</w:t>
      </w:r>
      <w:r>
        <w:t>.</w:t>
      </w:r>
    </w:p>
    <w:p>
      <w:pPr>
        <w:jc w:val="both"/>
      </w:pPr>
    </w:p>
    <w:p>
      <w:pPr>
        <w:jc w:val="center"/>
      </w:pPr>
      <w:r>
        <w:t>§ 19</w:t>
      </w:r>
    </w:p>
    <w:p>
      <w:pPr>
        <w:jc w:val="center"/>
      </w:pPr>
    </w:p>
    <w:p>
      <w:pPr>
        <w:jc w:val="both"/>
      </w:pPr>
      <w:r>
        <w:tab/>
        <w:t>(1) Na konanie podľa tohto zákona sa vzťahuje všeobecný predpis o správnom konaní</w:t>
      </w:r>
      <w:r>
        <w:rPr>
          <w:rStyle w:val="FootnoteReference"/>
        </w:rPr>
        <w:footnoteReference w:customMarkFollows="1" w:id="34"/>
        <w:t xml:space="preserve">33)</w:t>
      </w:r>
      <w:r>
        <w:t>, ak tento zákon neustanovuje inak.</w:t>
      </w:r>
    </w:p>
    <w:p/>
    <w:p>
      <w:pPr>
        <w:ind w:firstLine="708"/>
        <w:jc w:val="both"/>
      </w:pPr>
      <w:r>
        <w:t xml:space="preserve">(2) Všeobecné predpisy o správnom konaní sa nevzťahujú na </w:t>
      </w:r>
    </w:p>
    <w:p>
      <w:pPr>
        <w:numPr>
          <w:ilvl w:val="0"/>
          <w:numId w:val="12"/>
        </w:numPr>
        <w:jc w:val="both"/>
      </w:pPr>
      <w:r>
        <w:t>prideľovanie identifikačných čísel podľa § 7 ods. 1 písm. e),</w:t>
      </w:r>
    </w:p>
    <w:p>
      <w:pPr>
        <w:numPr>
          <w:ilvl w:val="0"/>
          <w:numId w:val="12"/>
        </w:numPr>
        <w:jc w:val="both"/>
      </w:pPr>
      <w:r>
        <w:t>konanie a schvaľovanie žiadosti o dotácie podľa § 13 až 15,</w:t>
      </w:r>
    </w:p>
    <w:p>
      <w:pPr>
        <w:numPr>
          <w:ilvl w:val="0"/>
          <w:numId w:val="12"/>
        </w:numPr>
        <w:jc w:val="both"/>
      </w:pPr>
      <w:r>
        <w:t xml:space="preserve">poskytovanie projektových podpôr spolufinancovaných z fondov Európskej únie, </w:t>
      </w:r>
    </w:p>
    <w:p>
      <w:pPr>
        <w:numPr>
          <w:ilvl w:val="0"/>
          <w:numId w:val="12"/>
        </w:numPr>
        <w:jc w:val="both"/>
      </w:pPr>
      <w:r>
        <w:t xml:space="preserve">vydávanie licencie podľa § 7 ods. 1 písm. c), </w:t>
      </w:r>
    </w:p>
    <w:p>
      <w:pPr>
        <w:numPr>
          <w:ilvl w:val="0"/>
          <w:numId w:val="12"/>
        </w:numPr>
        <w:jc w:val="both"/>
      </w:pPr>
      <w:r>
        <w:t>výber a vrátenie finančných zábezpek podľa § 7 ods. 1 písm. c).</w:t>
      </w:r>
    </w:p>
    <w:p>
      <w:pPr>
        <w:jc w:val="both"/>
      </w:pPr>
    </w:p>
    <w:p>
      <w:pPr>
        <w:ind w:firstLine="708"/>
        <w:jc w:val="both"/>
      </w:pPr>
      <w:r>
        <w:t>(3) Na vedenie evidencie pôdnych blokov a dielov pôdnych blokov sa nevzťahuje osobitný predpis</w:t>
      </w:r>
      <w:r>
        <w:rPr>
          <w:rStyle w:val="FootnoteReference"/>
        </w:rPr>
        <w:footnoteReference w:customMarkFollows="1" w:id="35"/>
        <w:t xml:space="preserve">34)</w:t>
      </w:r>
      <w:r>
        <w:t xml:space="preserve">. </w:t>
      </w:r>
    </w:p>
    <w:p>
      <w:pPr>
        <w:jc w:val="center"/>
      </w:pPr>
    </w:p>
    <w:p>
      <w:pPr>
        <w:jc w:val="center"/>
      </w:pPr>
      <w:r>
        <w:t>§ 20</w:t>
      </w:r>
    </w:p>
    <w:p>
      <w:pPr>
        <w:jc w:val="center"/>
      </w:pPr>
      <w:r>
        <w:t xml:space="preserve">Prechodné ustanovenia </w:t>
      </w:r>
    </w:p>
    <w:p>
      <w:r>
        <w:tab/>
      </w:r>
    </w:p>
    <w:p>
      <w:pPr>
        <w:pStyle w:val="BodyText"/>
      </w:pPr>
      <w:r>
        <w:tab/>
        <w:t>(1) Činnosti spojené s predsvtupovým programom SAPARD zabezpečuje platobná</w:t>
      </w:r>
    </w:p>
    <w:p>
      <w:pPr>
        <w:pStyle w:val="BodyText"/>
      </w:pPr>
      <w:r>
        <w:t xml:space="preserve"> agentúra. </w:t>
      </w:r>
    </w:p>
    <w:p>
      <w:pPr>
        <w:pStyle w:val="BodyText"/>
      </w:pPr>
      <w:r>
        <w:tab/>
      </w:r>
    </w:p>
    <w:p>
      <w:pPr>
        <w:pStyle w:val="BodyText"/>
        <w:ind w:firstLine="708"/>
      </w:pPr>
      <w:r>
        <w:t xml:space="preserve">(2) Platobná agentúra zriadená podľa doterajších zákonov je platobnou agentúrou podľa tohto zákona. </w:t>
      </w:r>
    </w:p>
    <w:p>
      <w:pPr>
        <w:jc w:val="center"/>
      </w:pPr>
    </w:p>
    <w:p>
      <w:pPr>
        <w:jc w:val="center"/>
      </w:pPr>
      <w:r>
        <w:t>§ 21</w:t>
      </w:r>
    </w:p>
    <w:p>
      <w:pPr>
        <w:jc w:val="center"/>
      </w:pPr>
      <w:r>
        <w:t>Zrušovacie ustanovenie</w:t>
      </w:r>
    </w:p>
    <w:p/>
    <w:p>
      <w:pPr>
        <w:ind w:firstLine="708"/>
      </w:pPr>
      <w:r>
        <w:t xml:space="preserve">Zrušuje sa zákon č. 473/2003 Z. z. o Pôdohospodárskej platobnej agentúre a podpore podnikania v pôdohospodárstve a o zmene a doplnení niektorých zákonov v znení  zákona č. 546/2004 </w:t>
      </w:r>
      <w:r>
        <w:t xml:space="preserve">Z. z. a zákona č. 626/2005 Z. z.. </w:t>
      </w:r>
    </w:p>
    <w:p>
      <w:pPr>
        <w:pStyle w:val="Footer"/>
        <w:tabs>
          <w:tab w:val="clear" w:pos="4536"/>
          <w:tab w:val="clear" w:pos="9072"/>
        </w:tabs>
      </w:pPr>
    </w:p>
    <w:p>
      <w:pPr>
        <w:jc w:val="center"/>
      </w:pPr>
      <w:r>
        <w:t>Účinnosť</w:t>
      </w:r>
    </w:p>
    <w:p>
      <w:pPr>
        <w:jc w:val="center"/>
      </w:pPr>
      <w:r>
        <w:t>§ 22</w:t>
      </w:r>
    </w:p>
    <w:p>
      <w:pPr>
        <w:jc w:val="center"/>
      </w:pPr>
    </w:p>
    <w:p>
      <w:pPr>
        <w:pStyle w:val="BodyText"/>
      </w:pPr>
      <w:r>
        <w:tab/>
        <w:t>Tento zákon nadobúda účinnosť 1. januára 2007.</w:t>
      </w:r>
    </w:p>
    <w:sectPr>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7A87" w:usb1="80000000" w:usb2="00000008" w:usb3="00000000" w:csb0="000001FF"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21007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 w:id="2">
    <w:p>
      <w:pPr>
        <w:pStyle w:val="FootnoteText"/>
        <w:ind w:left="180" w:hanging="180"/>
        <w:jc w:val="both"/>
      </w:pPr>
      <w:r>
        <w:rPr>
          <w:rStyle w:val="FootnoteReference"/>
        </w:rPr>
        <w:t>1)</w:t>
      </w:r>
      <w:r>
        <w:t xml:space="preserve"> Viacročná finančná dohoda medzi Komisiou Európskych spoločenstiev v mene Európskeho spoločenstva    a Slovenskou republikou a Ročná finančná dohoda medzi Komisiou Európskych spoločenstiev v mene    Európskeho  spoločenstva  a  Slovenskou republikou (oznámenie č. 130/2002 Z. z.).</w:t>
      </w:r>
    </w:p>
  </w:footnote>
  <w:footnote w:id="3">
    <w:p>
      <w:pPr>
        <w:pStyle w:val="FootnoteText"/>
        <w:ind w:left="180" w:hanging="180"/>
        <w:jc w:val="both"/>
      </w:pPr>
      <w:r>
        <w:rPr>
          <w:rStyle w:val="FootnoteReference"/>
        </w:rPr>
        <w:t>2)</w:t>
      </w:r>
      <w:r>
        <w:t xml:space="preserve"> § 8 zákona č. 523/2004 Z. z. o rozpočtových pravidlách verejnej správy a o zmene a doplnení niektorých    zákonov v znení neskorších predpisov.</w:t>
      </w:r>
    </w:p>
  </w:footnote>
  <w:footnote w:id="4">
    <w:p>
      <w:pPr>
        <w:pStyle w:val="FootnoteText"/>
        <w:jc w:val="both"/>
      </w:pPr>
      <w:r>
        <w:rPr>
          <w:rStyle w:val="FootnoteReference"/>
        </w:rPr>
        <w:t>3)</w:t>
      </w:r>
      <w:r>
        <w:t xml:space="preserve"> Zákon č. 231/1999 Z. z. o štátnej pomoci v znení neskorších predpisov.</w:t>
      </w:r>
    </w:p>
  </w:footnote>
  <w:footnote w:id="5">
    <w:p>
      <w:pPr>
        <w:pStyle w:val="FootnoteText"/>
        <w:ind w:left="180" w:hanging="180"/>
        <w:jc w:val="both"/>
      </w:pPr>
      <w:r>
        <w:rPr>
          <w:rStyle w:val="FootnoteReference"/>
        </w:rPr>
        <w:t>4)</w:t>
      </w:r>
      <w:r>
        <w:t xml:space="preserve"> Napríklad </w:t>
      </w:r>
      <w:r>
        <w:rPr>
          <w:bCs/>
        </w:rPr>
        <w:t>nariadenie Rady (ES) č. 1782/2003 z 29. septembra 2003, ktorým sa stanovujú spoločné pravidlá režimov priamej podpory v rámci Spoločnej poľnohospodárskej politiky a ktorým sa zavádzajú niektoré režimy podpory pre poľnohospodárov a ktorým sa menia a dopĺňajú nariadenia (EHS) č. 2019/93, (ES) č. 1452/2001, (ES) č. 1453/2001, (ES) č. 1454/2001, (ES) č. 1868/94, (ES) č. 1251/1999, (ES) č. 1254/1999, (ES) č. 1673/2000, (ES) č. 2358/71 a (ES) č. 2529/2001 (</w:t>
      </w:r>
      <w:r>
        <w:t>Mimoriadne vydanie Ú.v. EÚ,</w:t>
      </w:r>
      <w:r>
        <w:rPr>
          <w:bCs/>
        </w:rPr>
        <w:t xml:space="preserve"> 3/zv. 40), nariadenie Komisie (ES) 794/2004 z 21. apríla 2004, ktorým sa vykonáva nariadenie Rady (ES) č. 659/1999, ustanovujúce podrobné pravidlá na uplatňovanie článku 93 Zmluvy o ES (Mimoriadne vydanie Ú.v. EÚ, 8/zv.4), nariadenie Rady (ES) č. 1290/2005 z 21. júna 2005 o financovaní Spoločnej poľnohospodárskej politiky (Ú. v. L 209, 11.08.2005)</w:t>
      </w:r>
      <w:r>
        <w:t>.</w:t>
      </w:r>
    </w:p>
  </w:footnote>
  <w:footnote w:id="6">
    <w:p>
      <w:pPr>
        <w:ind w:left="180" w:hanging="180"/>
        <w:jc w:val="both"/>
        <w:rPr>
          <w:sz w:val="20"/>
        </w:rPr>
      </w:pPr>
      <w:r>
        <w:rPr>
          <w:rStyle w:val="FootnoteReference"/>
          <w:sz w:val="20"/>
        </w:rPr>
        <w:t>5)</w:t>
      </w:r>
      <w:r>
        <w:rPr>
          <w:sz w:val="20"/>
        </w:rPr>
        <w:t xml:space="preserve"> Napríklad nariadenie Rady (ES) č. 2826/2000 z 19. decembra 2000 o informačných a propagačných činnostiach pre poľnohospodárske výrobky na vnútornom trhu (Mimoriadne vydanie Ú.v. EÚ, 3/zv.31), nariadenie Rady (ES) č. 2702/1999 zo 14. decembra 1999 o opatreniach na poskytovanie informácií a na propagáciu poľnohospodárskych výrobkov v tretích krajinách (Mimoriadne vydanie Ú.v. EÚ, 3/zv.27).</w:t>
      </w:r>
    </w:p>
  </w:footnote>
  <w:footnote w:id="7">
    <w:p>
      <w:pPr>
        <w:pStyle w:val="FootnoteText"/>
        <w:ind w:left="180" w:hanging="180"/>
        <w:jc w:val="both"/>
        <w:rPr>
          <w:i/>
        </w:rPr>
      </w:pPr>
      <w:r>
        <w:rPr>
          <w:rStyle w:val="FootnoteReference"/>
        </w:rPr>
        <w:t>6)</w:t>
      </w:r>
      <w:r>
        <w:t xml:space="preserve"> Čl. 68 nariadenia Rady (ES) č. 1698/2005 z 20. septembra 2005 o podpore rozvoja vidieka prostredníctvom   Európskeho poľnohospodárskeho fondu pre rozvoj vidieka (Ú.v. EÚ, </w:t>
      </w:r>
      <w:r>
        <w:rPr>
          <w:rStyle w:val="Emphasis"/>
          <w:i w:val="0"/>
        </w:rPr>
        <w:t>L 277 , 21.10.2005)</w:t>
      </w:r>
    </w:p>
  </w:footnote>
  <w:footnote w:id="8">
    <w:p>
      <w:pPr>
        <w:pStyle w:val="FootnoteText"/>
        <w:jc w:val="both"/>
      </w:pPr>
      <w:r>
        <w:rPr>
          <w:rStyle w:val="FootnoteReference"/>
        </w:rPr>
        <w:t>7)</w:t>
      </w:r>
      <w:r>
        <w:t xml:space="preserve"> Čl.11a čl.18  nariadenia (ES) č. 1698/2005.</w:t>
      </w:r>
    </w:p>
  </w:footnote>
  <w:footnote w:id="9">
    <w:p>
      <w:pPr>
        <w:pStyle w:val="FootnoteText"/>
        <w:jc w:val="both"/>
      </w:pPr>
      <w:r>
        <w:rPr>
          <w:rStyle w:val="FootnoteReference"/>
        </w:rPr>
        <w:t>8)</w:t>
      </w:r>
      <w:r>
        <w:t xml:space="preserve"> Nariadenie Rady (ES) 1290/2005.</w:t>
      </w:r>
    </w:p>
  </w:footnote>
  <w:footnote w:id="10">
    <w:p>
      <w:pPr>
        <w:pStyle w:val="FootnoteText"/>
        <w:jc w:val="both"/>
      </w:pPr>
      <w:r>
        <w:rPr>
          <w:rStyle w:val="FootnoteReference"/>
        </w:rPr>
        <w:t>9)</w:t>
      </w:r>
      <w:r>
        <w:t xml:space="preserve"> § 31 zákona č. 431/2002 Z. z. o účtovníctve v znení neskorších predpisov.</w:t>
      </w:r>
    </w:p>
  </w:footnote>
  <w:footnote w:id="11">
    <w:p>
      <w:pPr>
        <w:pStyle w:val="FootnoteText"/>
        <w:jc w:val="both"/>
      </w:pPr>
      <w:r>
        <w:rPr>
          <w:rStyle w:val="FootnoteReference"/>
        </w:rPr>
        <w:t>10)</w:t>
      </w:r>
      <w:r>
        <w:t xml:space="preserve"> § 4   ods. 2  a § 11zákona č. 540/2001 Z. z. o štátnej štatistike.</w:t>
      </w:r>
    </w:p>
  </w:footnote>
  <w:footnote w:id="12">
    <w:p>
      <w:pPr>
        <w:pStyle w:val="FootnoteText"/>
      </w:pPr>
      <w:r>
        <w:rPr>
          <w:rStyle w:val="FootnoteReference"/>
        </w:rPr>
        <w:t>11)</w:t>
      </w:r>
      <w:r>
        <w:t xml:space="preserve"> § 22 ods. 4 zákona č. 523/2004 Z. z. v znení neskorších predpisov.</w:t>
      </w:r>
    </w:p>
  </w:footnote>
  <w:footnote w:id="13">
    <w:p>
      <w:pPr>
        <w:pStyle w:val="FootnoteText"/>
        <w:ind w:left="180" w:hanging="180"/>
        <w:jc w:val="both"/>
      </w:pPr>
      <w:r>
        <w:rPr>
          <w:rStyle w:val="FootnoteReference"/>
        </w:rPr>
        <w:t>12)</w:t>
      </w:r>
      <w:r>
        <w:t xml:space="preserve"> Napríklad nariadenie Rady č. 1883/78 z 2. augusta 1978, ktorým sa ustanovujú všeobecné pravidlá pre     financovanie intervencií Záručnou sekciou Európskeho poľnohospodárskeho usmerňovacieho a záručného     fondu (Mimoriadne vydanie Ú.v. EÚ, 3/zv.3) v platnom znení. Nariadenie Komisie (ES) č. 1843/2003 zo 17.     októbra 2003 stanovujúce koeficienty zníženia hodnoty, ktoré sa majú uplatňovať pri nákupe     poľnohospodárskych produktov na rozpočtový rok 2004 (Mimoriadne</w:t>
      </w:r>
      <w:r>
        <w:t xml:space="preserve"> vydanie Ú.v. EÚ, 3/zv.40).</w:t>
      </w:r>
    </w:p>
  </w:footnote>
  <w:footnote w:id="14">
    <w:p>
      <w:pPr>
        <w:pStyle w:val="FootnoteText"/>
        <w:ind w:left="180" w:hanging="180"/>
        <w:jc w:val="both"/>
      </w:pPr>
      <w:r>
        <w:rPr>
          <w:rStyle w:val="FootnoteReference"/>
        </w:rPr>
        <w:t>13)</w:t>
      </w:r>
      <w:r>
        <w:t xml:space="preserve"> Nariadenie Komisie (ES) č. 1291/2000 z 9. júna 2000, ktorým sa stanovujú podrobné pravidlá uplatňovania     systému dovozných a vývozných licencií a certifikátov s vopred stanovenou sadzbou náhrady pre     poľnohospodárske v</w:t>
      </w:r>
      <w:r>
        <w:t>ýrobky (Mimoriadne vydanie Ú.v. EÚ, 3/zv. 29).</w:t>
      </w:r>
    </w:p>
  </w:footnote>
  <w:footnote w:id="15">
    <w:p>
      <w:pPr>
        <w:pStyle w:val="FootnoteText"/>
        <w:ind w:left="180" w:hanging="180"/>
      </w:pPr>
      <w:r>
        <w:rPr>
          <w:rStyle w:val="FootnoteReference"/>
        </w:rPr>
        <w:t>14)</w:t>
      </w:r>
      <w:r>
        <w:t xml:space="preserve"> Napríklad § 4 zákona č.491/2001 Z.z. o organizovaní trhu s vybranými poľnohospodárskymi výrobkami     v znení neskorších predpisov.</w:t>
      </w:r>
    </w:p>
  </w:footnote>
  <w:footnote w:id="16">
    <w:p>
      <w:pPr>
        <w:pStyle w:val="FootnoteText"/>
        <w:ind w:left="180" w:hanging="180"/>
      </w:pPr>
      <w:r>
        <w:rPr>
          <w:rStyle w:val="FootnoteReference"/>
        </w:rPr>
        <w:t>15)</w:t>
      </w:r>
      <w:r>
        <w:t xml:space="preserve"> Článok 5 písm. a), i) a j) Nariadenia Rady (ES) č. 1788/2003 z 29. se</w:t>
      </w:r>
      <w:r>
        <w:t>ptembra 2003, ktoré ustanovuje poplatky     v sektore mlieka a mliečnych výrobkov (Mimoriadne vydanie Ú.v. EÚ, 3/zv.40).</w:t>
      </w:r>
    </w:p>
  </w:footnote>
  <w:footnote w:id="17">
    <w:p>
      <w:pPr>
        <w:pStyle w:val="FootnoteText"/>
      </w:pPr>
      <w:r>
        <w:rPr>
          <w:rStyle w:val="FootnoteReference"/>
        </w:rPr>
        <w:t>16)</w:t>
      </w:r>
      <w:r>
        <w:t xml:space="preserve"> Napríklad nariadenie Rady (ES) č.1782/2003.</w:t>
      </w:r>
    </w:p>
  </w:footnote>
  <w:footnote w:id="18">
    <w:p>
      <w:pPr>
        <w:pStyle w:val="FootnoteText"/>
        <w:ind w:left="180" w:hanging="180"/>
        <w:jc w:val="both"/>
      </w:pPr>
      <w:r>
        <w:rPr>
          <w:rStyle w:val="FootnoteReference"/>
        </w:rPr>
        <w:t>17)</w:t>
      </w:r>
      <w:r>
        <w:t xml:space="preserve"> Napríklad nariadenie Komisie (ES) č. 1663/95 zo 7. júla 1995 stanovujúce podrobné p</w:t>
      </w:r>
      <w:r>
        <w:t>ravidlá pre uplatnenie     nariadenia rady (ES) č. 729/70 týkajúceho sa postupu pri zúčtovaní na sekcii záruk EAGGF (Európsky     poľnohospodársky poradenský a záručný fond) (Mimoriadne vydanie Ú. v. EÚ, 3/zv.18</w:t>
      </w:r>
      <w:r>
        <w:rPr>
          <w:iCs/>
        </w:rPr>
        <w:t>).</w:t>
      </w:r>
    </w:p>
  </w:footnote>
  <w:footnote w:id="19">
    <w:p>
      <w:pPr>
        <w:pStyle w:val="FootnoteText"/>
      </w:pPr>
      <w:r>
        <w:rPr>
          <w:rStyle w:val="FootnoteReference"/>
        </w:rPr>
        <w:t>18)</w:t>
      </w:r>
      <w:r>
        <w:t xml:space="preserve"> Zákon č. 428/2002 Z. z. o ochrane osob</w:t>
      </w:r>
      <w:r>
        <w:t>ných údajov v znení neskorších predpisov.</w:t>
      </w:r>
    </w:p>
  </w:footnote>
  <w:footnote w:id="20">
    <w:p>
      <w:pPr>
        <w:pStyle w:val="FootnoteText"/>
        <w:ind w:left="180" w:hanging="180"/>
        <w:jc w:val="both"/>
      </w:pPr>
      <w:r>
        <w:rPr>
          <w:rStyle w:val="FootnoteReference"/>
        </w:rPr>
        <w:t>19)</w:t>
      </w:r>
      <w:r>
        <w:t xml:space="preserve"> Napríklad nariadenie Rady (ES) č. 1260/2001 z 19. júna 2001 o spoločnej organizácii trhu v sektore cukru     (Mimoriadne vydanie Ú.v. EÚ, 3/zv.33), nariadenie Rady (ES) č. 1254/1999 zo 17. mája 1999 o spoločnej     organizácii trhu s hovädzím a teľacím mäsom (Mimoriadne vydanie Ú.v. EÚ, 3/zv.25),  nariadenie Rady (ES)     č. 1255/1999 zo 17. mája 1999 o spoločnej organizácii trhu s mliekom a mliečnymi výrobkami (Mimoriadne     vydanie Ú.v. EÚ, 3/zv.25), nariadenie Komisie (ES) č. 800/1999 z 15. apríla 1999, ktorým sa ustanovujú     spoločné podrobné pravidlá pre uplatňovanie vývozných náhrad na poľnohospodárske výrobky (Mimoriadne     vydanie Ú.v. EÚ, 3/zv.25), nariadenie Komisie (ES) č. 1291/2000 z 9. júna 2000,</w:t>
      </w:r>
      <w:r>
        <w:t xml:space="preserve"> ktorým sa ustanovujú     podrobné pravidlá uplatňovania systému dovozných a vývozných licencií certifikátov s vopred stanovenou     sadzbou náhrady pre poľnohospodárske výrobky (Mimoriadne vydanie Ú.v. EÚ, 3/zv.29).</w:t>
      </w:r>
    </w:p>
  </w:footnote>
  <w:footnote w:id="21">
    <w:p>
      <w:pPr>
        <w:pStyle w:val="FootnoteText"/>
      </w:pPr>
      <w:r>
        <w:rPr>
          <w:rStyle w:val="FootnoteReference"/>
        </w:rPr>
        <w:t>20)</w:t>
      </w:r>
      <w:r>
        <w:t xml:space="preserve"> Nariadenie Rady (ES) č. 1260/2001.</w:t>
      </w:r>
    </w:p>
  </w:footnote>
  <w:footnote w:id="22">
    <w:p>
      <w:pPr>
        <w:pStyle w:val="FootnoteText"/>
      </w:pPr>
      <w:r>
        <w:rPr>
          <w:rStyle w:val="FootnoteReference"/>
        </w:rPr>
        <w:t>21)</w:t>
      </w:r>
      <w:r>
        <w:t xml:space="preserve"> § 41 zákona  č. 488/2002 Z. z. o veterinárnej starostlivosti v znení neskorších predpisov.</w:t>
      </w:r>
    </w:p>
  </w:footnote>
  <w:footnote w:id="23">
    <w:p>
      <w:pPr>
        <w:pStyle w:val="FootnoteText"/>
      </w:pPr>
      <w:r>
        <w:rPr>
          <w:rStyle w:val="FootnoteReference"/>
        </w:rPr>
        <w:t>22)</w:t>
      </w:r>
      <w:r>
        <w:t xml:space="preserve"> § 25 zákona č. 193/2005 Z.z. o rastlinolekárskej starostlivosti.</w:t>
      </w:r>
    </w:p>
  </w:footnote>
  <w:footnote w:id="24">
    <w:p>
      <w:pPr>
        <w:pStyle w:val="FootnoteText"/>
        <w:ind w:left="180" w:hanging="180"/>
        <w:jc w:val="both"/>
      </w:pPr>
      <w:r>
        <w:rPr>
          <w:rStyle w:val="FootnoteReference"/>
        </w:rPr>
        <w:t>23)</w:t>
      </w:r>
      <w:r>
        <w:t xml:space="preserve"> Zákon č. 194/1998 Z.z. o šľachtení a plemenitbe hospodárskych zvierat a o zmene a doplnení zákona č.     455/1991 Z.z. o živnostenskom podnikaní (živnostenský zákon) v znení neskorších predpisov.</w:t>
      </w:r>
    </w:p>
  </w:footnote>
  <w:footnote w:id="25">
    <w:p>
      <w:pPr>
        <w:pStyle w:val="FootnoteText"/>
      </w:pPr>
      <w:r>
        <w:rPr>
          <w:rStyle w:val="FootnoteReference"/>
        </w:rPr>
        <w:t>24)</w:t>
      </w:r>
      <w:r>
        <w:t xml:space="preserve"> Napríklad § 6 zákona č. 215/2001 Z.z. o ochrane genetických zdrojov rastlín pre výživu a poľnohospodárstvo.</w:t>
      </w:r>
    </w:p>
  </w:footnote>
  <w:footnote w:id="26">
    <w:p>
      <w:pPr>
        <w:pStyle w:val="FootnoteText"/>
      </w:pPr>
      <w:r>
        <w:rPr>
          <w:rStyle w:val="FootnoteReference"/>
        </w:rPr>
        <w:t>25)</w:t>
      </w:r>
      <w:r>
        <w:t xml:space="preserve"> Zákon Národnej rady Slovenskej republiky č. 152/1995 Z. z. o potravinách v znení neskorších predpisov.</w:t>
      </w:r>
    </w:p>
  </w:footnote>
  <w:footnote w:id="27">
    <w:p>
      <w:pPr>
        <w:pStyle w:val="FootnoteText"/>
      </w:pPr>
      <w:r>
        <w:rPr>
          <w:rStyle w:val="FootnoteReference"/>
        </w:rPr>
        <w:t>26)</w:t>
      </w:r>
      <w:r>
        <w:t xml:space="preserve"> §11  zákona  Národnej  rady  Slovenskej republiky č. 181/1995 Z. z. o pozemkových spoločenstvách</w:t>
      </w:r>
    </w:p>
  </w:footnote>
  <w:footnote w:id="28">
    <w:p>
      <w:pPr>
        <w:pStyle w:val="FootnoteText"/>
        <w:ind w:left="180" w:hanging="180"/>
      </w:pPr>
      <w:r>
        <w:rPr>
          <w:rStyle w:val="FootnoteReference"/>
        </w:rPr>
        <w:t>27)</w:t>
      </w:r>
      <w:r>
        <w:t xml:space="preserve"> Napríklad § 70 a 254 Obchodného zákonníka.</w:t>
      </w:r>
    </w:p>
  </w:footnote>
  <w:footnote w:id="29">
    <w:p>
      <w:pPr>
        <w:pStyle w:val="FootnoteText"/>
        <w:ind w:left="180" w:hanging="180"/>
        <w:jc w:val="both"/>
      </w:pPr>
      <w:r>
        <w:rPr>
          <w:rStyle w:val="FootnoteReference"/>
        </w:rPr>
        <w:t>28)</w:t>
      </w:r>
      <w:r>
        <w:t xml:space="preserve"> § 9 zákona č. 7/2005 Z. z. o konk</w:t>
      </w:r>
      <w:r>
        <w:t>urze a reštrukturalizácii a o zmene niektorých zákonov v znení neskorších predpisov.</w:t>
      </w:r>
    </w:p>
  </w:footnote>
  <w:footnote w:id="30">
    <w:p>
      <w:pPr>
        <w:pStyle w:val="FootnoteText"/>
        <w:ind w:left="180" w:hanging="180"/>
        <w:jc w:val="both"/>
      </w:pPr>
      <w:r>
        <w:rPr>
          <w:rStyle w:val="FootnoteReference"/>
        </w:rPr>
        <w:t>29)</w:t>
      </w:r>
      <w:r>
        <w:t xml:space="preserve"> Zákon č. 82/2005 Z. z. o nelegálnej práci a nelegálnom zamestnávaní a o zmene a doplnení niektorých zákonov.</w:t>
      </w:r>
    </w:p>
  </w:footnote>
  <w:footnote w:id="31">
    <w:p>
      <w:pPr>
        <w:pStyle w:val="FootnoteText"/>
        <w:ind w:left="180" w:hanging="180"/>
        <w:jc w:val="both"/>
      </w:pPr>
      <w:r>
        <w:rPr>
          <w:rStyle w:val="FootnoteReference"/>
        </w:rPr>
        <w:t>30)</w:t>
      </w:r>
      <w:r>
        <w:t xml:space="preserve"> Napríklad nariadenie Komisie (ES) </w:t>
      </w:r>
      <w:r>
        <w:rPr>
          <w:rFonts w:hint="eastAsia"/>
        </w:rPr>
        <w:t>č</w:t>
      </w:r>
      <w:r>
        <w:t>. 60/2004 zo 14. ja</w:t>
      </w:r>
      <w:r>
        <w:t>nuára 2004, ktoré stanovuje do</w:t>
      </w:r>
      <w:r>
        <w:rPr>
          <w:rFonts w:hint="eastAsia"/>
        </w:rPr>
        <w:t>č</w:t>
      </w:r>
      <w:r>
        <w:t xml:space="preserve">asné opatrenia v     sektore cukru z dôvodu pristúpenia </w:t>
      </w:r>
      <w:r>
        <w:rPr>
          <w:rFonts w:hint="eastAsia"/>
        </w:rPr>
        <w:t>Č</w:t>
      </w:r>
      <w:r>
        <w:t>eskej republiky, Estónska, Cypru, Lotyšska, Litvy, Ma</w:t>
      </w:r>
      <w:r>
        <w:rPr>
          <w:rFonts w:hint="eastAsia"/>
        </w:rPr>
        <w:t>ď</w:t>
      </w:r>
      <w:r>
        <w:t>arska, Malty,     Po</w:t>
      </w:r>
      <w:r>
        <w:rPr>
          <w:rFonts w:hint="eastAsia"/>
        </w:rPr>
        <w:t>ľ</w:t>
      </w:r>
      <w:r>
        <w:t>ska, Slovinska a Slovenska (Mimoriadne vydanie Ú.v. EÚ, 3/zv.42).</w:t>
      </w:r>
    </w:p>
  </w:footnote>
  <w:footnote w:id="32">
    <w:p>
      <w:pPr>
        <w:pStyle w:val="FootnoteText"/>
      </w:pPr>
      <w:r>
        <w:rPr>
          <w:rStyle w:val="FootnoteReference"/>
        </w:rPr>
        <w:t>31)</w:t>
      </w:r>
      <w:r>
        <w:t xml:space="preserve"> Napríklad nariadenie Ra</w:t>
      </w:r>
      <w:r>
        <w:t>dy (ES) 1788/2003.</w:t>
      </w:r>
    </w:p>
  </w:footnote>
  <w:footnote w:id="33">
    <w:p>
      <w:pPr>
        <w:pStyle w:val="FootnoteText"/>
        <w:ind w:left="180" w:hanging="180"/>
        <w:jc w:val="both"/>
      </w:pPr>
      <w:r>
        <w:rPr>
          <w:rStyle w:val="FootnoteReference"/>
        </w:rPr>
        <w:t>32)</w:t>
      </w:r>
      <w:r>
        <w:t xml:space="preserve"> Napríklad nariadenie Komisie (ES) č. 2342/1999 z 28. októbra 1999, ktorým sa stanovujú podrobné pravidlá     na uplatňovanie nariadenia Rady (ES) č. 1254/1999 o spoločnej organizácii trhu z hovädzím a teľacím     mäsom, týkajúce sa p</w:t>
      </w:r>
      <w:r>
        <w:t xml:space="preserve">rémiových systémov (Mimoriadne vydanie Ú.v. EÚ, 3/zv.26).  </w:t>
      </w:r>
    </w:p>
  </w:footnote>
  <w:footnote w:id="34">
    <w:p>
      <w:pPr>
        <w:pStyle w:val="FootnoteText"/>
      </w:pPr>
      <w:r>
        <w:rPr>
          <w:rStyle w:val="FootnoteReference"/>
        </w:rPr>
        <w:t>33)</w:t>
      </w:r>
      <w:r>
        <w:t xml:space="preserve"> Zákon č. 71/1967 Zb. o správnom konaní (správny poriadok) v znení zákona 215/2002 Z.z..</w:t>
      </w:r>
    </w:p>
  </w:footnote>
  <w:footnote w:id="35">
    <w:p>
      <w:pPr>
        <w:pStyle w:val="FootnoteText"/>
        <w:ind w:left="180" w:hanging="180"/>
      </w:pPr>
      <w:r>
        <w:rPr>
          <w:rStyle w:val="FootnoteReference"/>
        </w:rPr>
        <w:t>34)</w:t>
      </w:r>
      <w:r>
        <w:t xml:space="preserve"> Zákon Národnej rady Slovenskej republiky č. 162/1995 Z.z. o katastri nehnuteľností a o zápise vlastn</w:t>
      </w:r>
      <w:r>
        <w:t>íckych     práv a iných práv k nehnuteľnostiam (katastrálny zákon) v znení neskorších predpisov.</w:t>
      </w:r>
    </w:p>
    <w:p>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2C3"/>
    <w:multiLevelType w:val="hybridMultilevel"/>
    <w:tmpl w:val="A7ECBC3C"/>
    <w:lvl w:ilvl="0">
      <w:start w:val="1"/>
      <w:numFmt w:val="lowerLetter"/>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653274C"/>
    <w:multiLevelType w:val="hybridMultilevel"/>
    <w:tmpl w:val="AD5A0060"/>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5A4DC4"/>
    <w:multiLevelType w:val="hybridMultilevel"/>
    <w:tmpl w:val="BB8EB774"/>
    <w:lvl w:ilvl="0">
      <w:start w:val="1"/>
      <w:numFmt w:val="lowerLetter"/>
      <w:lvlText w:val="%1)"/>
      <w:lvlJc w:val="left"/>
      <w:pPr>
        <w:tabs>
          <w:tab w:val="num" w:pos="360"/>
        </w:tabs>
        <w:ind w:left="340" w:hanging="340"/>
      </w:pPr>
      <w:rPr>
        <w:rFonts w:hint="default"/>
        <w:b w:val="0"/>
        <w:i w:val="0"/>
        <w:vertAlign w:val="baseli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F2240A"/>
    <w:multiLevelType w:val="hybridMultilevel"/>
    <w:tmpl w:val="849E0C82"/>
    <w:lvl w:ilvl="0">
      <w:start w:val="1"/>
      <w:numFmt w:val="lowerLetter"/>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6DA3741"/>
    <w:multiLevelType w:val="hybridMultilevel"/>
    <w:tmpl w:val="EAF2D024"/>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5704F85"/>
    <w:multiLevelType w:val="hybridMultilevel"/>
    <w:tmpl w:val="DF8C998C"/>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E7E2F9E"/>
    <w:multiLevelType w:val="hybridMultilevel"/>
    <w:tmpl w:val="EBC818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69F11D6"/>
    <w:multiLevelType w:val="hybridMultilevel"/>
    <w:tmpl w:val="E99E0428"/>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AEF6A5A"/>
    <w:multiLevelType w:val="hybridMultilevel"/>
    <w:tmpl w:val="8A321238"/>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021A56"/>
    <w:multiLevelType w:val="hybridMultilevel"/>
    <w:tmpl w:val="E09681B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360"/>
        </w:tabs>
        <w:ind w:left="340" w:hanging="340"/>
      </w:pPr>
      <w:rPr>
        <w:rFonts w:hint="default"/>
        <w:b w:val="0"/>
        <w:i w:val="0"/>
        <w:vertAlign w:val="base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15C7334"/>
    <w:multiLevelType w:val="hybridMultilevel"/>
    <w:tmpl w:val="4334B782"/>
    <w:lvl w:ilvl="0">
      <w:start w:val="1"/>
      <w:numFmt w:val="lowerLetter"/>
      <w:lvlText w:val="%1)"/>
      <w:lvlJc w:val="left"/>
      <w:pPr>
        <w:tabs>
          <w:tab w:val="num" w:pos="360"/>
        </w:tabs>
        <w:ind w:left="340" w:hanging="340"/>
      </w:pPr>
      <w:rPr>
        <w:rFonts w:ascii="Times New Roman" w:eastAsia="Times New Roman" w:hAnsi="Times New Roman" w:cs="Times New Roman"/>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52F34B2"/>
    <w:multiLevelType w:val="hybridMultilevel"/>
    <w:tmpl w:val="FBB8542C"/>
    <w:lvl w:ilvl="0">
      <w:start w:val="1"/>
      <w:numFmt w:val="lowerLetter"/>
      <w:lvlText w:val="%1)"/>
      <w:lvlJc w:val="left"/>
      <w:pPr>
        <w:tabs>
          <w:tab w:val="num" w:pos="360"/>
        </w:tabs>
        <w:ind w:left="340" w:hanging="340"/>
      </w:pPr>
      <w:rPr>
        <w:rFonts w:hint="default"/>
        <w:b w:val="0"/>
        <w:i w:val="0"/>
        <w:vertAlign w:val="baseline"/>
      </w:rPr>
    </w:lvl>
    <w:lvl w:ilvl="1">
      <w:start w:val="1"/>
      <w:numFmt w:val="lowerLetter"/>
      <w:lvlText w:val="%2)"/>
      <w:lvlJc w:val="left"/>
      <w:pPr>
        <w:tabs>
          <w:tab w:val="num" w:pos="1440"/>
        </w:tabs>
        <w:ind w:left="1440" w:hanging="360"/>
      </w:pPr>
      <w:rPr>
        <w:rFonts w:hint="default"/>
        <w:b w:val="0"/>
        <w:i w:val="0"/>
        <w:vertAlign w:val="base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2D27F2"/>
    <w:multiLevelType w:val="hybridMultilevel"/>
    <w:tmpl w:val="499E80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41552F5"/>
    <w:multiLevelType w:val="hybridMultilevel"/>
    <w:tmpl w:val="89226982"/>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5F35CA1"/>
    <w:multiLevelType w:val="hybridMultilevel"/>
    <w:tmpl w:val="BE36CEBE"/>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6255BDE"/>
    <w:multiLevelType w:val="hybridMultilevel"/>
    <w:tmpl w:val="4A16B194"/>
    <w:lvl w:ilvl="0">
      <w:start w:val="1"/>
      <w:numFmt w:val="lowerLetter"/>
      <w:lvlText w:val="%1)"/>
      <w:lvlJc w:val="left"/>
      <w:pPr>
        <w:tabs>
          <w:tab w:val="num" w:pos="360"/>
        </w:tabs>
        <w:ind w:left="340" w:hanging="340"/>
      </w:pPr>
      <w:rPr>
        <w:rFonts w:hint="default"/>
      </w:rPr>
    </w:lvl>
    <w:lvl w:ilvl="1">
      <w:start w:val="1"/>
      <w:numFmt w:val="lowerLetter"/>
      <w:lvlText w:val="%2)"/>
      <w:lvlJc w:val="left"/>
      <w:pPr>
        <w:tabs>
          <w:tab w:val="num" w:pos="360"/>
        </w:tabs>
        <w:ind w:left="340" w:hanging="3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7574986"/>
    <w:multiLevelType w:val="hybridMultilevel"/>
    <w:tmpl w:val="C290AB1E"/>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8D5598F"/>
    <w:multiLevelType w:val="hybridMultilevel"/>
    <w:tmpl w:val="2CDEB4C2"/>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E7934A6"/>
    <w:multiLevelType w:val="hybridMultilevel"/>
    <w:tmpl w:val="E814D26C"/>
    <w:lvl w:ilvl="0">
      <w:start w:val="1"/>
      <w:numFmt w:val="lowerLetter"/>
      <w:lvlText w:val="%1)"/>
      <w:lvlJc w:val="left"/>
      <w:pPr>
        <w:tabs>
          <w:tab w:val="num" w:pos="360"/>
        </w:tabs>
        <w:ind w:left="340" w:hanging="340"/>
      </w:pPr>
      <w:rPr>
        <w:rFonts w:hint="default"/>
        <w:b w:val="0"/>
        <w:i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6"/>
  </w:num>
  <w:num w:numId="4">
    <w:abstractNumId w:val="9"/>
  </w:num>
  <w:num w:numId="5">
    <w:abstractNumId w:val="4"/>
  </w:num>
  <w:num w:numId="6">
    <w:abstractNumId w:val="8"/>
  </w:num>
  <w:num w:numId="7">
    <w:abstractNumId w:val="5"/>
  </w:num>
  <w:num w:numId="8">
    <w:abstractNumId w:val="17"/>
  </w:num>
  <w:num w:numId="9">
    <w:abstractNumId w:val="14"/>
  </w:num>
  <w:num w:numId="10">
    <w:abstractNumId w:val="18"/>
  </w:num>
  <w:num w:numId="11">
    <w:abstractNumId w:val="13"/>
  </w:num>
  <w:num w:numId="12">
    <w:abstractNumId w:val="7"/>
  </w:num>
  <w:num w:numId="13">
    <w:abstractNumId w:val="0"/>
  </w:num>
  <w:num w:numId="14">
    <w:abstractNumId w:val="3"/>
  </w:num>
  <w:num w:numId="15">
    <w:abstractNumId w:val="2"/>
  </w:num>
  <w:num w:numId="16">
    <w:abstractNumId w:val="1"/>
  </w:num>
  <w:num w:numId="17">
    <w:abstractNumId w:val="12"/>
  </w:num>
  <w:num w:numId="18">
    <w:abstractNumId w:val="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uiPriority w:val="9"/>
    <w:qFormat/>
    <w:pPr>
      <w:keepNext/>
      <w:jc w:val="center"/>
      <w:outlineLvl w:val="0"/>
    </w:pPr>
    <w:rPr>
      <w:b/>
      <w:bCs/>
    </w:rPr>
  </w:style>
  <w:style w:type="paragraph" w:styleId="Heading5">
    <w:name w:val="heading 5"/>
    <w:basedOn w:val="Normal"/>
    <w:uiPriority w:val="9"/>
    <w:qFormat/>
    <w:pPr>
      <w:spacing w:before="100" w:beforeAutospacing="1" w:after="100" w:afterAutospacing="1"/>
      <w:jc w:val="center"/>
      <w:outlineLvl w:val="4"/>
    </w:pPr>
    <w:rPr>
      <w:rFonts w:ascii="Arial" w:hAnsi="Arial" w:cs="Arial"/>
      <w:b/>
      <w:bCs/>
      <w:color w:val="000000"/>
      <w:sz w:val="20"/>
      <w:szCs w:val="20"/>
    </w:rPr>
  </w:style>
  <w:style w:type="character" w:default="1" w:styleId="DefaultParagraphFont">
    <w:name w:val="Default Paragraph Font"/>
    <w:semiHidden/>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ind w:left="180"/>
      <w:jc w:val="both"/>
    </w:pPr>
    <w:rPr>
      <w:b/>
      <w:bCs/>
      <w:sz w:val="20"/>
      <w:u w:val="singl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jc w:val="both"/>
    </w:pPr>
  </w:style>
  <w:style w:type="paragraph" w:styleId="BodyTextIndent2">
    <w:name w:val="Body Text Indent 2"/>
    <w:basedOn w:val="Normal"/>
    <w:pPr>
      <w:ind w:firstLine="708"/>
      <w:jc w:val="both"/>
    </w:pPr>
  </w:style>
  <w:style w:type="paragraph" w:styleId="BodyText2">
    <w:name w:val="Body Text 2"/>
    <w:basedOn w:val="Normal"/>
    <w:pPr>
      <w:jc w:val="center"/>
    </w:pPr>
  </w:style>
  <w:style w:type="paragraph" w:styleId="BodyTextIndent3">
    <w:name w:val="Body Text Indent 3"/>
    <w:basedOn w:val="Normal"/>
    <w:pPr>
      <w:ind w:firstLine="708"/>
    </w:pPr>
    <w:rPr>
      <w:b/>
      <w:bCs/>
    </w:rPr>
  </w:style>
  <w:style w:type="paragraph" w:styleId="Header">
    <w:name w:val="header"/>
    <w:basedOn w:val="Normal"/>
    <w:pPr>
      <w:tabs>
        <w:tab w:val="center" w:pos="4153"/>
        <w:tab w:val="right" w:pos="8306"/>
      </w:tabs>
    </w:pPr>
    <w:rPr>
      <w:sz w:val="20"/>
      <w:szCs w:val="20"/>
      <w:lang w:val="en-GB" w:eastAsia="en-US"/>
    </w:rPr>
  </w:style>
  <w:style w:type="paragraph" w:customStyle="1" w:styleId="Textbubliny">
    <w:name w:val="Text bubliny"/>
    <w:basedOn w:val="Normal"/>
    <w:semiHidden/>
    <w:rPr>
      <w:rFonts w:ascii="Tahoma" w:hAnsi="Tahoma" w:cs="Tahoma"/>
      <w:sz w:val="16"/>
      <w:szCs w:val="16"/>
    </w:rPr>
  </w:style>
  <w:style w:type="character" w:styleId="Emphasis">
    <w:name w:val="Emphasis"/>
    <w:basedOn w:val="DefaultParagraphFont"/>
    <w:uiPriority w:val="20"/>
    <w:qFormat/>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588</TotalTime>
  <Pages>1</Pages>
  <Words>3200</Words>
  <Characters>18241</Characters>
  <Application>Microsoft Office Word</Application>
  <DocSecurity>0</DocSecurity>
  <Lines>152</Lines>
  <Paragraphs>36</Paragraphs>
  <ScaleCrop>false</ScaleCrop>
  <HeadingPairs>
    <vt:vector size="2" baseType="variant">
      <vt:variant>
        <vt:lpstr>Názov</vt:lpstr>
      </vt:variant>
      <vt:variant>
        <vt:i4>1</vt:i4>
      </vt:variant>
    </vt:vector>
  </HeadingPairs>
  <TitlesOfParts>
    <vt:vector size="1" baseType="lpstr">
      <vt:lpstr>  473/2003 Z</vt:lpstr>
    </vt:vector>
  </TitlesOfParts>
  <Company>MP SR</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473/2003 Z</dc:title>
  <dc:creator>timea.lengyelova</dc:creator>
  <cp:lastModifiedBy>timea.lengyelova</cp:lastModifiedBy>
  <cp:revision>41</cp:revision>
  <cp:lastPrinted>2006-02-20T19:13:00Z</cp:lastPrinted>
  <dcterms:created xsi:type="dcterms:W3CDTF">2006-02-08T10:08:00Z</dcterms:created>
  <dcterms:modified xsi:type="dcterms:W3CDTF">2006-02-22T13:47:00Z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675952105</vt:i4>
  </property>
  <property fmtid="{D5CDD505-2E9C-101B-9397-08002B2CF9AE}" pid="3" name="_AuthorEmail">
    <vt:lpwstr>jozef.gaisbacher@land.gov.sk</vt:lpwstr>
  </property>
  <property fmtid="{D5CDD505-2E9C-101B-9397-08002B2CF9AE}" pid="4" name="_AuthorEmailDisplayName">
    <vt:lpwstr>Gaisbacher Jozef</vt:lpwstr>
  </property>
  <property fmtid="{D5CDD505-2E9C-101B-9397-08002B2CF9AE}" pid="5" name="_EmailSubject">
    <vt:lpwstr/>
  </property>
</Properties>
</file>