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rPr>
          <w:rFonts w:ascii="Times New Roman" w:hAnsi="Times New Roman" w:cs="Times New Roman"/>
        </w:rPr>
      </w:pPr>
      <w:r>
        <w:rPr>
          <w:rFonts w:ascii="Times New Roman" w:hAnsi="Times New Roman" w:cs="Times New Roman"/>
          <w:sz w:val="26"/>
        </w:rPr>
        <w:t>DÔVODOVÁ SPRÁVA</w:t>
      </w:r>
    </w:p>
    <w:p>
      <w:pPr>
        <w:rPr>
          <w:rFonts w:ascii="Times New Roman" w:hAnsi="Times New Roman" w:cs="Times New Roman"/>
        </w:rPr>
      </w:pPr>
    </w:p>
    <w:p>
      <w:pPr>
        <w:pStyle w:val="Heading1"/>
        <w:rPr>
          <w:rFonts w:ascii="Times New Roman" w:hAnsi="Times New Roman" w:cs="Times New Roman"/>
        </w:rPr>
      </w:pPr>
      <w:r>
        <w:rPr>
          <w:rFonts w:ascii="Times New Roman" w:hAnsi="Times New Roman" w:cs="Times New Roman"/>
        </w:rPr>
        <w:t>Všeobecná časť</w:t>
      </w:r>
    </w:p>
    <w:p>
      <w:pPr>
        <w:autoSpaceDE/>
        <w:autoSpaceDN/>
        <w:jc w:val="both"/>
        <w:rPr>
          <w:rFonts w:ascii="Times New Roman" w:hAnsi="Times New Roman" w:cs="Times New Roman"/>
          <w:b/>
          <w:bCs/>
        </w:rPr>
      </w:pPr>
    </w:p>
    <w:p>
      <w:pPr>
        <w:pStyle w:val="BodyTextIndent3"/>
        <w:rPr>
          <w:rFonts w:ascii="Times New Roman" w:hAnsi="Times New Roman" w:cs="Times New Roman"/>
        </w:rPr>
      </w:pPr>
      <w:r>
        <w:rPr>
          <w:rFonts w:ascii="Times New Roman" w:hAnsi="Times New Roman" w:cs="Times New Roman"/>
        </w:rPr>
        <w:t>Návrh zákona, ktorým sa mení a dopĺňa zákon č. 258/2001 Z. z. o spotrebiteľských úveroch a o zmene a doplnení zákona Slovenskej národnej rady č. 71/1986 Zb. o Slovenskej obchodnej inšpekcii v znení neskorších predpisov, rea</w:t>
      </w:r>
      <w:r>
        <w:rPr>
          <w:rFonts w:ascii="Times New Roman" w:hAnsi="Times New Roman" w:cs="Times New Roman"/>
        </w:rPr>
        <w:t>guje na nesúlad (nepresnosti) pri výpočte ročnej percentuálnej miery nákladov, nakoľko ide o chybný vzorec pre výpočet ročnej percentuálnej miery nákladov. Prax ukázala, že vypočítaná miera nákladov na základe v súčasnosti používaného vzorca v porovnaní so skutočnou mierou je podhodnotená, dochádza k skresleniu poskytovaných údajov, nakoľko reálne náklady spotrebiteľa sú podstatne vyššie. Tým v konečnom dôsledku dochádza k nenaplneniu cieľa zákona – zvýšiť ochranu a informovanosť spotrebiteľa pri čerpaní spotrebiteľského úveru.</w:t>
      </w:r>
    </w:p>
    <w:p>
      <w:pPr>
        <w:autoSpaceDE/>
        <w:autoSpaceDN/>
        <w:ind w:firstLine="708"/>
        <w:jc w:val="both"/>
        <w:rPr>
          <w:rFonts w:ascii="Times New Roman" w:hAnsi="Times New Roman" w:cs="Times New Roman"/>
        </w:rPr>
      </w:pPr>
    </w:p>
    <w:p>
      <w:pPr>
        <w:autoSpaceDE/>
        <w:autoSpaceDN/>
        <w:ind w:firstLine="708"/>
        <w:jc w:val="both"/>
        <w:rPr>
          <w:rFonts w:ascii="Times New Roman" w:hAnsi="Times New Roman" w:cs="Times New Roman"/>
        </w:rPr>
      </w:pPr>
      <w:r>
        <w:rPr>
          <w:rFonts w:ascii="Times New Roman" w:hAnsi="Times New Roman" w:cs="Times New Roman"/>
        </w:rPr>
        <w:t xml:space="preserve">Novelizácia je potrebná aj z dôvodu zosúladenia a plnej transpozície so </w:t>
      </w:r>
      <w:r>
        <w:rPr>
          <w:rFonts w:ascii="Times New Roman" w:hAnsi="Times New Roman" w:cs="Times New Roman"/>
          <w:bCs/>
        </w:rPr>
        <w:t xml:space="preserve">smernicou Rady 87/102/EHS z 22. decembra 1986 o aproximácii </w:t>
      </w:r>
      <w:r>
        <w:rPr>
          <w:rFonts w:ascii="Times New Roman" w:hAnsi="Times New Roman" w:cs="Times New Roman"/>
        </w:rPr>
        <w:t>zákonov, iných právnych predpisov a správnych opatrení členských štátov, ktoré sa týkajú spotrebiteľského úveru v znení smernice 90/88/EHS a smernice 98/7/ES (ďalej len „smernica“), nakoľko bol zákon č. 258/2001 Z. z. prijatý ešte pred vstupom Slovenskej Republiky do Európskej Únie.</w:t>
      </w:r>
    </w:p>
    <w:p>
      <w:pPr>
        <w:autoSpaceDE/>
        <w:autoSpaceDN/>
        <w:ind w:firstLine="708"/>
        <w:jc w:val="both"/>
        <w:rPr>
          <w:rFonts w:ascii="Times New Roman" w:hAnsi="Times New Roman" w:cs="Times New Roman"/>
        </w:rPr>
      </w:pPr>
    </w:p>
    <w:p>
      <w:pPr>
        <w:autoSpaceDE/>
        <w:autoSpaceDN/>
        <w:ind w:firstLine="708"/>
        <w:jc w:val="both"/>
        <w:rPr>
          <w:rFonts w:ascii="Times New Roman" w:hAnsi="Times New Roman" w:cs="Times New Roman"/>
        </w:rPr>
      </w:pPr>
      <w:r>
        <w:rPr>
          <w:rFonts w:ascii="Times New Roman" w:hAnsi="Times New Roman" w:cs="Times New Roman"/>
        </w:rPr>
        <w:t>Účelom navrhovaného zákona je taktiež úprava práv a povinností, ktoré vznikajú pri poskytnutí spotrebiteľského úveru medzi veriteľom a spotrebiteľom.</w:t>
      </w:r>
    </w:p>
    <w:p>
      <w:pPr>
        <w:autoSpaceDE/>
        <w:autoSpaceDN/>
        <w:ind w:firstLine="708"/>
        <w:jc w:val="both"/>
        <w:rPr>
          <w:rFonts w:ascii="Times New Roman" w:hAnsi="Times New Roman" w:cs="Times New Roman"/>
        </w:rPr>
      </w:pPr>
    </w:p>
    <w:p>
      <w:pPr>
        <w:autoSpaceDE/>
        <w:autoSpaceDN/>
        <w:ind w:firstLine="708"/>
        <w:jc w:val="both"/>
        <w:rPr>
          <w:rFonts w:ascii="Times New Roman" w:hAnsi="Times New Roman" w:cs="Times New Roman"/>
        </w:rPr>
      </w:pPr>
      <w:r>
        <w:rPr>
          <w:rFonts w:ascii="Times New Roman" w:hAnsi="Times New Roman" w:cs="Times New Roman"/>
        </w:rPr>
        <w:t>Novela zákona č. 258/2001 Z. z. zároveň mení ustanovenie, ktoré podrobnejšie upravuje informačnú povinnosť pri poskytovaní spotrebiteľského úveru formou preddavkov na bežný účet s výnimkou účtu, ku ktorému bola vydaná kreditná karta.</w:t>
      </w:r>
    </w:p>
    <w:p>
      <w:pPr>
        <w:autoSpaceDE/>
        <w:autoSpaceDN/>
        <w:ind w:firstLine="708"/>
        <w:jc w:val="both"/>
        <w:rPr>
          <w:rFonts w:ascii="Times New Roman" w:hAnsi="Times New Roman" w:cs="Times New Roman"/>
        </w:rPr>
      </w:pPr>
    </w:p>
    <w:p>
      <w:pPr>
        <w:autoSpaceDE/>
        <w:autoSpaceDN/>
        <w:ind w:firstLine="708"/>
        <w:jc w:val="both"/>
        <w:rPr>
          <w:rFonts w:ascii="Times New Roman" w:hAnsi="Times New Roman" w:cs="Times New Roman"/>
        </w:rPr>
      </w:pPr>
      <w:r>
        <w:rPr>
          <w:rFonts w:ascii="Times New Roman" w:hAnsi="Times New Roman" w:cs="Times New Roman"/>
        </w:rPr>
        <w:t>Okrem uvedených zmien sa rozširuje aj ustanovenie o kontrole a pokutách voči porušovateľom tohto zákona, kedy Slovenská obchodná inšpekcia je oprávnená kontrolovať nielen podmienky ponuky spotrebiteľského úveru, ale aj náležitosti zmluvy o spotrebiteľskom úvere, a to u všetkých skupín veriteľov, teda pri nebankových, ako aj bankových obchodných spoločnostiach.</w:t>
      </w:r>
    </w:p>
    <w:p>
      <w:pPr>
        <w:autoSpaceDE/>
        <w:autoSpaceDN/>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Posúdenie vplyvov návrhu zákona na verejné financie, obyvateľov, hospodárenie podnikateľskej sféry a iných právnických osôb, životné prostredie, zamestnanosť a na podnikateľské prostredie obsahuje Doložka finančných, ekonomických, environmentálnych vplyvov a vplyvov na zamestnanosť a podnikateľské prostredie.</w:t>
      </w:r>
    </w:p>
    <w:p>
      <w:pPr>
        <w:autoSpaceDE/>
        <w:autoSpaceDN/>
        <w:ind w:firstLine="708"/>
        <w:jc w:val="both"/>
        <w:rPr>
          <w:rFonts w:ascii="Times New Roman" w:hAnsi="Times New Roman" w:cs="Times New Roman"/>
        </w:rPr>
      </w:pPr>
    </w:p>
    <w:p>
      <w:pPr>
        <w:autoSpaceDE/>
        <w:autoSpaceDN/>
        <w:ind w:firstLine="708"/>
        <w:jc w:val="both"/>
        <w:rPr>
          <w:rFonts w:ascii="Times New Roman" w:hAnsi="Times New Roman" w:cs="Times New Roman"/>
        </w:rPr>
      </w:pPr>
      <w:r>
        <w:rPr>
          <w:rFonts w:ascii="Times New Roman" w:hAnsi="Times New Roman" w:cs="Times New Roman"/>
        </w:rPr>
        <w:t>Návrh zákona je v súlade s Ústavou</w:t>
      </w:r>
      <w:r>
        <w:rPr>
          <w:rFonts w:ascii="Times New Roman" w:hAnsi="Times New Roman" w:cs="Times New Roman"/>
        </w:rPr>
        <w:t xml:space="preserve"> Slovenskej republiky, s ostatnými zákonmi a medzinárodnými zmluvami a medzinárodnými záväzkami, ktorými je Slovenská republika viazaná.</w:t>
      </w:r>
    </w:p>
    <w:p>
      <w:pPr>
        <w:pStyle w:val="Title"/>
        <w:jc w:val="both"/>
        <w:rPr>
          <w:rFonts w:ascii="Times New Roman" w:hAnsi="Times New Roman" w:cs="Times New Roman"/>
        </w:rPr>
      </w:pPr>
    </w:p>
    <w:p>
      <w:pPr>
        <w:pStyle w:val="Title"/>
        <w:jc w:val="both"/>
        <w:rPr>
          <w:rFonts w:ascii="Times New Roman" w:hAnsi="Times New Roman" w:cs="Times New Roman"/>
        </w:rPr>
      </w:pPr>
    </w:p>
    <w:p>
      <w:pPr>
        <w:pStyle w:val="Title"/>
        <w:jc w:val="both"/>
        <w:rPr>
          <w:rFonts w:ascii="Times New Roman" w:hAnsi="Times New Roman" w:cs="Times New Roman"/>
        </w:rPr>
      </w:pPr>
    </w:p>
    <w:p>
      <w:pPr>
        <w:pStyle w:val="Title"/>
        <w:jc w:val="both"/>
        <w:rPr>
          <w:rFonts w:ascii="Times New Roman" w:hAnsi="Times New Roman" w:cs="Times New Roman"/>
        </w:rPr>
      </w:pPr>
    </w:p>
    <w:p>
      <w:pPr>
        <w:pStyle w:val="Title"/>
        <w:jc w:val="both"/>
        <w:rPr>
          <w:rFonts w:ascii="Times New Roman" w:hAnsi="Times New Roman" w:cs="Times New Roman"/>
        </w:rPr>
      </w:pPr>
    </w:p>
    <w:p>
      <w:pPr>
        <w:pStyle w:val="Title"/>
        <w:jc w:val="both"/>
        <w:rPr>
          <w:rFonts w:ascii="Times New Roman" w:hAnsi="Times New Roman" w:cs="Times New Roman"/>
        </w:rPr>
      </w:pPr>
    </w:p>
    <w:p>
      <w:pPr>
        <w:pStyle w:val="Title"/>
        <w:jc w:val="both"/>
        <w:rPr>
          <w:rFonts w:ascii="Times New Roman" w:hAnsi="Times New Roman" w:cs="Times New Roman"/>
        </w:rPr>
      </w:pPr>
    </w:p>
    <w:p>
      <w:pPr>
        <w:pStyle w:val="Title"/>
        <w:rPr>
          <w:rFonts w:ascii="Times New Roman" w:hAnsi="Times New Roman" w:cs="Times New Roman"/>
        </w:rPr>
      </w:pPr>
      <w:r>
        <w:rPr>
          <w:rFonts w:ascii="Times New Roman" w:hAnsi="Times New Roman" w:cs="Times New Roman"/>
        </w:rPr>
        <w:br w:type="page"/>
        <w:t>DOLOŽKA ZLUČITEĽNOSTI</w:t>
      </w:r>
    </w:p>
    <w:p>
      <w:pPr>
        <w:pStyle w:val="Title"/>
        <w:rPr>
          <w:rFonts w:ascii="Times New Roman" w:hAnsi="Times New Roman" w:cs="Times New Roman"/>
        </w:rPr>
      </w:pPr>
    </w:p>
    <w:p>
      <w:pPr>
        <w:pBdr>
          <w:bottom w:val="single" w:sz="6" w:space="1" w:color="auto"/>
        </w:pBdr>
        <w:jc w:val="center"/>
        <w:rPr>
          <w:rFonts w:ascii="Times New Roman" w:hAnsi="Times New Roman" w:cs="Times New Roman"/>
          <w:bCs/>
        </w:rPr>
      </w:pPr>
      <w:r>
        <w:rPr>
          <w:rFonts w:ascii="Times New Roman" w:hAnsi="Times New Roman" w:cs="Times New Roman"/>
        </w:rPr>
        <w:t xml:space="preserve">návrhu zákona, ktorým sa mení a dopĺňa zákon č. 258/2001 Z. z. o spotrebiteľských úveroch a o zmene a doplnení zákona Slovenskej národnej rady č. 71/1986 Zb. o Slovenskej obchodnej inšpekcii v znení neskorších predpisov </w:t>
      </w:r>
      <w:r>
        <w:rPr>
          <w:rFonts w:ascii="Times New Roman" w:hAnsi="Times New Roman" w:cs="Times New Roman"/>
          <w:bCs/>
        </w:rPr>
        <w:t>s právom Európskych spoločenstiev a právom Európskej únie</w:t>
      </w:r>
    </w:p>
    <w:p>
      <w:pPr>
        <w:jc w:val="center"/>
        <w:rPr>
          <w:rFonts w:ascii="Times New Roman" w:hAnsi="Times New Roman" w:cs="Times New Roman"/>
          <w:b/>
        </w:rPr>
      </w:pPr>
    </w:p>
    <w:p>
      <w:pPr>
        <w:numPr>
          <w:ilvl w:val="0"/>
          <w:numId w:val="1"/>
        </w:numPr>
        <w:spacing w:after="120"/>
        <w:jc w:val="both"/>
        <w:rPr>
          <w:rFonts w:ascii="Times New Roman" w:hAnsi="Times New Roman" w:cs="Times New Roman"/>
        </w:rPr>
      </w:pPr>
      <w:r>
        <w:rPr>
          <w:rFonts w:ascii="Times New Roman" w:hAnsi="Times New Roman" w:cs="Times New Roman"/>
          <w:b/>
        </w:rPr>
        <w:t>Predkladateľ zákona:</w:t>
      </w:r>
    </w:p>
    <w:p>
      <w:pPr>
        <w:ind w:firstLine="425"/>
        <w:jc w:val="both"/>
        <w:rPr>
          <w:rFonts w:ascii="Times New Roman" w:hAnsi="Times New Roman" w:cs="Times New Roman"/>
        </w:rPr>
      </w:pPr>
      <w:r>
        <w:rPr>
          <w:rFonts w:ascii="Times New Roman" w:hAnsi="Times New Roman" w:cs="Times New Roman"/>
        </w:rPr>
        <w:t xml:space="preserve">Vláda Slovenskej republiky. </w:t>
      </w:r>
    </w:p>
    <w:p>
      <w:pPr>
        <w:jc w:val="both"/>
        <w:rPr>
          <w:rFonts w:ascii="Times New Roman" w:hAnsi="Times New Roman" w:cs="Times New Roman"/>
          <w:b/>
        </w:rPr>
      </w:pPr>
    </w:p>
    <w:p>
      <w:pPr>
        <w:numPr>
          <w:ilvl w:val="0"/>
          <w:numId w:val="1"/>
        </w:numPr>
        <w:spacing w:after="120"/>
        <w:jc w:val="both"/>
        <w:rPr>
          <w:rFonts w:ascii="Times New Roman" w:hAnsi="Times New Roman" w:cs="Times New Roman"/>
          <w:b/>
        </w:rPr>
      </w:pPr>
      <w:r>
        <w:rPr>
          <w:rFonts w:ascii="Times New Roman" w:hAnsi="Times New Roman" w:cs="Times New Roman"/>
          <w:b/>
        </w:rPr>
        <w:t>Názov návrhu z</w:t>
      </w:r>
      <w:r>
        <w:rPr>
          <w:rFonts w:ascii="Times New Roman" w:hAnsi="Times New Roman" w:cs="Times New Roman"/>
          <w:b/>
        </w:rPr>
        <w:t>ákona:</w:t>
      </w:r>
    </w:p>
    <w:p>
      <w:pPr>
        <w:ind w:left="425"/>
        <w:jc w:val="both"/>
        <w:rPr>
          <w:rFonts w:ascii="Times New Roman" w:hAnsi="Times New Roman" w:cs="Times New Roman"/>
          <w:b/>
        </w:rPr>
      </w:pPr>
      <w:r>
        <w:rPr>
          <w:rFonts w:ascii="Times New Roman" w:hAnsi="Times New Roman" w:cs="Times New Roman"/>
        </w:rPr>
        <w:t>Návrh zákona, ktorým sa mení a dopĺňa zákon č. 258/2001 Z. z. o spotrebiteľských úveroch a o zmene a doplnení zákona Slovenskej národnej rady č. 71/1986 Zb. o Slovenskej obchodnej inšpekcii v znení neskorších predpisov.</w:t>
      </w:r>
    </w:p>
    <w:p>
      <w:pPr>
        <w:jc w:val="both"/>
        <w:rPr>
          <w:rFonts w:ascii="Times New Roman" w:hAnsi="Times New Roman" w:cs="Times New Roman"/>
          <w:b/>
        </w:rPr>
      </w:pPr>
    </w:p>
    <w:p>
      <w:pPr>
        <w:numPr>
          <w:ilvl w:val="0"/>
          <w:numId w:val="1"/>
        </w:numPr>
        <w:spacing w:after="120"/>
        <w:jc w:val="both"/>
        <w:rPr>
          <w:rFonts w:ascii="Times New Roman" w:hAnsi="Times New Roman" w:cs="Times New Roman"/>
          <w:b/>
        </w:rPr>
      </w:pPr>
      <w:r>
        <w:rPr>
          <w:rFonts w:ascii="Times New Roman" w:hAnsi="Times New Roman" w:cs="Times New Roman"/>
          <w:b/>
        </w:rPr>
        <w:t xml:space="preserve">Problematika návrhu zákona: </w:t>
      </w:r>
    </w:p>
    <w:p>
      <w:pPr>
        <w:pStyle w:val="BodyText"/>
        <w:numPr>
          <w:ilvl w:val="1"/>
          <w:numId w:val="1"/>
        </w:numPr>
        <w:spacing w:after="0"/>
        <w:rPr>
          <w:rFonts w:ascii="Times New Roman" w:hAnsi="Times New Roman" w:cs="Times New Roman"/>
        </w:rPr>
      </w:pPr>
      <w:r>
        <w:rPr>
          <w:rFonts w:ascii="Times New Roman" w:hAnsi="Times New Roman" w:cs="Times New Roman"/>
        </w:rPr>
        <w:t>je upravená v práve Európskych spoločenstiev:</w:t>
      </w:r>
    </w:p>
    <w:p>
      <w:pPr>
        <w:pStyle w:val="BodyText"/>
        <w:spacing w:after="0"/>
        <w:ind w:left="900" w:hanging="360"/>
        <w:rPr>
          <w:rFonts w:ascii="Times New Roman" w:hAnsi="Times New Roman" w:cs="Times New Roman"/>
          <w:b/>
          <w:i/>
        </w:rPr>
      </w:pPr>
      <w:r>
        <w:rPr>
          <w:rFonts w:ascii="Times New Roman" w:hAnsi="Times New Roman" w:cs="Times New Roman"/>
          <w:b/>
          <w:i/>
        </w:rPr>
        <w:t xml:space="preserve">v primárnom práve: </w:t>
      </w:r>
    </w:p>
    <w:p>
      <w:pPr>
        <w:pStyle w:val="BodyText"/>
        <w:numPr>
          <w:ilvl w:val="0"/>
          <w:numId w:val="3"/>
        </w:numPr>
        <w:tabs>
          <w:tab w:val="left" w:pos="900"/>
        </w:tabs>
        <w:spacing w:after="0"/>
        <w:rPr>
          <w:rFonts w:ascii="Times New Roman" w:hAnsi="Times New Roman" w:cs="Times New Roman"/>
        </w:rPr>
      </w:pPr>
      <w:r>
        <w:rPr>
          <w:rFonts w:ascii="Times New Roman" w:hAnsi="Times New Roman" w:cs="Times New Roman"/>
        </w:rPr>
        <w:t>Zmluva o založení Európskeho spoločenstva (</w:t>
      </w:r>
      <w:r>
        <w:rPr>
          <w:rFonts w:ascii="Times New Roman" w:hAnsi="Times New Roman" w:cs="Times New Roman"/>
          <w:bCs/>
        </w:rPr>
        <w:t>čl.  95</w:t>
      </w:r>
      <w:r>
        <w:rPr>
          <w:rFonts w:ascii="Times New Roman" w:hAnsi="Times New Roman" w:cs="Times New Roman"/>
        </w:rPr>
        <w:t xml:space="preserve">), </w:t>
      </w:r>
    </w:p>
    <w:p>
      <w:pPr>
        <w:pStyle w:val="BodyTextIndent"/>
        <w:ind w:left="539"/>
        <w:jc w:val="both"/>
        <w:rPr>
          <w:rFonts w:ascii="Times New Roman" w:hAnsi="Times New Roman" w:cs="Times New Roman"/>
          <w:b/>
          <w:bCs w:val="0"/>
          <w:i/>
        </w:rPr>
      </w:pPr>
      <w:r>
        <w:rPr>
          <w:rFonts w:ascii="Times New Roman" w:hAnsi="Times New Roman" w:cs="Times New Roman"/>
          <w:b/>
          <w:bCs w:val="0"/>
          <w:i/>
        </w:rPr>
        <w:t xml:space="preserve">v sekundárnom práve: </w:t>
      </w:r>
    </w:p>
    <w:p>
      <w:pPr>
        <w:pStyle w:val="BodyTextIndent"/>
        <w:numPr>
          <w:ilvl w:val="0"/>
          <w:numId w:val="2"/>
        </w:numPr>
        <w:tabs>
          <w:tab w:val="left" w:pos="900"/>
        </w:tabs>
        <w:spacing w:after="120"/>
        <w:ind w:left="896" w:hanging="357"/>
        <w:jc w:val="both"/>
        <w:rPr>
          <w:rFonts w:ascii="Times New Roman" w:hAnsi="Times New Roman" w:cs="Times New Roman"/>
          <w:szCs w:val="20"/>
        </w:rPr>
      </w:pPr>
      <w:r>
        <w:rPr>
          <w:rFonts w:ascii="Times New Roman" w:hAnsi="Times New Roman" w:cs="Times New Roman"/>
        </w:rPr>
        <w:t>Smernica Rady 87/102/EHS z 22. decembra 1986 o aproximácii zákonov, iných právnych predpisov a správnych opatrení</w:t>
      </w:r>
      <w:r>
        <w:rPr>
          <w:rFonts w:ascii="Times New Roman" w:hAnsi="Times New Roman" w:cs="Times New Roman"/>
        </w:rPr>
        <w:t xml:space="preserve"> členských štátov, ktoré sa týkajú spotrebiteľského úveru (Ú. v. ES L 042, 12.02.1987),</w:t>
      </w:r>
    </w:p>
    <w:p>
      <w:pPr>
        <w:pStyle w:val="BodyTextIndent"/>
        <w:numPr>
          <w:ilvl w:val="0"/>
          <w:numId w:val="2"/>
        </w:numPr>
        <w:tabs>
          <w:tab w:val="left" w:pos="900"/>
        </w:tabs>
        <w:spacing w:after="120"/>
        <w:ind w:left="896" w:hanging="357"/>
        <w:jc w:val="both"/>
        <w:rPr>
          <w:rFonts w:ascii="Times New Roman" w:hAnsi="Times New Roman" w:cs="Times New Roman"/>
        </w:rPr>
      </w:pPr>
      <w:r>
        <w:rPr>
          <w:rFonts w:ascii="Times New Roman" w:hAnsi="Times New Roman" w:cs="Times New Roman"/>
        </w:rPr>
        <w:t>Smernica Rady 90/88/EHS z 22. februára 1990, ktorou sa mení a dopĺňa smernica 87/102/EHS o aproximácii zákonov, iných právnych predpisov a správnych opatrení členských štátov, ktoré sa týkajú spotrebiteľského úveru (Ú. v. ES L 061, 10.03.1990),</w:t>
      </w:r>
    </w:p>
    <w:p>
      <w:pPr>
        <w:pStyle w:val="BodyTextIndent2"/>
        <w:numPr>
          <w:ilvl w:val="0"/>
          <w:numId w:val="2"/>
        </w:numPr>
        <w:tabs>
          <w:tab w:val="left" w:pos="900"/>
        </w:tabs>
        <w:spacing w:after="120"/>
        <w:ind w:left="896" w:hanging="357"/>
        <w:jc w:val="both"/>
        <w:rPr>
          <w:rFonts w:ascii="Times New Roman" w:hAnsi="Times New Roman" w:cs="Times New Roman"/>
          <w:color w:val="auto"/>
        </w:rPr>
      </w:pPr>
      <w:r>
        <w:rPr>
          <w:rFonts w:ascii="Times New Roman" w:hAnsi="Times New Roman" w:cs="Times New Roman"/>
          <w:color w:val="auto"/>
        </w:rPr>
        <w:t>Smernica Európskeho parlamentu a Rady 98/7/ES zo 16. februára 1998, ktorou sa mení a dopĺňa smernica 87/102/EHS o aproximácii zákonov, iných právnych predpisov a správnych opatrení členských štátov vzťahujúcich sa na spotrebiteľský úver (Ú. v. ES L 101, 01.04.1998).</w:t>
      </w:r>
    </w:p>
    <w:p>
      <w:pPr>
        <w:ind w:left="900" w:hanging="360"/>
        <w:jc w:val="both"/>
        <w:rPr>
          <w:rFonts w:ascii="Times New Roman" w:hAnsi="Times New Roman" w:cs="Times New Roman"/>
          <w:b/>
        </w:rPr>
      </w:pPr>
    </w:p>
    <w:p>
      <w:pPr>
        <w:pStyle w:val="BodyText"/>
        <w:numPr>
          <w:ilvl w:val="1"/>
          <w:numId w:val="1"/>
        </w:numPr>
        <w:spacing w:after="0"/>
        <w:rPr>
          <w:rFonts w:ascii="Times New Roman" w:hAnsi="Times New Roman" w:cs="Times New Roman"/>
        </w:rPr>
      </w:pPr>
      <w:r>
        <w:rPr>
          <w:rFonts w:ascii="Times New Roman" w:hAnsi="Times New Roman" w:cs="Times New Roman"/>
        </w:rPr>
        <w:t xml:space="preserve">nie je upravená v práve Európskej únie </w:t>
      </w:r>
    </w:p>
    <w:p>
      <w:pPr>
        <w:pStyle w:val="BodyText"/>
        <w:numPr>
          <w:ilvl w:val="1"/>
          <w:numId w:val="1"/>
        </w:numPr>
        <w:jc w:val="both"/>
        <w:rPr>
          <w:rFonts w:ascii="Times New Roman" w:hAnsi="Times New Roman" w:cs="Times New Roman"/>
        </w:rPr>
      </w:pPr>
      <w:r>
        <w:rPr>
          <w:rFonts w:ascii="Times New Roman" w:hAnsi="Times New Roman" w:cs="Times New Roman"/>
        </w:rPr>
        <w:t>je obsiahnutá v judikatúre Súdneho dvora Európskych spoločenstiev alebo Súdu prvého stupňa Európskych spoločenstiev:</w:t>
      </w:r>
    </w:p>
    <w:p>
      <w:pPr>
        <w:pStyle w:val="BodyText"/>
        <w:numPr>
          <w:ilvl w:val="0"/>
          <w:numId w:val="2"/>
        </w:numPr>
        <w:tabs>
          <w:tab w:val="left" w:pos="900"/>
        </w:tabs>
        <w:ind w:left="896" w:hanging="357"/>
        <w:jc w:val="both"/>
        <w:rPr>
          <w:rFonts w:ascii="Times New Roman" w:hAnsi="Times New Roman" w:cs="Times New Roman"/>
          <w:szCs w:val="22"/>
        </w:rPr>
      </w:pPr>
      <w:r>
        <w:rPr>
          <w:rFonts w:ascii="Times New Roman" w:hAnsi="Times New Roman" w:cs="Times New Roman"/>
        </w:rPr>
        <w:t>v rozhodnu</w:t>
      </w:r>
      <w:r>
        <w:rPr>
          <w:rFonts w:ascii="Times New Roman" w:hAnsi="Times New Roman" w:cs="Times New Roman"/>
        </w:rPr>
        <w:t xml:space="preserve">tí  Súdneho dvora </w:t>
      </w:r>
      <w:r>
        <w:rPr>
          <w:rFonts w:ascii="Times New Roman" w:hAnsi="Times New Roman" w:cs="Times New Roman"/>
          <w:szCs w:val="22"/>
        </w:rPr>
        <w:t xml:space="preserve">Európskych spoločenstiev vo veci C – </w:t>
      </w:r>
      <w:r>
        <w:rPr>
          <w:rFonts w:ascii="Times New Roman" w:hAnsi="Times New Roman" w:cs="Times New Roman"/>
          <w:szCs w:val="22"/>
          <w:lang w:val="et-EE"/>
        </w:rPr>
        <w:t>192/94</w:t>
      </w:r>
      <w:r>
        <w:rPr>
          <w:rFonts w:ascii="Times New Roman" w:hAnsi="Times New Roman" w:cs="Times New Roman"/>
          <w:szCs w:val="22"/>
        </w:rPr>
        <w:t>, El Corte Inglés SA v Cristina Blázquez Rivero,  rok  1996, Zb. roz. ESD (I-01281),</w:t>
      </w:r>
    </w:p>
    <w:p>
      <w:pPr>
        <w:pStyle w:val="BodyText"/>
        <w:numPr>
          <w:ilvl w:val="0"/>
          <w:numId w:val="2"/>
        </w:numPr>
        <w:tabs>
          <w:tab w:val="left" w:pos="900"/>
        </w:tabs>
        <w:ind w:left="896" w:hanging="357"/>
        <w:jc w:val="both"/>
        <w:rPr>
          <w:rFonts w:ascii="Times New Roman" w:hAnsi="Times New Roman" w:cs="Times New Roman"/>
          <w:szCs w:val="22"/>
        </w:rPr>
      </w:pPr>
      <w:r>
        <w:rPr>
          <w:rFonts w:ascii="Times New Roman" w:hAnsi="Times New Roman" w:cs="Times New Roman"/>
          <w:szCs w:val="22"/>
        </w:rPr>
        <w:t xml:space="preserve">v </w:t>
      </w:r>
      <w:r>
        <w:rPr>
          <w:rFonts w:ascii="Times New Roman" w:hAnsi="Times New Roman" w:cs="Times New Roman"/>
        </w:rPr>
        <w:t xml:space="preserve">rozhodnutí Súdneho dvora </w:t>
      </w:r>
      <w:r>
        <w:rPr>
          <w:rFonts w:ascii="Times New Roman" w:hAnsi="Times New Roman" w:cs="Times New Roman"/>
          <w:szCs w:val="22"/>
        </w:rPr>
        <w:t xml:space="preserve">Európskych spoločenstiev vo veci C – </w:t>
      </w:r>
      <w:r>
        <w:rPr>
          <w:rFonts w:ascii="Times New Roman" w:hAnsi="Times New Roman" w:cs="Times New Roman"/>
          <w:szCs w:val="22"/>
          <w:lang w:val="et-EE"/>
        </w:rPr>
        <w:t>208/98</w:t>
      </w:r>
      <w:r>
        <w:rPr>
          <w:rFonts w:ascii="Times New Roman" w:hAnsi="Times New Roman" w:cs="Times New Roman"/>
          <w:szCs w:val="22"/>
        </w:rPr>
        <w:t>, Berliner Kindl Brauerei AG v Andreas S</w:t>
      </w:r>
      <w:r>
        <w:rPr>
          <w:rFonts w:ascii="Times New Roman" w:hAnsi="Times New Roman" w:cs="Times New Roman"/>
          <w:szCs w:val="22"/>
        </w:rPr>
        <w:t>iepert,  rok  2000, Zb. roz. ESD (I-01741),</w:t>
      </w:r>
    </w:p>
    <w:p>
      <w:pPr>
        <w:pStyle w:val="BodyText"/>
        <w:numPr>
          <w:ilvl w:val="0"/>
          <w:numId w:val="2"/>
        </w:numPr>
        <w:tabs>
          <w:tab w:val="left" w:pos="900"/>
        </w:tabs>
        <w:ind w:left="896" w:hanging="357"/>
        <w:jc w:val="both"/>
        <w:rPr>
          <w:rFonts w:ascii="Times New Roman" w:hAnsi="Times New Roman" w:cs="Times New Roman"/>
          <w:szCs w:val="22"/>
        </w:rPr>
      </w:pPr>
      <w:r>
        <w:rPr>
          <w:rFonts w:ascii="Times New Roman" w:hAnsi="Times New Roman" w:cs="Times New Roman"/>
          <w:szCs w:val="22"/>
        </w:rPr>
        <w:t>v </w:t>
      </w:r>
      <w:r>
        <w:rPr>
          <w:rFonts w:ascii="Times New Roman" w:hAnsi="Times New Roman" w:cs="Times New Roman"/>
        </w:rPr>
        <w:t xml:space="preserve">rozhodnutí Súdneho dvora </w:t>
      </w:r>
      <w:r>
        <w:rPr>
          <w:rFonts w:ascii="Times New Roman" w:hAnsi="Times New Roman" w:cs="Times New Roman"/>
          <w:szCs w:val="22"/>
        </w:rPr>
        <w:t xml:space="preserve">Európskych spoločenstiev vo veci C – </w:t>
      </w:r>
      <w:r>
        <w:rPr>
          <w:rFonts w:ascii="Times New Roman" w:hAnsi="Times New Roman" w:cs="Times New Roman"/>
          <w:szCs w:val="22"/>
          <w:lang w:val="et-EE"/>
        </w:rPr>
        <w:t>264/02</w:t>
      </w:r>
      <w:r>
        <w:rPr>
          <w:rFonts w:ascii="Times New Roman" w:hAnsi="Times New Roman" w:cs="Times New Roman"/>
          <w:szCs w:val="22"/>
        </w:rPr>
        <w:t>, Cofinoga Mérignac SA v Sylvain Sachithanathan,  rok  2004, Zb. roz. ESD (I-02157).</w:t>
      </w:r>
    </w:p>
    <w:p>
      <w:pPr>
        <w:pStyle w:val="BodyText"/>
        <w:spacing w:after="0"/>
        <w:ind w:left="425"/>
        <w:rPr>
          <w:rFonts w:ascii="Times New Roman" w:hAnsi="Times New Roman" w:cs="Times New Roman"/>
        </w:rPr>
      </w:pPr>
    </w:p>
    <w:p>
      <w:pPr>
        <w:numPr>
          <w:ilvl w:val="0"/>
          <w:numId w:val="1"/>
        </w:numPr>
        <w:spacing w:after="120"/>
        <w:jc w:val="both"/>
        <w:rPr>
          <w:rFonts w:ascii="Times New Roman" w:hAnsi="Times New Roman" w:cs="Times New Roman"/>
          <w:b/>
        </w:rPr>
      </w:pPr>
      <w:r>
        <w:rPr>
          <w:rFonts w:ascii="Times New Roman" w:hAnsi="Times New Roman" w:cs="Times New Roman"/>
          <w:b/>
        </w:rPr>
        <w:t>Záväzky Slovenskej republiky vo vzťahu k Európskym spoločenstvám a Európskej únii:</w:t>
      </w:r>
    </w:p>
    <w:p>
      <w:pPr>
        <w:pStyle w:val="BodyText"/>
        <w:tabs>
          <w:tab w:val="left" w:pos="360"/>
        </w:tabs>
        <w:ind w:left="357" w:hanging="357"/>
        <w:jc w:val="both"/>
        <w:rPr>
          <w:rFonts w:ascii="Times New Roman" w:hAnsi="Times New Roman" w:cs="Times New Roman"/>
          <w:bCs/>
        </w:rPr>
      </w:pPr>
      <w:r>
        <w:rPr>
          <w:rFonts w:ascii="Times New Roman" w:hAnsi="Times New Roman" w:cs="Times New Roman"/>
          <w:bCs/>
        </w:rPr>
        <w:t>a)</w:t>
        <w:tab/>
        <w:t>Zo Zmluvy o pristúpení Slovenskej republiky k Európskej únii, najmä Aktu o podmienkach pristúpenia nevyplývajú pre SR žiadne záväzky.</w:t>
      </w:r>
    </w:p>
    <w:p>
      <w:pPr>
        <w:pStyle w:val="BodyText"/>
        <w:tabs>
          <w:tab w:val="left" w:pos="360"/>
          <w:tab w:val="left" w:pos="540"/>
        </w:tabs>
        <w:ind w:left="357" w:hanging="357"/>
        <w:jc w:val="both"/>
        <w:rPr>
          <w:rFonts w:ascii="Times New Roman" w:hAnsi="Times New Roman" w:cs="Times New Roman"/>
          <w:bCs/>
        </w:rPr>
      </w:pPr>
      <w:r>
        <w:rPr>
          <w:rFonts w:ascii="Times New Roman" w:hAnsi="Times New Roman" w:cs="Times New Roman"/>
          <w:bCs/>
        </w:rPr>
        <w:t>b)</w:t>
        <w:tab/>
        <w:t>Podľa Zmluvy o pristúpení Slovenskej republiky k Európskej únii, najmä Aktu o podmienkach pristúpenia, nepožiadala SR o žiadne prechodné obdobia.</w:t>
      </w:r>
    </w:p>
    <w:p>
      <w:pPr>
        <w:pStyle w:val="BodyText"/>
        <w:tabs>
          <w:tab w:val="left" w:pos="360"/>
        </w:tabs>
        <w:ind w:left="357" w:hanging="357"/>
        <w:jc w:val="both"/>
        <w:rPr>
          <w:rFonts w:ascii="Times New Roman" w:hAnsi="Times New Roman" w:cs="Times New Roman"/>
          <w:bCs/>
        </w:rPr>
      </w:pPr>
      <w:r>
        <w:rPr>
          <w:rFonts w:ascii="Times New Roman" w:hAnsi="Times New Roman" w:cs="Times New Roman"/>
          <w:bCs/>
        </w:rPr>
        <w:t>c)</w:t>
        <w:tab/>
        <w:t xml:space="preserve">Lehota na prebratie smernice podľa určenia gestorských ústredných orgánov štátnej správy zodpovedných za prebratie smerníc a vypracovanie tabuliek zhody k návrhom všeobecne záväzných právnych predpisov: </w:t>
      </w:r>
      <w:r>
        <w:rPr>
          <w:rFonts w:ascii="Times New Roman" w:hAnsi="Times New Roman" w:cs="Times New Roman"/>
          <w:szCs w:val="19"/>
        </w:rPr>
        <w:t xml:space="preserve">nebola určená žiadna lehota na prebratie smerníc, pre SR </w:t>
      </w:r>
      <w:r>
        <w:rPr>
          <w:rFonts w:ascii="Times New Roman" w:hAnsi="Times New Roman" w:cs="Times New Roman"/>
        </w:rPr>
        <w:t>v predmetnej oblasti vyplýva z gestorstva smerníc povinnosť dosiahnuť súlad právnych predpisov so smernicami.</w:t>
      </w:r>
    </w:p>
    <w:p>
      <w:pPr>
        <w:pStyle w:val="BodyText"/>
        <w:tabs>
          <w:tab w:val="left" w:pos="360"/>
        </w:tabs>
        <w:ind w:left="357" w:hanging="357"/>
        <w:jc w:val="both"/>
        <w:rPr>
          <w:rFonts w:ascii="Times New Roman" w:hAnsi="Times New Roman" w:cs="Times New Roman"/>
          <w:bCs/>
        </w:rPr>
      </w:pPr>
      <w:r>
        <w:rPr>
          <w:rFonts w:ascii="Times New Roman" w:hAnsi="Times New Roman" w:cs="Times New Roman"/>
          <w:bCs/>
        </w:rPr>
        <w:t>d)</w:t>
        <w:tab/>
        <w:t>Proti SR nebolo začaté konanie o porušení Zmluvy o založení Európskych spoločenstiev podľa čl. 226 až 228 Zmluvy o založení Európskych spoločenstiev v platnom znení.</w:t>
      </w:r>
    </w:p>
    <w:p>
      <w:pPr>
        <w:pStyle w:val="BodyText"/>
        <w:tabs>
          <w:tab w:val="left" w:pos="360"/>
        </w:tabs>
        <w:ind w:left="357" w:hanging="357"/>
        <w:jc w:val="both"/>
        <w:rPr>
          <w:rFonts w:ascii="Times New Roman" w:hAnsi="Times New Roman" w:cs="Times New Roman"/>
          <w:bCs/>
        </w:rPr>
      </w:pPr>
      <w:r>
        <w:rPr>
          <w:rFonts w:ascii="Times New Roman" w:hAnsi="Times New Roman" w:cs="Times New Roman"/>
          <w:bCs/>
        </w:rPr>
        <w:t>e)</w:t>
        <w:tab/>
        <w:t xml:space="preserve">Právne predpisy, v ktorých sú preberané smernice už prebrané: </w:t>
      </w:r>
      <w:r>
        <w:rPr>
          <w:rFonts w:ascii="Times New Roman" w:hAnsi="Times New Roman" w:cs="Times New Roman"/>
        </w:rPr>
        <w:t>zákon č. 258/2001 Z. z. o spotrebiteľských úveroch a o zmene a doplnení zákona Slovenskej národnej rady č. 71/1986 Zb. o Slovenskej obchodnej inšpekcii v znení neskorších predpisov.</w:t>
      </w:r>
    </w:p>
    <w:p>
      <w:pPr>
        <w:pStyle w:val="BodyText"/>
        <w:tabs>
          <w:tab w:val="left" w:pos="360"/>
        </w:tabs>
        <w:spacing w:after="0"/>
        <w:ind w:left="850"/>
        <w:jc w:val="both"/>
        <w:rPr>
          <w:rFonts w:ascii="Times New Roman" w:hAnsi="Times New Roman" w:cs="Times New Roman"/>
        </w:rPr>
      </w:pPr>
    </w:p>
    <w:p>
      <w:pPr>
        <w:numPr>
          <w:ilvl w:val="0"/>
          <w:numId w:val="1"/>
        </w:numPr>
        <w:spacing w:after="120"/>
        <w:jc w:val="both"/>
        <w:rPr>
          <w:rFonts w:ascii="Times New Roman" w:hAnsi="Times New Roman" w:cs="Times New Roman"/>
          <w:b/>
        </w:rPr>
      </w:pPr>
      <w:r>
        <w:rPr>
          <w:rFonts w:ascii="Times New Roman" w:hAnsi="Times New Roman" w:cs="Times New Roman"/>
          <w:b/>
        </w:rPr>
        <w:t>Stupeň zlučiteľnosti návrhu zákona s právom Európskych spoločenstiev a právom Európskej únie:</w:t>
      </w:r>
    </w:p>
    <w:p>
      <w:pPr>
        <w:spacing w:after="120"/>
        <w:ind w:left="360"/>
        <w:jc w:val="both"/>
        <w:rPr>
          <w:rFonts w:ascii="Times New Roman" w:hAnsi="Times New Roman" w:cs="Times New Roman"/>
          <w:b/>
        </w:rPr>
      </w:pPr>
      <w:r>
        <w:rPr>
          <w:rFonts w:ascii="Times New Roman" w:hAnsi="Times New Roman" w:cs="Times New Roman"/>
          <w:bCs/>
        </w:rPr>
        <w:t>Úplný.</w:t>
      </w:r>
    </w:p>
    <w:p>
      <w:pPr>
        <w:jc w:val="both"/>
        <w:rPr>
          <w:rFonts w:ascii="Times New Roman" w:hAnsi="Times New Roman" w:cs="Times New Roman"/>
          <w:b/>
        </w:rPr>
      </w:pPr>
    </w:p>
    <w:p>
      <w:pPr>
        <w:numPr>
          <w:ilvl w:val="0"/>
          <w:numId w:val="1"/>
        </w:numPr>
        <w:spacing w:after="120"/>
        <w:jc w:val="both"/>
        <w:rPr>
          <w:rFonts w:ascii="Times New Roman" w:hAnsi="Times New Roman" w:cs="Times New Roman"/>
          <w:b/>
        </w:rPr>
      </w:pPr>
      <w:r>
        <w:rPr>
          <w:rFonts w:ascii="Times New Roman" w:hAnsi="Times New Roman" w:cs="Times New Roman"/>
          <w:b/>
        </w:rPr>
        <w:t xml:space="preserve">Gestor a spolupracujúce rezorty: </w:t>
      </w:r>
    </w:p>
    <w:p>
      <w:pPr>
        <w:spacing w:after="120"/>
        <w:ind w:left="360"/>
        <w:jc w:val="both"/>
        <w:rPr>
          <w:rFonts w:ascii="Times New Roman" w:hAnsi="Times New Roman" w:cs="Times New Roman"/>
          <w:b/>
        </w:rPr>
      </w:pPr>
      <w:r>
        <w:rPr>
          <w:rFonts w:ascii="Times New Roman" w:hAnsi="Times New Roman" w:cs="Times New Roman"/>
          <w:bCs/>
        </w:rPr>
        <w:t>Ministerstvo financií Slovenskej republik</w:t>
      </w:r>
      <w:r>
        <w:rPr>
          <w:rFonts w:ascii="Times New Roman" w:hAnsi="Times New Roman" w:cs="Times New Roman"/>
          <w:bCs/>
        </w:rPr>
        <w:t>y, Ministerstvo hospodárstva Slovenskej republiky.</w:t>
      </w:r>
    </w:p>
    <w:p>
      <w:pPr>
        <w:rPr>
          <w:rFonts w:ascii="Times New Roman" w:hAnsi="Times New Roman" w:cs="Times New Roman"/>
        </w:rPr>
      </w:pPr>
    </w:p>
    <w:p>
      <w:pPr>
        <w:pStyle w:val="Title"/>
        <w:jc w:val="both"/>
        <w:rPr>
          <w:rFonts w:ascii="Times New Roman" w:hAnsi="Times New Roman" w:cs="Times New Roman"/>
        </w:rPr>
      </w:pPr>
    </w:p>
    <w:p>
      <w:pPr>
        <w:pStyle w:val="Heading2"/>
        <w:spacing w:after="120"/>
        <w:jc w:val="center"/>
        <w:rPr>
          <w:rFonts w:ascii="Times New Roman" w:hAnsi="Times New Roman" w:cs="Times New Roman"/>
          <w:bCs w:val="0"/>
        </w:rPr>
      </w:pPr>
      <w:r>
        <w:rPr>
          <w:rFonts w:ascii="Times New Roman" w:hAnsi="Times New Roman" w:cs="Times New Roman"/>
        </w:rPr>
        <w:br w:type="page"/>
      </w:r>
      <w:r>
        <w:rPr>
          <w:rFonts w:ascii="Times New Roman" w:hAnsi="Times New Roman" w:cs="Times New Roman"/>
          <w:bCs w:val="0"/>
        </w:rPr>
        <w:t>DOLOŽKA VPLYVOV</w:t>
      </w:r>
    </w:p>
    <w:p>
      <w:pPr>
        <w:spacing w:before="120" w:after="120"/>
        <w:jc w:val="center"/>
        <w:rPr>
          <w:rFonts w:ascii="Times New Roman" w:hAnsi="Times New Roman" w:cs="Times New Roman"/>
          <w:b/>
          <w:u w:val="single"/>
        </w:rPr>
      </w:pPr>
      <w:r>
        <w:rPr>
          <w:rFonts w:ascii="Times New Roman" w:hAnsi="Times New Roman" w:cs="Times New Roman"/>
          <w:b/>
          <w:u w:val="single"/>
        </w:rPr>
        <w:t>k návrhu zákona, ktorým sa mení a dopĺňa</w:t>
      </w:r>
    </w:p>
    <w:p>
      <w:pPr>
        <w:spacing w:before="120" w:after="120"/>
        <w:jc w:val="center"/>
        <w:rPr>
          <w:rFonts w:ascii="Times New Roman" w:hAnsi="Times New Roman" w:cs="Times New Roman"/>
          <w:b/>
          <w:u w:val="single"/>
        </w:rPr>
      </w:pPr>
      <w:r>
        <w:rPr>
          <w:rFonts w:ascii="Times New Roman" w:hAnsi="Times New Roman" w:cs="Times New Roman"/>
          <w:b/>
          <w:u w:val="single"/>
        </w:rPr>
        <w:t xml:space="preserve">zákon č. 258/2001 Z. z. o spotrebiteľských úveroch a o zmene a doplnení zákona </w:t>
      </w:r>
    </w:p>
    <w:p>
      <w:pPr>
        <w:spacing w:before="120" w:after="120"/>
        <w:jc w:val="center"/>
        <w:rPr>
          <w:rFonts w:ascii="Times New Roman" w:hAnsi="Times New Roman" w:cs="Times New Roman"/>
          <w:b/>
          <w:u w:val="single"/>
        </w:rPr>
      </w:pPr>
      <w:r>
        <w:rPr>
          <w:rFonts w:ascii="Times New Roman" w:hAnsi="Times New Roman" w:cs="Times New Roman"/>
          <w:b/>
          <w:u w:val="single"/>
        </w:rPr>
        <w:t xml:space="preserve">Slovenskej národnej rady č. 71/1986 Zb. o Slovenskej obchodnej inšpekcii v znení </w:t>
      </w:r>
    </w:p>
    <w:p>
      <w:pPr>
        <w:spacing w:before="120" w:after="120"/>
        <w:jc w:val="center"/>
        <w:rPr>
          <w:rFonts w:ascii="Times New Roman" w:hAnsi="Times New Roman" w:cs="Times New Roman"/>
          <w:b/>
          <w:bCs/>
          <w:u w:val="single"/>
        </w:rPr>
      </w:pPr>
      <w:r>
        <w:rPr>
          <w:rFonts w:ascii="Times New Roman" w:hAnsi="Times New Roman" w:cs="Times New Roman"/>
          <w:b/>
          <w:bCs/>
          <w:u w:val="single"/>
        </w:rPr>
        <w:t xml:space="preserve">neskorších predpisov a o jeho finančných, ekonomických, environmentálnych vplyvoch, </w:t>
      </w:r>
    </w:p>
    <w:p>
      <w:pPr>
        <w:spacing w:before="120" w:after="120"/>
        <w:jc w:val="center"/>
        <w:rPr>
          <w:rFonts w:ascii="Times New Roman" w:hAnsi="Times New Roman" w:cs="Times New Roman"/>
          <w:b/>
          <w:bCs/>
          <w:u w:val="single"/>
        </w:rPr>
      </w:pPr>
      <w:r>
        <w:rPr>
          <w:rFonts w:ascii="Times New Roman" w:hAnsi="Times New Roman" w:cs="Times New Roman"/>
          <w:b/>
          <w:bCs/>
          <w:u w:val="single"/>
        </w:rPr>
        <w:t>vplyvoch na zamestnanosť a podnikateľské prostredie</w:t>
      </w:r>
    </w:p>
    <w:p>
      <w:pPr>
        <w:jc w:val="both"/>
        <w:rPr>
          <w:rFonts w:ascii="Times New Roman" w:hAnsi="Times New Roman" w:cs="Times New Roman"/>
        </w:rPr>
      </w:pPr>
    </w:p>
    <w:p>
      <w:pPr>
        <w:jc w:val="both"/>
        <w:rPr>
          <w:rFonts w:ascii="Times New Roman" w:hAnsi="Times New Roman" w:cs="Times New Roman"/>
        </w:rPr>
      </w:pPr>
    </w:p>
    <w:p>
      <w:pPr>
        <w:pStyle w:val="BodyText"/>
        <w:spacing w:after="80"/>
        <w:ind w:left="425" w:hanging="425"/>
        <w:rPr>
          <w:rFonts w:ascii="Times New Roman" w:hAnsi="Times New Roman" w:cs="Times New Roman"/>
          <w:b/>
          <w:bCs/>
          <w:szCs w:val="26"/>
        </w:rPr>
      </w:pPr>
      <w:r>
        <w:rPr>
          <w:rFonts w:ascii="Times New Roman" w:hAnsi="Times New Roman" w:cs="Times New Roman"/>
          <w:b/>
          <w:bCs/>
          <w:szCs w:val="26"/>
        </w:rPr>
        <w:t>1.</w:t>
        <w:tab/>
        <w:t>Odhad dopadov na verejné financie</w:t>
      </w:r>
    </w:p>
    <w:p>
      <w:pPr>
        <w:pStyle w:val="BodyText"/>
        <w:spacing w:after="80"/>
        <w:ind w:left="425"/>
        <w:rPr>
          <w:rFonts w:ascii="Times New Roman" w:hAnsi="Times New Roman" w:cs="Times New Roman"/>
        </w:rPr>
      </w:pPr>
      <w:r>
        <w:rPr>
          <w:rFonts w:ascii="Times New Roman" w:hAnsi="Times New Roman" w:cs="Times New Roman"/>
        </w:rPr>
        <w:t xml:space="preserve">Prijatím predloženého návrhu novely zákona </w:t>
      </w:r>
      <w:r>
        <w:rPr>
          <w:rFonts w:ascii="Times New Roman" w:hAnsi="Times New Roman" w:cs="Times New Roman"/>
          <w:spacing w:val="-7"/>
        </w:rPr>
        <w:t>o</w:t>
      </w:r>
      <w:r>
        <w:rPr>
          <w:rFonts w:ascii="Times New Roman" w:hAnsi="Times New Roman" w:cs="Times New Roman"/>
          <w:spacing w:val="-10"/>
        </w:rPr>
        <w:t xml:space="preserve"> spotrebiteľských úveroch </w:t>
      </w:r>
      <w:r>
        <w:rPr>
          <w:rFonts w:ascii="Times New Roman" w:hAnsi="Times New Roman" w:cs="Times New Roman"/>
        </w:rPr>
        <w:t>sa nepredpokladá negatívny vplyv na štátny rozpočet, na rozpočty obcí, na rozpočty vyšších územných celkov (samosprávnych krajov) ani na ostatné rozpočty patriace do okruhu verejných rozpočtov.</w:t>
      </w:r>
    </w:p>
    <w:p>
      <w:pPr>
        <w:pStyle w:val="BodyText"/>
        <w:rPr>
          <w:rFonts w:ascii="Times New Roman" w:hAnsi="Times New Roman" w:cs="Times New Roman"/>
        </w:rPr>
      </w:pPr>
    </w:p>
    <w:p>
      <w:pPr>
        <w:pStyle w:val="BodyText"/>
        <w:spacing w:after="80"/>
        <w:ind w:left="425" w:hanging="425"/>
        <w:rPr>
          <w:rFonts w:ascii="Times New Roman" w:hAnsi="Times New Roman" w:cs="Times New Roman"/>
          <w:b/>
          <w:bCs/>
          <w:szCs w:val="26"/>
        </w:rPr>
      </w:pPr>
      <w:r>
        <w:rPr>
          <w:rFonts w:ascii="Times New Roman" w:hAnsi="Times New Roman" w:cs="Times New Roman"/>
          <w:b/>
          <w:bCs/>
          <w:szCs w:val="26"/>
        </w:rPr>
        <w:t>2.</w:t>
        <w:tab/>
        <w:t>Odhad dopadov na obyvateľov, hospodárenie podnikateľskej sféry a iných právnických osôb</w:t>
      </w:r>
    </w:p>
    <w:p>
      <w:pPr>
        <w:spacing w:after="80"/>
        <w:ind w:left="426"/>
        <w:jc w:val="both"/>
        <w:rPr>
          <w:rFonts w:ascii="Times New Roman" w:hAnsi="Times New Roman" w:cs="Times New Roman"/>
        </w:rPr>
      </w:pPr>
      <w:r>
        <w:rPr>
          <w:rFonts w:ascii="Times New Roman" w:hAnsi="Times New Roman" w:cs="Times New Roman"/>
        </w:rPr>
        <w:t xml:space="preserve">Realizáciou predloženého návrhu novely zákona </w:t>
      </w:r>
      <w:r>
        <w:rPr>
          <w:rFonts w:ascii="Times New Roman" w:hAnsi="Times New Roman" w:cs="Times New Roman"/>
          <w:spacing w:val="-7"/>
        </w:rPr>
        <w:t>o</w:t>
      </w:r>
      <w:r>
        <w:rPr>
          <w:rFonts w:ascii="Times New Roman" w:hAnsi="Times New Roman" w:cs="Times New Roman"/>
          <w:spacing w:val="-10"/>
        </w:rPr>
        <w:t xml:space="preserve"> spotrebiteľských úveroch </w:t>
      </w:r>
      <w:r>
        <w:rPr>
          <w:rFonts w:ascii="Times New Roman" w:hAnsi="Times New Roman" w:cs="Times New Roman"/>
        </w:rPr>
        <w:t>sa nepredpokladá negatívny vplyv na obyvateľov, na podnikateľské prostredie a ani na iné právnické osoby.</w:t>
      </w:r>
    </w:p>
    <w:p>
      <w:pPr>
        <w:pStyle w:val="BodyText"/>
        <w:rPr>
          <w:rFonts w:ascii="Times New Roman" w:hAnsi="Times New Roman" w:cs="Times New Roman"/>
        </w:rPr>
      </w:pPr>
    </w:p>
    <w:p>
      <w:pPr>
        <w:pStyle w:val="BodyText"/>
        <w:spacing w:after="80"/>
        <w:ind w:left="425" w:hanging="425"/>
        <w:rPr>
          <w:rFonts w:ascii="Times New Roman" w:hAnsi="Times New Roman" w:cs="Times New Roman"/>
          <w:b/>
          <w:bCs/>
          <w:szCs w:val="26"/>
        </w:rPr>
      </w:pPr>
      <w:r>
        <w:rPr>
          <w:rFonts w:ascii="Times New Roman" w:hAnsi="Times New Roman" w:cs="Times New Roman"/>
          <w:b/>
          <w:bCs/>
          <w:szCs w:val="26"/>
        </w:rPr>
        <w:t>3.</w:t>
        <w:tab/>
        <w:t>Odhad dopadov na životné prostredie</w:t>
      </w:r>
    </w:p>
    <w:p>
      <w:pPr>
        <w:pStyle w:val="BodyText"/>
        <w:spacing w:after="80"/>
        <w:ind w:left="425"/>
        <w:rPr>
          <w:rFonts w:ascii="Times New Roman" w:hAnsi="Times New Roman" w:cs="Times New Roman"/>
        </w:rPr>
      </w:pPr>
      <w:r>
        <w:rPr>
          <w:rFonts w:ascii="Times New Roman" w:hAnsi="Times New Roman" w:cs="Times New Roman"/>
        </w:rPr>
        <w:t xml:space="preserve">Realizáciou predloženého návrhu novely zákona </w:t>
      </w:r>
      <w:r>
        <w:rPr>
          <w:rFonts w:ascii="Times New Roman" w:hAnsi="Times New Roman" w:cs="Times New Roman"/>
          <w:spacing w:val="-7"/>
        </w:rPr>
        <w:t>o</w:t>
      </w:r>
      <w:r>
        <w:rPr>
          <w:rFonts w:ascii="Times New Roman" w:hAnsi="Times New Roman" w:cs="Times New Roman"/>
          <w:spacing w:val="-10"/>
        </w:rPr>
        <w:t xml:space="preserve"> spotrebiteľských úveroch </w:t>
      </w:r>
      <w:r>
        <w:rPr>
          <w:rFonts w:ascii="Times New Roman" w:hAnsi="Times New Roman" w:cs="Times New Roman"/>
        </w:rPr>
        <w:t>sa nepredpokladá žiadny vplyv na životné prostredie (žiadny environmentálny vplyv).</w:t>
      </w:r>
    </w:p>
    <w:p>
      <w:pPr>
        <w:pStyle w:val="BodyText"/>
        <w:rPr>
          <w:rFonts w:ascii="Times New Roman" w:hAnsi="Times New Roman" w:cs="Times New Roman"/>
        </w:rPr>
      </w:pPr>
    </w:p>
    <w:p>
      <w:pPr>
        <w:pStyle w:val="BodyText"/>
        <w:spacing w:after="80"/>
        <w:ind w:left="425" w:hanging="425"/>
        <w:rPr>
          <w:rFonts w:ascii="Times New Roman" w:hAnsi="Times New Roman" w:cs="Times New Roman"/>
          <w:b/>
          <w:bCs/>
          <w:szCs w:val="26"/>
        </w:rPr>
      </w:pPr>
      <w:r>
        <w:rPr>
          <w:rFonts w:ascii="Times New Roman" w:hAnsi="Times New Roman" w:cs="Times New Roman"/>
          <w:b/>
          <w:bCs/>
          <w:szCs w:val="26"/>
        </w:rPr>
        <w:t>4.</w:t>
        <w:tab/>
        <w:t>Odhad dopadov na zamestnanosť</w:t>
      </w:r>
    </w:p>
    <w:p>
      <w:pPr>
        <w:pStyle w:val="BodyText"/>
        <w:spacing w:after="80"/>
        <w:ind w:left="425"/>
        <w:rPr>
          <w:rFonts w:ascii="Times New Roman" w:hAnsi="Times New Roman" w:cs="Times New Roman"/>
          <w:b/>
          <w:bCs/>
        </w:rPr>
      </w:pPr>
      <w:r>
        <w:rPr>
          <w:rFonts w:ascii="Times New Roman" w:hAnsi="Times New Roman" w:cs="Times New Roman"/>
        </w:rPr>
        <w:t xml:space="preserve">Realizáciou predloženého návrhu novely zákona </w:t>
      </w:r>
      <w:r>
        <w:rPr>
          <w:rFonts w:ascii="Times New Roman" w:hAnsi="Times New Roman" w:cs="Times New Roman"/>
          <w:spacing w:val="-7"/>
        </w:rPr>
        <w:t>o</w:t>
      </w:r>
      <w:r>
        <w:rPr>
          <w:rFonts w:ascii="Times New Roman" w:hAnsi="Times New Roman" w:cs="Times New Roman"/>
          <w:spacing w:val="-10"/>
        </w:rPr>
        <w:t xml:space="preserve"> spotrebiteľských úveroch </w:t>
      </w:r>
      <w:r>
        <w:rPr>
          <w:rFonts w:ascii="Times New Roman" w:hAnsi="Times New Roman" w:cs="Times New Roman"/>
        </w:rPr>
        <w:t>sa nepredpokladá žiadny vplyv na nezamestnanosť ani na zamestnanosť v Slovenskej republike.</w:t>
      </w:r>
    </w:p>
    <w:p>
      <w:pPr>
        <w:jc w:val="both"/>
        <w:rPr>
          <w:rFonts w:ascii="Times New Roman" w:hAnsi="Times New Roman" w:cs="Times New Roman"/>
        </w:rPr>
      </w:pPr>
    </w:p>
    <w:p>
      <w:pPr>
        <w:pStyle w:val="BodyText"/>
        <w:spacing w:after="80"/>
        <w:ind w:left="425" w:hanging="425"/>
        <w:rPr>
          <w:rFonts w:ascii="Times New Roman" w:hAnsi="Times New Roman" w:cs="Times New Roman"/>
          <w:b/>
          <w:bCs/>
          <w:szCs w:val="26"/>
        </w:rPr>
      </w:pPr>
      <w:r>
        <w:rPr>
          <w:rFonts w:ascii="Times New Roman" w:hAnsi="Times New Roman" w:cs="Times New Roman"/>
          <w:b/>
          <w:bCs/>
          <w:szCs w:val="26"/>
        </w:rPr>
        <w:t>5.</w:t>
        <w:tab/>
        <w:t>Odhad dopadov na podnikateľské prostredie</w:t>
      </w:r>
    </w:p>
    <w:p>
      <w:pPr>
        <w:pStyle w:val="BodyText"/>
        <w:spacing w:after="80"/>
        <w:ind w:left="425"/>
        <w:rPr>
          <w:rFonts w:ascii="Times New Roman" w:hAnsi="Times New Roman" w:cs="Times New Roman"/>
          <w:b/>
          <w:bCs/>
        </w:rPr>
      </w:pPr>
      <w:r>
        <w:rPr>
          <w:rFonts w:ascii="Times New Roman" w:hAnsi="Times New Roman" w:cs="Times New Roman"/>
        </w:rPr>
        <w:t xml:space="preserve">Realizáciou predloženého návrhu novely zákona </w:t>
      </w:r>
      <w:r>
        <w:rPr>
          <w:rFonts w:ascii="Times New Roman" w:hAnsi="Times New Roman" w:cs="Times New Roman"/>
          <w:spacing w:val="-7"/>
        </w:rPr>
        <w:t>o</w:t>
      </w:r>
      <w:r>
        <w:rPr>
          <w:rFonts w:ascii="Times New Roman" w:hAnsi="Times New Roman" w:cs="Times New Roman"/>
          <w:spacing w:val="-10"/>
        </w:rPr>
        <w:t xml:space="preserve"> spotrebiteľských úveroch </w:t>
      </w:r>
      <w:r>
        <w:rPr>
          <w:rFonts w:ascii="Times New Roman" w:hAnsi="Times New Roman" w:cs="Times New Roman"/>
        </w:rPr>
        <w:t>sa nepredpokladá žiadny vplyv na podnikateľské prostredie v Slovenskej republike.</w:t>
      </w:r>
    </w:p>
    <w:p>
      <w:pPr>
        <w:jc w:val="both"/>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Title"/>
        <w:jc w:val="both"/>
        <w:rPr>
          <w:rFonts w:ascii="Times New Roman" w:hAnsi="Times New Roman" w:cs="Times New Roman"/>
        </w:rPr>
      </w:pPr>
    </w:p>
    <w:p>
      <w:pPr>
        <w:pStyle w:val="Title"/>
        <w:jc w:val="both"/>
        <w:rPr>
          <w:rFonts w:ascii="Times New Roman" w:hAnsi="Times New Roman" w:cs="Times New Roman"/>
        </w:rPr>
      </w:pPr>
      <w:r>
        <w:rPr>
          <w:rFonts w:ascii="Times New Roman" w:hAnsi="Times New Roman" w:cs="Times New Roman"/>
        </w:rPr>
        <w:br w:type="page"/>
        <w:t xml:space="preserve">Osobitná časť </w:t>
      </w:r>
    </w:p>
    <w:p>
      <w:pPr>
        <w:jc w:val="both"/>
        <w:rPr>
          <w:rFonts w:ascii="Times New Roman" w:hAnsi="Times New Roman" w:cs="Times New Roman"/>
          <w:b/>
          <w:bCs/>
        </w:rPr>
      </w:pPr>
    </w:p>
    <w:p>
      <w:pPr>
        <w:pStyle w:val="Subtitle"/>
        <w:jc w:val="both"/>
        <w:rPr>
          <w:rFonts w:ascii="Times New Roman" w:hAnsi="Times New Roman" w:cs="Times New Roman"/>
        </w:rPr>
      </w:pPr>
      <w:r>
        <w:rPr>
          <w:rFonts w:ascii="Times New Roman" w:hAnsi="Times New Roman" w:cs="Times New Roman"/>
        </w:rPr>
        <w:t xml:space="preserve">K Čl. I </w:t>
      </w:r>
    </w:p>
    <w:p>
      <w:pPr>
        <w:pStyle w:val="Subtitle"/>
        <w:jc w:val="both"/>
        <w:rPr>
          <w:rFonts w:ascii="Times New Roman" w:hAnsi="Times New Roman" w:cs="Times New Roman"/>
          <w:b w:val="0"/>
          <w:bCs w:val="0"/>
        </w:rPr>
      </w:pPr>
    </w:p>
    <w:p>
      <w:pPr>
        <w:pStyle w:val="Subtitle"/>
        <w:jc w:val="both"/>
        <w:rPr>
          <w:rFonts w:ascii="Times New Roman" w:hAnsi="Times New Roman" w:cs="Times New Roman"/>
        </w:rPr>
      </w:pPr>
      <w:r>
        <w:rPr>
          <w:rFonts w:ascii="Times New Roman" w:hAnsi="Times New Roman" w:cs="Times New Roman"/>
        </w:rPr>
        <w:t>K bodu 1</w:t>
      </w:r>
    </w:p>
    <w:p>
      <w:pPr>
        <w:pStyle w:val="Subtitle"/>
        <w:jc w:val="both"/>
        <w:rPr>
          <w:rFonts w:ascii="Times New Roman" w:hAnsi="Times New Roman" w:cs="Times New Roman"/>
          <w:b w:val="0"/>
          <w:bCs w:val="0"/>
        </w:rPr>
      </w:pPr>
    </w:p>
    <w:p>
      <w:pPr>
        <w:pStyle w:val="Subtitle"/>
        <w:jc w:val="both"/>
        <w:rPr>
          <w:rFonts w:ascii="Times New Roman" w:hAnsi="Times New Roman" w:cs="Times New Roman"/>
          <w:b w:val="0"/>
          <w:bCs w:val="0"/>
        </w:rPr>
      </w:pPr>
      <w:r>
        <w:rPr>
          <w:rFonts w:ascii="Times New Roman" w:hAnsi="Times New Roman" w:cs="Times New Roman"/>
          <w:b w:val="0"/>
          <w:bCs w:val="0"/>
        </w:rPr>
        <w:t>Účinné znenie zákona v poznámke pod čiarou k odkazu č. 1 obsahuje odkaz na zrušený zákon č. 21/1992 Zb. o bankách v znení neskorších predpisov. Preto bolo návrhom zákona potrebné aktualizovať odkaz na platný zákon o bankách č. 483/2001 Z. z.</w:t>
      </w:r>
    </w:p>
    <w:p>
      <w:pPr>
        <w:pStyle w:val="Subtitle"/>
        <w:jc w:val="both"/>
        <w:rPr>
          <w:rFonts w:ascii="Times New Roman" w:hAnsi="Times New Roman" w:cs="Times New Roman"/>
          <w:b w:val="0"/>
          <w:bCs w:val="0"/>
        </w:rPr>
      </w:pPr>
    </w:p>
    <w:p>
      <w:pPr>
        <w:pStyle w:val="Subtitle"/>
        <w:jc w:val="both"/>
        <w:rPr>
          <w:rFonts w:ascii="Times New Roman" w:hAnsi="Times New Roman" w:cs="Times New Roman"/>
        </w:rPr>
      </w:pPr>
      <w:r>
        <w:rPr>
          <w:rFonts w:ascii="Times New Roman" w:hAnsi="Times New Roman" w:cs="Times New Roman"/>
        </w:rPr>
        <w:t>K bodom 2 a 3</w:t>
      </w:r>
    </w:p>
    <w:p>
      <w:pPr>
        <w:pStyle w:val="Subtitle"/>
        <w:jc w:val="both"/>
        <w:rPr>
          <w:rFonts w:ascii="Times New Roman" w:hAnsi="Times New Roman" w:cs="Times New Roman"/>
          <w:b w:val="0"/>
          <w:bCs w:val="0"/>
        </w:rPr>
      </w:pPr>
    </w:p>
    <w:p>
      <w:pPr>
        <w:pStyle w:val="Subtitle"/>
        <w:jc w:val="both"/>
        <w:rPr>
          <w:rFonts w:ascii="Times New Roman" w:hAnsi="Times New Roman" w:cs="Times New Roman"/>
          <w:b w:val="0"/>
          <w:bCs w:val="0"/>
        </w:rPr>
      </w:pPr>
      <w:r>
        <w:rPr>
          <w:rFonts w:ascii="Times New Roman" w:hAnsi="Times New Roman" w:cs="Times New Roman"/>
          <w:b w:val="0"/>
          <w:bCs w:val="0"/>
        </w:rPr>
        <w:t>V účinnom znení § 1 ods. 2 písm. c) zákona sú transponované písmená c) a d) článku 2 ods. 1 smernice tak, že v zákone nie sú rozlíšené tieto dva typy úveru tak, ako ich rozlišuje smernica. Preto je potrebné návrhom zákona upraviť zákonné znenie tak, ako to upravuje smernica.</w:t>
      </w:r>
    </w:p>
    <w:p>
      <w:pPr>
        <w:pStyle w:val="Subtitle"/>
        <w:jc w:val="both"/>
        <w:rPr>
          <w:rFonts w:ascii="Times New Roman" w:hAnsi="Times New Roman" w:cs="Times New Roman"/>
          <w:b w:val="0"/>
          <w:bCs w:val="0"/>
        </w:rPr>
      </w:pPr>
    </w:p>
    <w:p>
      <w:pPr>
        <w:pStyle w:val="Subtitle"/>
        <w:jc w:val="both"/>
        <w:rPr>
          <w:rFonts w:ascii="Times New Roman" w:hAnsi="Times New Roman" w:cs="Times New Roman"/>
        </w:rPr>
      </w:pPr>
      <w:r>
        <w:rPr>
          <w:rFonts w:ascii="Times New Roman" w:hAnsi="Times New Roman" w:cs="Times New Roman"/>
        </w:rPr>
        <w:t>K bodu 4</w:t>
      </w:r>
    </w:p>
    <w:p>
      <w:pPr>
        <w:pStyle w:val="Subtitle"/>
        <w:jc w:val="both"/>
        <w:rPr>
          <w:rFonts w:ascii="Times New Roman" w:hAnsi="Times New Roman" w:cs="Times New Roman"/>
          <w:b w:val="0"/>
          <w:bCs w:val="0"/>
        </w:rPr>
      </w:pPr>
    </w:p>
    <w:p>
      <w:pPr>
        <w:pStyle w:val="Subtitle"/>
        <w:jc w:val="both"/>
        <w:rPr>
          <w:rFonts w:ascii="Times New Roman" w:hAnsi="Times New Roman" w:cs="Times New Roman"/>
          <w:b w:val="0"/>
          <w:bCs w:val="0"/>
        </w:rPr>
      </w:pPr>
      <w:r>
        <w:rPr>
          <w:rFonts w:ascii="Times New Roman" w:hAnsi="Times New Roman" w:cs="Times New Roman"/>
          <w:b w:val="0"/>
          <w:bCs w:val="0"/>
        </w:rPr>
        <w:t>Úpravou ustanovenia § 1 ods. 2 novooznačeného písm. e) sa konkretizuje, že súhrn všetkých zmlúv o spotrebiteľskom úvere môže vyhovovať len na tie zmluvy, ktoré sú uzavreté medzi tým istým veriteľom a spotrebiteľom.</w:t>
      </w:r>
    </w:p>
    <w:p>
      <w:pPr>
        <w:pStyle w:val="Subtitle"/>
        <w:jc w:val="both"/>
        <w:rPr>
          <w:rFonts w:ascii="Times New Roman" w:hAnsi="Times New Roman" w:cs="Times New Roman"/>
          <w:b w:val="0"/>
          <w:bCs w:val="0"/>
        </w:rPr>
      </w:pPr>
    </w:p>
    <w:p>
      <w:pPr>
        <w:pStyle w:val="Subtitle"/>
        <w:jc w:val="both"/>
        <w:rPr>
          <w:rFonts w:ascii="Times New Roman" w:hAnsi="Times New Roman" w:cs="Times New Roman"/>
        </w:rPr>
      </w:pPr>
      <w:r>
        <w:rPr>
          <w:rFonts w:ascii="Times New Roman" w:hAnsi="Times New Roman" w:cs="Times New Roman"/>
        </w:rPr>
        <w:t>K bodu 5</w:t>
      </w:r>
    </w:p>
    <w:p>
      <w:pPr>
        <w:pStyle w:val="Subtitle"/>
        <w:jc w:val="both"/>
        <w:rPr>
          <w:rFonts w:ascii="Times New Roman" w:hAnsi="Times New Roman" w:cs="Times New Roman"/>
          <w:b w:val="0"/>
          <w:bCs w:val="0"/>
        </w:rPr>
      </w:pPr>
    </w:p>
    <w:p>
      <w:pPr>
        <w:jc w:val="both"/>
        <w:rPr>
          <w:rFonts w:ascii="Times New Roman" w:hAnsi="Times New Roman" w:cs="Times New Roman"/>
        </w:rPr>
      </w:pPr>
      <w:r>
        <w:rPr>
          <w:rFonts w:ascii="Times New Roman" w:hAnsi="Times New Roman" w:cs="Times New Roman"/>
        </w:rPr>
        <w:t>V záujme lepšej zrozumiteľnosti zákona o spotrebiteľských úveroch je potrebné zmeniť v súčasnosti účinnom znení § 1 ods. 3 slovné spojenie „úver formou preddavku na bežný účet“ použitím spojenia „povolené prečerpanie peňažných prostriedkov na bežnom účte“, ktoré lepšie vystihuje kontokorentné úvery poskytované v Slovenskej republike. Aj napriek tomu, že tak ako smernica, ani zákon sa nevzťahuje na úver formou povoleného prečerpania peňažných prostriedkov na bežnom účte poskytnutý bankou, je v § 3 ods. 6 upravená informačná povinnosť veriteľa pre takýto úver.</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2 písm. c prvý bod sa formulačne zosúlaďuje so znením druhého bodu toho istého ustanovenia, kde sa spotrebiteľovi ustanovuje povinnosť zaplatiť poplatok. V prípade bodu 1 sa ustanovuje spotrebiteľovi povinnosť zaplatiť sankciu. </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Keďže zákon po prijatí návrhu zákona bude obsahovať tri prílohy, je potrebné v § 2 písm. d) doplniť číselné označenie prílohy, podľa ktorej sa ročná percentuálna miera nákladov vypočíta.</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8</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Ustanovením sa úplne preberá čl. 3 smernice, ktorý upravuje podmienky reklamy spotrebiteľského úveru. V prípade reklamy alebo akejkoľvek ponuky spotrebiteľského úveru vystavenej na obchodných miestach sa týmto ustanovením určuje povinnosť informovať o ročnej percentuálnej miere nákladov vo forme reprezentatívneho príkladu podľa prílohy č. 2, ak veriteľ nemá možnosť prípadnému záujemcovi o spotrebiteľský úver vysvetliť slovne alebo názorným výpočtom v osobnom kontakte spôsob výpočtu ročnej percentuálnej miery nákladov.</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9</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Ustanovením sa aj napriek vylúčeniu úverov formou povoleného prečerpania peňažných prostriedkov na bežnom účte poskytnutý bankou iným spôsobom ako na kreditné karty z úpravy smernice ustanovujú informácie, o ktorých musí byť spotrebiteľ informovaný. Ustanovením sa zabezpečí úplná transpozícia smernice (čl. 6 ods. 1 a 3).</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10</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Keďže zákon po prijatí návrhu zákona bude obsahovať tri prílohy, je potrebné v § 3 ods.7 doplniť číselné označenie prílohy, podľa ktorej musí byť výpočet ročnej percentuálnej miery nákladov urobený. Tiež sa dopĺňa aj povinnosť uviesť reprezentatívny príklad pri tomto výpočte.</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11</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Návrhom ustanovenia sa zabezpečí úplná transpozícia smernice (čl. 6 ods. 2), ktorý upravuje povinnosť písomne informovať spotrebiteľa o každej zmene ročnej úrokovej sadzby a o zmene poplatkov v čase trvania zmluvy o spotrebiteľskom úvere.</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12</w:t>
      </w:r>
    </w:p>
    <w:p>
      <w:pPr>
        <w:jc w:val="both"/>
        <w:rPr>
          <w:rFonts w:ascii="Times New Roman" w:hAnsi="Times New Roman" w:cs="Times New Roman"/>
        </w:rPr>
      </w:pPr>
    </w:p>
    <w:p>
      <w:pPr>
        <w:pStyle w:val="BodyText2"/>
        <w:rPr>
          <w:rFonts w:ascii="Times New Roman" w:hAnsi="Times New Roman" w:cs="Times New Roman"/>
        </w:rPr>
      </w:pPr>
      <w:r>
        <w:rPr>
          <w:rFonts w:ascii="Times New Roman" w:hAnsi="Times New Roman" w:cs="Times New Roman"/>
        </w:rPr>
        <w:t xml:space="preserve">V záujme zabezpečenia vyššej informovanosti spotrebiteľa o svojich právach sa podstatné náležitosti zmluvy o spotrebiteľskom úvere rozširujú o povinnosť uviesť v zmluve práva spotrebiteľa podľa § 7, ktoré má spotrebiteľ v prípade nesplnenia dodávky tovaru alebo služby veriteľom alebo v prípade, že plnenie bolo vadné. </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13</w:t>
      </w:r>
    </w:p>
    <w:p>
      <w:pPr>
        <w:jc w:val="both"/>
        <w:rPr>
          <w:rFonts w:ascii="Times New Roman" w:hAnsi="Times New Roman" w:cs="Times New Roman"/>
        </w:rPr>
      </w:pPr>
    </w:p>
    <w:p>
      <w:pPr>
        <w:pStyle w:val="Subtitle"/>
        <w:jc w:val="both"/>
        <w:rPr>
          <w:rFonts w:ascii="Times New Roman" w:hAnsi="Times New Roman" w:cs="Times New Roman"/>
          <w:b w:val="0"/>
          <w:bCs w:val="0"/>
        </w:rPr>
      </w:pPr>
      <w:r>
        <w:rPr>
          <w:rFonts w:ascii="Times New Roman" w:hAnsi="Times New Roman" w:cs="Times New Roman"/>
          <w:b w:val="0"/>
          <w:bCs w:val="0"/>
        </w:rPr>
        <w:t>Týmto ustanovením sa aktualizuje poznámka pod čiarou k odkazu č. 13 účinného znenia zákona, nakoľko zákon č. 71/1986 Zb. o Slovenskej obchodnej inšpekcii v znení neskorších predpisov bol zrušený zákonom č. 128/2002 Z. z. o štátnej kontrole vnútorného trhu vo veciach ochrany spotrebiteľa a o zmene a doplnení niektorých zákonov v znení neskorších predpisov.</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14</w:t>
      </w:r>
    </w:p>
    <w:p>
      <w:pPr>
        <w:pStyle w:val="Subtitle"/>
        <w:jc w:val="both"/>
        <w:rPr>
          <w:rFonts w:ascii="Times New Roman" w:hAnsi="Times New Roman" w:cs="Times New Roman"/>
          <w:b w:val="0"/>
          <w:bCs w:val="0"/>
        </w:rPr>
      </w:pPr>
    </w:p>
    <w:p>
      <w:pPr>
        <w:jc w:val="both"/>
        <w:rPr>
          <w:rFonts w:ascii="Times New Roman" w:hAnsi="Times New Roman" w:cs="Times New Roman"/>
        </w:rPr>
      </w:pPr>
      <w:r>
        <w:rPr>
          <w:rFonts w:ascii="Times New Roman" w:hAnsi="Times New Roman" w:cs="Times New Roman"/>
        </w:rPr>
        <w:t xml:space="preserve">Rozširujú sa oprávnenia Slovenskej obchodnej inšpekcie vykonávať kontrolu dodržiavania ustanovení zákona v tom zmysle, že je oprávnená kontrolovať nielen podmienky ponuky spotrebiteľského úveru, ale aj náležitosti zmluvy o spotrebiteľskom úvere. </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8a upravuje prechodné ustanovenie k úpravám účinným od 1. júla 2006. V prípade zmlúv o spotrebiteľskom úvere uzavretých podľa súčasného zákona nie je možné požadovať od veriteľov, aby ich dali do určitého dátumu do súladu s návrhom zákona, keď nadobudne účinnosť, z dôvodu veľkého množstva veriteľov poskytujúcich spotrebiteľský úver. V takom prípade by museli byť uzavreté dodatky k zmluvám o spotrebiteľskom úvere so všetkými spotrebiteľmi jednotlivo a to by spôsobilo výrazné komplikácie a v prípade porušenia takejto povinnosti aj sankcionovanie zo strany kontrolného orgánu. V dôsledku tejto skutočnosti sa do zákona vkladá prechodné ustanovenie, že zmluvy o spotrebiteľskom úvere, ktoré boli uzavreté do nadobudnutia účinnosti tohto zákona, sa spravujú podľa doterajších predpisov. A zmluvy, ktoré budú uzatvorené po nadobudnutí účinnosti tohto zákona, musia byť v súlade s týmto zákonom.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Podľa čl. 2 ods. 1 smernice 98/7/ES Európskeho parlamentu a Rady zo 16. februára 1998, ktorou sa mení a dopĺňa smernica Rady 87/102/EHS o aproximácii zákonov, iných právnych predpisov a správnych opatrení členských štátov vzťahujúcich sa na spotrebiteľský úver členské štáty uvedú priamo v prijatých ustanoveniach alebo pri ich úradnom uverejnení odkaz na túto smernicu. Podrobnosti o odkaze upravia členské štáty. V právnom poriadku SR sa identifikácia smerníc realizuje prostredníctvom tzv. transpozičného odkazu, ktorý sa skladá z tzv. transpozičnej prílohy, ktorá identifikuje presný názov a číslo preberaného právneho aktu Európskych spoločenstiev, a vety, ktorá na túto prílohu odkazuje v texte vnútroštátneho právneho predpisu v záverečných ustanoveniach. Doplnením § 8b sa upravuje súčasť transpozičného odkazu, ktorý odkazuje na transpozičnú prílohu č. 3.</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V súčasnosti účinný zákon upravuje v prílohe výpočet ročnej percentuálnej miery nákladov pri spotrebiteľských úveroch, avšak vzorec pre tento výpočet neodráža časovú hodnotu peňazí. Tento vzorec na výpočet ročnej percentuálnej miery nákladov je správny iba pre prípad, že poskytnutý spotrebiteľský úver bude splatený jednou splátkou bez akýchkoľvek ďalších poplatkov. V odlišnom prípade takto vypočítaná miera nákladov podhodnocuje skutočnú mieru nákladov a spotrebiteľ dostane skreslené informácie o nákladoch spojených s úverom. Smernicou Európskeho parlamentu a Rady 98/7/ES zo 16. februára 1998, ktorou sa mení a dopĺňa smernica Rady 87/102/EHS o aproximácii zákonov, iných právnych predpisov a správnych opatrení členských štátov vzťahujúcich sa na spotrebiteľský úver bola v prílohe I smernice ustanovená základná rovnica vyjadrujúca rovnosť poskytnutých úverov na jednej strane a splátok a nákladov na druhej strane, pričom po dosadení všetkých prvkov rovnice, ktoré sú známe zo zmluvy o spotrebiteľskom úvere, možno algebrou alebo pomocou série aproximácií vypočítať ročnú percentuálnu mieru nákladov poskytnutého spotrebiteľského úveru. Návrhom zákona sa zabezpečuje transpozícia vzorca pre výpočet ročnej percentuálnej miery nákladov tak, aby výsledok odrážal skutočnú mieru nákladov.</w:t>
      </w: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bodu 17</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Vzhľadom na komplikovanosť vzorca na výpočet ročnej percentuálnej miery nákladov sa do zákona dopĺňa príloha č. 2, ktorá transponuje prílohu II smernice Európskeho parlamentu a Rady 98/7/ES zo 16. februára 1998, ktorou sa mení a dopĺňa smernica Rady 87/102/EHS o aproximácii zákonov, iných právnych predpisov a správnych opatrení členských štátov vzťahujúcich sa na spotrebiteľský úver. Príloha je transponovaná úplne, mení sa iba mena použitá v príkladoch na použitie vzorca na výpočet ročnej percentuálnej miery nákladov a dátumy poskytnutia úveru a splátok úveru.</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Podľa čl. 2 ods. 1 smernice 98/7/ES Európskeho parlamentu a Rady zo 16. februára 1998, ktorou sa mení a dopĺňa smernica Rady 87/102/EHS o aproximácii zákonov, iných právnych predpisov a správnych opatrení členských štátov vzťahujúcich sa na spotrebiteľský úver členské štáty uvedú priamo v prijatých ustanoveniach alebo pri ich úradnom uverejnení odkaz na túto smernicu. Podrobnosti o odkaze upravia členské štáty. V právnom poriadku SR sa identifikácia smerníc realizuje prostredníctvom tzv. transpozičného odkazu, ktorý sa skladá z tzv. transpozičnej prílohy, ktorá identifikuje presný názov a číslo preberaného právneho aktu Európskych spoločenstiev, a vety, ktorá na túto prílohu odkazuje v texte vnútroštátneho právneho predpisu v záverečných ustanoveniach. Návrhom zákona sa do zákona dopĺňa transpozičná príloha č. 3, ktorá je súčasťou transpozičného odkazu.</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b/>
          <w:bCs/>
        </w:rPr>
      </w:pPr>
      <w:r>
        <w:rPr>
          <w:rFonts w:ascii="Times New Roman" w:hAnsi="Times New Roman" w:cs="Times New Roman"/>
          <w:b/>
          <w:bCs/>
        </w:rPr>
        <w:t>K čl. II</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Účinnosť zákona sa navrhuje vzhľadom na trvanie legislatívneho procesu na 1. júla 2006. </w:t>
      </w:r>
    </w:p>
    <w:p>
      <w:pPr>
        <w:pStyle w:val="Title"/>
        <w:jc w:val="both"/>
        <w:rPr>
          <w:rFonts w:ascii="Times New Roman" w:hAnsi="Times New Roman" w:cs="Times New Roman"/>
          <w:b w:val="0"/>
          <w:bCs w:val="0"/>
        </w:rPr>
      </w:pPr>
    </w:p>
    <w:p>
      <w:pPr>
        <w:pStyle w:val="Title"/>
        <w:jc w:val="both"/>
        <w:rPr>
          <w:rFonts w:ascii="Times New Roman" w:hAnsi="Times New Roman" w:cs="Times New Roman"/>
          <w:b w:val="0"/>
          <w:bCs w:val="0"/>
        </w:rPr>
      </w:pP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Indent"/>
        <w:ind w:left="0" w:firstLine="567"/>
        <w:rPr>
          <w:rFonts w:ascii="Times New Roman" w:hAnsi="Times New Roman" w:cs="Times New Roman"/>
        </w:rPr>
      </w:pPr>
      <w:r>
        <w:rPr>
          <w:rFonts w:ascii="Times New Roman" w:hAnsi="Times New Roman" w:cs="Times New Roman"/>
        </w:rPr>
        <w:t>Bratislava 22 februára 2006</w:t>
      </w: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Indent"/>
        <w:ind w:left="0"/>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Mikuláš   D z u r i n d a   v.r.</w:t>
      </w:r>
    </w:p>
    <w:p>
      <w:pPr>
        <w:pStyle w:val="BodyText"/>
        <w:jc w:val="center"/>
        <w:rPr>
          <w:rFonts w:ascii="Times New Roman" w:hAnsi="Times New Roman" w:cs="Times New Roman"/>
        </w:rPr>
      </w:pPr>
      <w:r>
        <w:rPr>
          <w:rFonts w:ascii="Times New Roman" w:hAnsi="Times New Roman" w:cs="Times New Roman"/>
        </w:rPr>
        <w:t>predseda vlády Slovenskej</w:t>
      </w:r>
      <w:r>
        <w:rPr>
          <w:rFonts w:ascii="Times New Roman" w:hAnsi="Times New Roman" w:cs="Times New Roman"/>
        </w:rPr>
        <w:t xml:space="preserve"> republiky</w:t>
      </w:r>
    </w:p>
    <w:p>
      <w:pPr>
        <w:pStyle w:val="BodyText"/>
        <w:spacing w:after="0"/>
        <w:rPr>
          <w:rFonts w:ascii="Times New Roman" w:hAnsi="Times New Roman" w:cs="Times New Roman"/>
        </w:rPr>
      </w:pPr>
    </w:p>
    <w:p>
      <w:pPr>
        <w:pStyle w:val="BodyText"/>
        <w:spacing w:after="0"/>
        <w:rPr>
          <w:rFonts w:ascii="Times New Roman" w:hAnsi="Times New Roman" w:cs="Times New Roman"/>
        </w:rPr>
      </w:pPr>
    </w:p>
    <w:p>
      <w:pPr>
        <w:pStyle w:val="BodyText"/>
        <w:spacing w:after="0"/>
        <w:rPr>
          <w:rFonts w:ascii="Times New Roman" w:hAnsi="Times New Roman" w:cs="Times New Roman"/>
        </w:rPr>
      </w:pPr>
    </w:p>
    <w:p>
      <w:pPr>
        <w:pStyle w:val="BodyText"/>
        <w:spacing w:after="0"/>
        <w:rPr>
          <w:rFonts w:ascii="Times New Roman" w:hAnsi="Times New Roman" w:cs="Times New Roman"/>
        </w:rPr>
      </w:pPr>
    </w:p>
    <w:p>
      <w:pPr>
        <w:pStyle w:val="BodyText"/>
        <w:spacing w:after="0"/>
        <w:rPr>
          <w:rFonts w:ascii="Times New Roman" w:hAnsi="Times New Roman" w:cs="Times New Roman"/>
        </w:rPr>
      </w:pPr>
    </w:p>
    <w:p>
      <w:pPr>
        <w:pStyle w:val="BodyText"/>
        <w:jc w:val="center"/>
        <w:rPr>
          <w:rFonts w:ascii="Times New Roman" w:hAnsi="Times New Roman" w:cs="Times New Roman"/>
        </w:rPr>
      </w:pPr>
      <w:r>
        <w:rPr>
          <w:rFonts w:ascii="Times New Roman" w:hAnsi="Times New Roman" w:cs="Times New Roman"/>
        </w:rPr>
        <w:t>Ivan   M i k l o š   v.r.</w:t>
      </w:r>
    </w:p>
    <w:p>
      <w:pPr>
        <w:pStyle w:val="BodyText"/>
        <w:jc w:val="center"/>
        <w:rPr>
          <w:rFonts w:ascii="Times New Roman" w:hAnsi="Times New Roman" w:cs="Times New Roman"/>
        </w:rPr>
      </w:pPr>
      <w:r>
        <w:rPr>
          <w:rFonts w:ascii="Times New Roman" w:hAnsi="Times New Roman" w:cs="Times New Roman"/>
        </w:rPr>
        <w:t xml:space="preserve">podpredseda vlády </w:t>
      </w:r>
    </w:p>
    <w:p>
      <w:pPr>
        <w:pStyle w:val="BodyText"/>
        <w:jc w:val="center"/>
        <w:rPr>
          <w:rFonts w:ascii="Times New Roman" w:hAnsi="Times New Roman" w:cs="Times New Roman"/>
        </w:rPr>
      </w:pPr>
      <w:r>
        <w:rPr>
          <w:rFonts w:ascii="Times New Roman" w:hAnsi="Times New Roman" w:cs="Times New Roman"/>
        </w:rPr>
        <w:t>a minister financií Slovenskej republiky</w:t>
      </w:r>
    </w:p>
    <w:sectPr>
      <w:footerReference w:type="even" r:id="rId4"/>
      <w:footerReference w:type="default" r:id="rId5"/>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altName w:val="Times New Roman"/>
    <w:panose1 w:val="05050102010706020507"/>
    <w:charset w:val="00"/>
    <w:family w:val="roman"/>
    <w:pitch w:val="variable"/>
    <w:sig w:usb0="00000000" w:usb1="00000000" w:usb2="00000000" w:usb3="00000000" w:csb0="00000001" w:csb1="00000000"/>
  </w:font>
  <w:font w:name="Arial">
    <w:altName w:val="Arial"/>
    <w:panose1 w:val="020B0604020202020204"/>
    <w:charset w:val="00"/>
    <w:family w:val="swiss"/>
    <w:pitch w:val="variable"/>
    <w:sig w:usb0="00000000" w:usb1="00000000" w:usb2="00000000" w:usb3="00000000" w:csb0="00000001" w:csb1="00000000"/>
  </w:font>
  <w:font w:name="Arial Unicode MS">
    <w:altName w:val="Tahoma"/>
    <w:panose1 w:val="020B0604020202020204"/>
    <w:charset w:val="00"/>
    <w:family w:val="swiss"/>
    <w:pitch w:val="variable"/>
    <w:sig w:usb0="00000000" w:usb1="00000000" w:usb2="00000000" w:usb3="00000000" w:csb0="00000001" w:csb1="00000000"/>
  </w:font>
  <w:font w:name="Courier New">
    <w:altName w:val="Courier New"/>
    <w:panose1 w:val="02070309020205020404"/>
    <w:charset w:val="00"/>
    <w:family w:val="modern"/>
    <w:pitch w:val="fixed"/>
    <w:sig w:usb0="00000000" w:usb1="00000000" w:usb2="00000000" w:usb3="00000000" w:csb0="00000001" w:csb1="00000000"/>
  </w:font>
  <w:font w:name="Wingdings">
    <w:altName w:val="Symbol"/>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t xml:space="preserve">- </w:t>
    </w: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r>
      <w:rPr>
        <w:rStyle w:val="PageNumber"/>
        <w:rFonts w:ascii="Times New Roman" w:hAnsi="Times New Roman" w:cs="Times New Roman"/>
      </w:rPr>
      <w:t xml:space="preserve"> -</w:t>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2D1F"/>
    <w:multiLevelType w:val="hybridMultilevel"/>
    <w:tmpl w:val="2976140A"/>
    <w:lvl w:ilvl="0">
      <w:start w:val="6"/>
      <w:numFmt w:val="bullet"/>
      <w:lvlText w:val="-"/>
      <w:lvlJc w:val="left"/>
      <w:pPr>
        <w:tabs>
          <w:tab w:val="num" w:pos="900"/>
        </w:tabs>
        <w:ind w:left="90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
    <w:nsid w:val="40BB08A6"/>
    <w:multiLevelType w:val="hybridMultilevel"/>
    <w:tmpl w:val="1FB241BC"/>
    <w:lvl w:ilvl="0">
      <w:start w:val="6"/>
      <w:numFmt w:val="bullet"/>
      <w:lvlText w:val="-"/>
      <w:lvlJc w:val="left"/>
      <w:pPr>
        <w:tabs>
          <w:tab w:val="num" w:pos="900"/>
        </w:tabs>
        <w:ind w:left="900" w:hanging="360"/>
      </w:pPr>
      <w:rPr>
        <w:rFonts w:ascii="Times New Roman" w:hAnsi="Times New Roman" w:cs="Times New Roman"/>
        <w:rtl w:val="0"/>
      </w:rPr>
    </w:lvl>
    <w:lvl w:ilvl="1">
      <w:start w:val="1"/>
      <w:numFmt w:val="bullet"/>
      <w:lvlText w:val="o"/>
      <w:lvlJc w:val="left"/>
      <w:pPr>
        <w:tabs>
          <w:tab w:val="num" w:pos="1620"/>
        </w:tabs>
        <w:ind w:left="1620" w:hanging="360"/>
      </w:pPr>
      <w:rPr>
        <w:rFonts w:ascii="Courier New" w:hAnsi="Courier New"/>
        <w:rtl w:val="0"/>
      </w:rPr>
    </w:lvl>
    <w:lvl w:ilvl="2">
      <w:start w:val="1"/>
      <w:numFmt w:val="bullet"/>
      <w:lvlText w:val=""/>
      <w:lvlJc w:val="left"/>
      <w:pPr>
        <w:tabs>
          <w:tab w:val="num" w:pos="2340"/>
        </w:tabs>
        <w:ind w:left="2340" w:hanging="360"/>
      </w:pPr>
      <w:rPr>
        <w:rFonts w:ascii="Wingdings" w:hAnsi="Wingdings"/>
        <w:rtl w:val="0"/>
      </w:rPr>
    </w:lvl>
    <w:lvl w:ilvl="3">
      <w:start w:val="1"/>
      <w:numFmt w:val="bullet"/>
      <w:lvlText w:val=""/>
      <w:lvlJc w:val="left"/>
      <w:pPr>
        <w:tabs>
          <w:tab w:val="num" w:pos="3060"/>
        </w:tabs>
        <w:ind w:left="3060" w:hanging="360"/>
      </w:pPr>
      <w:rPr>
        <w:rFonts w:ascii="Symbol" w:hAnsi="Symbol"/>
        <w:rtl w:val="0"/>
      </w:rPr>
    </w:lvl>
    <w:lvl w:ilvl="4">
      <w:start w:val="1"/>
      <w:numFmt w:val="bullet"/>
      <w:lvlText w:val="o"/>
      <w:lvlJc w:val="left"/>
      <w:pPr>
        <w:tabs>
          <w:tab w:val="num" w:pos="3780"/>
        </w:tabs>
        <w:ind w:left="3780" w:hanging="360"/>
      </w:pPr>
      <w:rPr>
        <w:rFonts w:ascii="Courier New" w:hAnsi="Courier New"/>
        <w:rtl w:val="0"/>
      </w:rPr>
    </w:lvl>
    <w:lvl w:ilvl="5">
      <w:start w:val="1"/>
      <w:numFmt w:val="bullet"/>
      <w:lvlText w:val=""/>
      <w:lvlJc w:val="left"/>
      <w:pPr>
        <w:tabs>
          <w:tab w:val="num" w:pos="4500"/>
        </w:tabs>
        <w:ind w:left="4500" w:hanging="360"/>
      </w:pPr>
      <w:rPr>
        <w:rFonts w:ascii="Wingdings" w:hAnsi="Wingdings"/>
        <w:rtl w:val="0"/>
      </w:rPr>
    </w:lvl>
    <w:lvl w:ilvl="6">
      <w:start w:val="1"/>
      <w:numFmt w:val="bullet"/>
      <w:lvlText w:val=""/>
      <w:lvlJc w:val="left"/>
      <w:pPr>
        <w:tabs>
          <w:tab w:val="num" w:pos="5220"/>
        </w:tabs>
        <w:ind w:left="5220" w:hanging="360"/>
      </w:pPr>
      <w:rPr>
        <w:rFonts w:ascii="Symbol" w:hAnsi="Symbol"/>
        <w:rtl w:val="0"/>
      </w:rPr>
    </w:lvl>
    <w:lvl w:ilvl="7">
      <w:start w:val="1"/>
      <w:numFmt w:val="bullet"/>
      <w:lvlText w:val="o"/>
      <w:lvlJc w:val="left"/>
      <w:pPr>
        <w:tabs>
          <w:tab w:val="num" w:pos="5940"/>
        </w:tabs>
        <w:ind w:left="5940" w:hanging="360"/>
      </w:pPr>
      <w:rPr>
        <w:rFonts w:ascii="Courier New" w:hAnsi="Courier New"/>
        <w:rtl w:val="0"/>
      </w:rPr>
    </w:lvl>
    <w:lvl w:ilvl="8">
      <w:start w:val="1"/>
      <w:numFmt w:val="bullet"/>
      <w:lvlText w:val=""/>
      <w:lvlJc w:val="left"/>
      <w:pPr>
        <w:tabs>
          <w:tab w:val="num" w:pos="6660"/>
        </w:tabs>
        <w:ind w:left="6660" w:hanging="360"/>
      </w:pPr>
      <w:rPr>
        <w:rFonts w:ascii="Wingdings" w:hAnsi="Wingdings"/>
        <w:rtl w:val="0"/>
      </w:rPr>
    </w:lvl>
  </w:abstractNum>
  <w:abstractNum w:abstractNumId="2">
    <w:nsid w:val="5C9B77D4"/>
    <w:multiLevelType w:val="multilevel"/>
    <w:tmpl w:val="C3D68062"/>
    <w:lvl w:ilvl="0">
      <w:start w:val="1"/>
      <w:numFmt w:val="decimal"/>
      <w:lvlText w:val="%1."/>
      <w:legacy w:legacy="1" w:legacySpace="0" w:legacyIndent="425"/>
      <w:lvlJc w:val="left"/>
      <w:pPr>
        <w:ind w:left="425" w:hanging="425"/>
      </w:pPr>
    </w:lvl>
    <w:lvl w:ilvl="1">
      <w:start w:val="1"/>
      <w:numFmt w:val="lowerLetter"/>
      <w:lvlText w:val="%2)"/>
      <w:legacy w:legacy="1" w:legacySpace="0" w:legacyIndent="425"/>
      <w:lvlJc w:val="left"/>
      <w:pPr>
        <w:ind w:left="850" w:hanging="425"/>
      </w:p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ind w:left="360"/>
      <w:jc w:val="both"/>
      <w:outlineLvl w:val="1"/>
    </w:pPr>
    <w:rPr>
      <w:b/>
      <w:bCs/>
    </w:rPr>
  </w:style>
  <w:style w:type="paragraph" w:styleId="Heading3">
    <w:name w:val="heading 3"/>
    <w:basedOn w:val="Normal"/>
    <w:next w:val="Normal"/>
    <w:uiPriority w:val="9"/>
    <w:qFormat/>
    <w:pPr>
      <w:keepNext/>
      <w:jc w:val="both"/>
      <w:outlineLvl w:val="2"/>
    </w:pPr>
    <w:rPr>
      <w:b/>
      <w:bCs/>
    </w:rPr>
  </w:style>
  <w:style w:type="character" w:default="1" w:styleId="DefaultParagraphFont">
    <w:name w:val="Default Paragraph Font"/>
    <w:semiHidden/>
  </w:style>
  <w:style w:type="paragraph" w:styleId="Title">
    <w:name w:val="Title"/>
    <w:basedOn w:val="Normal"/>
    <w:uiPriority w:val="10"/>
    <w:qFormat/>
    <w:pPr>
      <w:jc w:val="center"/>
    </w:pPr>
    <w:rPr>
      <w:b/>
      <w:bCs/>
    </w:rPr>
  </w:style>
  <w:style w:type="paragraph" w:styleId="NormalWeb">
    <w:name w:val="Normal (Web)"/>
    <w:basedOn w:val="Normal"/>
    <w:pPr>
      <w:spacing w:before="100" w:beforeAutospacing="1" w:after="100" w:afterAutospacing="1"/>
      <w:jc w:val="left"/>
    </w:pPr>
    <w:rPr>
      <w:rFonts w:ascii="Arial Unicode MS" w:hAnsi="Arial Unicode MS" w:cs="Arial Unicode MS"/>
    </w:rPr>
  </w:style>
  <w:style w:type="paragraph" w:styleId="Subtitle">
    <w:name w:val="Subtitle"/>
    <w:basedOn w:val="Normal"/>
    <w:uiPriority w:val="11"/>
    <w:qFormat/>
    <w:pPr>
      <w:jc w:val="left"/>
    </w:pPr>
    <w:rPr>
      <w:b/>
      <w:bC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
    <w:name w:val="Body Text"/>
    <w:basedOn w:val="Normal"/>
    <w:pPr>
      <w:spacing w:after="120"/>
      <w:jc w:val="left"/>
    </w:pPr>
  </w:style>
  <w:style w:type="paragraph" w:styleId="BodyTextIndent">
    <w:name w:val="Body Text Indent"/>
    <w:basedOn w:val="Normal"/>
    <w:pPr>
      <w:autoSpaceDE/>
      <w:autoSpaceDN/>
      <w:ind w:left="720"/>
      <w:jc w:val="left"/>
    </w:pPr>
    <w:rPr>
      <w:bCs/>
    </w:rPr>
  </w:style>
  <w:style w:type="paragraph" w:styleId="BodyTextIndent2">
    <w:name w:val="Body Text Indent 2"/>
    <w:basedOn w:val="Normal"/>
    <w:pPr>
      <w:ind w:left="540"/>
      <w:jc w:val="left"/>
    </w:pPr>
    <w:rPr>
      <w:color w:val="000000"/>
      <w:szCs w:val="20"/>
    </w:rPr>
  </w:style>
  <w:style w:type="paragraph" w:styleId="BodyText2">
    <w:name w:val="Body Text 2"/>
    <w:basedOn w:val="Normal"/>
    <w:pPr>
      <w:jc w:val="both"/>
    </w:pPr>
  </w:style>
  <w:style w:type="paragraph" w:styleId="BodyTextIndent3">
    <w:name w:val="Body Text Indent 3"/>
    <w:basedOn w:val="Normal"/>
    <w:pPr>
      <w:autoSpaceDE/>
      <w:autoSpaceDN/>
      <w:ind w:firstLine="708"/>
      <w:jc w:val="both"/>
    </w:pPr>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Pages>
  <Words>2384</Words>
  <Characters>13593</Characters>
  <Application>Microsoft Office Word</Application>
  <DocSecurity>0</DocSecurity>
  <Lines>0</Lines>
  <Paragraphs>0</Paragraphs>
  <ScaleCrop>false</ScaleCrop>
  <Company>MFSR</Company>
  <LinksUpToDate>false</LinksUpToDate>
  <CharactersWithSpaces>16693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Anna Adamusova</dc:creator>
  <cp:lastModifiedBy>Anna Adamusova</cp:lastModifiedBy>
  <cp:revision>13</cp:revision>
  <cp:lastPrinted>2006-02-22T10:11:00Z</cp:lastPrinted>
  <dcterms:created xsi:type="dcterms:W3CDTF">2006-02-20T11:40:00Z</dcterms:created>
  <dcterms:modified xsi:type="dcterms:W3CDTF">2006-02-22T10:34:00Z</dcterms:modified>
</cp:coreProperties>
</file>