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>
      <w:pPr>
        <w:pStyle w:val="Title"/>
        <w:spacing w:before="80" w:after="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1491</w:t>
      </w:r>
    </w:p>
    <w:p>
      <w:pPr>
        <w:ind w:left="8222"/>
        <w:jc w:val="both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K O N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 2006,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ktorým sa mení a dopĺňa zákon č. 258/2001 Z. z. o spotrebiteľských úveroch a o zmene a doplnení zákona Slovenskej národnej rady č. 71/1986 Zb. o Slo</w:t>
      </w:r>
      <w:r>
        <w:rPr>
          <w:rFonts w:ascii="Times New Roman" w:hAnsi="Times New Roman" w:cs="Times New Roman"/>
          <w:b/>
          <w:bCs/>
          <w:color w:val="000000"/>
        </w:rPr>
        <w:t xml:space="preserve">venskej obchodnej inšpekcii v znení neskorších predpisov 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Národná rada Slovenskej republiky sa uzniesla na tomto zákone: </w:t>
      </w: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Zákon č. 258/2001 Z. z. o spotrebiteľských úveroch a o zmene a doplnení zákona Slovenskej národnej rady č. 71/1986 Zb. o Slovenskej obchodnej inšpekcii v znení neskorších predpisov sa mení a dopĺňa takto: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poznámke pod čiarou k odkazu 1 sa citácia „§ 1 ods. 2 písm. b) zákona č. 21/1992 Zb. o bankách v znení neskorších predpisov“ nahrádza citáciou „§ 2 ods. 1 písm. b) zákona č. 483/2001 Z. z. o bankách a o zmene a doplnení niektorých zákonov v znení neskorších predpisov“.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1 ods. 2 písmeno c) znie:</w:t>
      </w:r>
    </w:p>
    <w:p>
      <w:pPr>
        <w:pStyle w:val="NormalWeb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„c) o poskytnutí úveru bez platby úroku alebo akéhokoľvek poplatku,“.</w:t>
      </w:r>
    </w:p>
    <w:p>
      <w:pPr>
        <w:pStyle w:val="NormalWeb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§ 1 ods. 2 sa za písmeno c) vkladá nové písmeno d), </w:t>
      </w:r>
      <w:r>
        <w:rPr>
          <w:rFonts w:ascii="Times New Roman" w:hAnsi="Times New Roman" w:cs="Times New Roman"/>
          <w:color w:val="000000"/>
        </w:rPr>
        <w:t>ktoré znie:</w:t>
      </w:r>
    </w:p>
    <w:p>
      <w:pPr>
        <w:pStyle w:val="NormalWeb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„d) na základe ktorých sa neukladá žiadny úrok, ak spotrebiteľ súhlasí so splatením úveru jednou splátkou,“.</w:t>
      </w:r>
    </w:p>
    <w:p>
      <w:pPr>
        <w:pStyle w:val="NormalWeb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Doterajšie písmená d), e) a f) sa označujú ako písmená e), f) a g).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§ 1ods. 2 písm. e) sa za slová „viac zmlúv o spotrebiteľskom úvere“ vkladajú slová „medzi tým istým veriteľom a spotrebiteľom“. 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1 odsek 3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„(3) Zákon sa nevzťahuje ani na úver formou povoleného prečerpania peňažných prostriedkov na bežnom účte poskytnutý bankou iným spôsobom ako na kreditnú kartu; tým nie j</w:t>
      </w:r>
      <w:r>
        <w:rPr>
          <w:rFonts w:ascii="Times New Roman" w:hAnsi="Times New Roman" w:cs="Times New Roman"/>
          <w:color w:val="000000"/>
        </w:rPr>
        <w:t>e dotknuté ustanovenie § 3 ods. 6.“.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písm. c) prvý bod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„1. sankcií, ktoré je spotrebiteľ povinný zaplatiť za nesplnenie záväzku uvedeného v zmluve o spotrebiteľskom úvere,“.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2 písm. d) sa slová „tohto zákona“ nahrádzajú slovami „ č. 1“.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left" w:pos="360"/>
          <w:tab w:val="clear" w:pos="720"/>
        </w:tabs>
        <w:spacing w:before="0" w:beforeAutospacing="0" w:after="0" w:afterAutospacing="0"/>
        <w:ind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3 odsek 4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„(4) Reklama</w:t>
      </w:r>
      <w:r>
        <w:rPr>
          <w:rFonts w:ascii="Times New Roman" w:hAnsi="Times New Roman" w:cs="Times New Roman"/>
          <w:color w:val="000000"/>
          <w:vertAlign w:val="superscript"/>
        </w:rPr>
        <w:t>5)</w:t>
      </w:r>
      <w:r>
        <w:rPr>
          <w:rFonts w:ascii="Times New Roman" w:hAnsi="Times New Roman" w:cs="Times New Roman"/>
          <w:color w:val="000000"/>
        </w:rPr>
        <w:t xml:space="preserve"> alebo akákoľvek ponuka vystavená na obchodných miestach, na ktorých veriteľ ponúka spotrebiteľský úver, v ktorej je uvedená úroková sadzba alebo akýkoľvek údaj týkajúci sa nákladov spotrebiteľa spojených so spotrebiteľským úverom, musí obsahovať informáciu o ročnej percentuálnej miere nákladov vo forme príkladu výpočtu podľa prílohy č. 2, ak to nie je uskutočniteľné v inej forme.“.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odsek 6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Pri úveroch formou povoleného prečerpania peňažných prostriedkov na bežnom účte poskytnutých bankou iným spôsobom ako na kreditné karty (§ 1 ods. 3) alebo, ak nemožno určiť ročnú percentuálnu mieru nákladov, musí byť spotrebiteľ najneskôr v čase uzatvorenia zmluvy písomne informovaný o</w:t>
      </w:r>
    </w:p>
    <w:p>
      <w:pPr>
        <w:pStyle w:val="NormalWeb"/>
        <w:numPr>
          <w:ilvl w:val="1"/>
          <w:numId w:val="4"/>
        </w:numPr>
        <w:tabs>
          <w:tab w:val="left" w:pos="1080"/>
          <w:tab w:val="clear" w:pos="1440"/>
        </w:tabs>
        <w:spacing w:before="0" w:beforeAutospacing="0" w:after="0" w:afterAutospacing="0"/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úverovom limite, ak je stanovený, </w:t>
      </w:r>
    </w:p>
    <w:p>
      <w:pPr>
        <w:pStyle w:val="NormalWeb"/>
        <w:numPr>
          <w:ilvl w:val="1"/>
          <w:numId w:val="4"/>
        </w:numPr>
        <w:tabs>
          <w:tab w:val="left" w:pos="1080"/>
          <w:tab w:val="clear" w:pos="1440"/>
        </w:tabs>
        <w:spacing w:before="0" w:beforeAutospacing="0" w:after="0" w:afterAutospacing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ročnej úrokovej sadzbe a poplatkoch platných od doby, kedy bola zmluva uzatvorená a podmienkach, za ktorých môže byť zmenená a doplnená,</w:t>
      </w:r>
    </w:p>
    <w:p>
      <w:pPr>
        <w:pStyle w:val="NormalWeb"/>
        <w:numPr>
          <w:ilvl w:val="1"/>
          <w:numId w:val="4"/>
        </w:numPr>
        <w:tabs>
          <w:tab w:val="left" w:pos="1080"/>
          <w:tab w:val="clear" w:pos="1440"/>
        </w:tabs>
        <w:spacing w:before="0" w:beforeAutospacing="0" w:after="0" w:afterAutospacing="0"/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postupe a spôsobe zániku alebo ukončenia zmluvy.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je na účte prípustné prečerpanie peňažných prostriedkov a toto prečerpanie trvá dlhšie ako tri mesiace, spotrebiteľ musí byť písomne informovaný o ročnej úrokovej sadzbe, poplatkoch a ďalších dôsledkoch.“.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>
      <w:pPr>
        <w:pStyle w:val="NormalWeb"/>
        <w:numPr>
          <w:ilvl w:val="0"/>
          <w:numId w:val="7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3 ods. 7 sa slová „tohto zákona“ nahrádzajú slovami  „č.1 vo forme príkladu výpočtu podľa prílohy č. 2“.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7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sa dopĺňa odsekom 8, ktorý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„(8) Počas trvania zmluvy o spotrebiteľskom úvere je veriteľ povinný písomne a bezodkladne informovať spotrebiteľa o zmene ročnej úrokovej sadzby a poplatkov.“. </w:t>
      </w:r>
    </w:p>
    <w:p>
      <w:pPr>
        <w:pStyle w:val="NormalWeb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7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4 sa odsek 3 dopĺňa písmenom e), ktoré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„e) práva spotrebiteľa podľa § 7.“.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9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odkazu 13 znie: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13</w:t>
      </w:r>
      <w:r>
        <w:rPr>
          <w:rFonts w:ascii="Times New Roman" w:hAnsi="Times New Roman" w:cs="Times New Roman"/>
          <w:color w:val="000000"/>
        </w:rPr>
        <w:t>) § 2 písm. i) zákona č. 128/2002 Z. z. o štátnej kontrole vnútorného trhu vo veciach ochrany spotrebiteľa a o zmene a doplnení niektorých zákonov v znení neskorších predpisov.“.</w:t>
      </w:r>
    </w:p>
    <w:p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9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8 ods. 2 sa za slová „§ 3“ vkladajú slová „a § 4 ods. 1 až 3 a  5“.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9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§ 8 sa vkladajú § 8a a 8b, ktoré vrátane nadpisov znejú:</w:t>
      </w:r>
    </w:p>
    <w:p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ind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„Prechodné a záverečné ustanovenia</w:t>
      </w:r>
    </w:p>
    <w:p>
      <w:pPr>
        <w:pStyle w:val="NormalWeb"/>
        <w:spacing w:before="0" w:beforeAutospacing="0" w:after="0" w:afterAutospacing="0"/>
        <w:ind w:hanging="360"/>
        <w:jc w:val="center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ind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§8a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Prechodné ustanovenie k úpravám účinným od 1. júla 2006</w:t>
      </w:r>
    </w:p>
    <w:p>
      <w:pPr>
        <w:pStyle w:val="NormalWeb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Právne vzťahy, ktoré vznikli pred nadobudnutím účinnosti tohto zákona na základe zmluvy o spotrebiteľskom úvere, sa spravujú podľa doterajších predpisov.“.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§8b</w:t>
      </w:r>
    </w:p>
    <w:p>
      <w:pPr>
        <w:pStyle w:val="NormalWeb"/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Týmto zákonom sa preberajú právne akty Európskych spoločenstiev a Európskej únie uvedené v prílohe č. 3.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numPr>
          <w:ilvl w:val="0"/>
          <w:numId w:val="9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Doterajšia príloha sa označuje ako príloha č. 1, ktorá znie:</w:t>
      </w:r>
    </w:p>
    <w:p>
      <w:pPr>
        <w:pStyle w:val="NormalWeb"/>
        <w:spacing w:before="0" w:beforeAutospacing="0" w:after="0" w:afterAutospacing="0"/>
        <w:ind w:left="3540" w:hanging="360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ind w:left="4956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„Príloha č. 1 </w:t>
      </w:r>
    </w:p>
    <w:p>
      <w:pPr>
        <w:pStyle w:val="NormalWeb"/>
        <w:spacing w:before="0" w:beforeAutospacing="0" w:after="0" w:afterAutospacing="0"/>
        <w:ind w:left="4956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 zákonu č. 258/2001 Z. z.</w:t>
      </w:r>
    </w:p>
    <w:p>
      <w:pPr>
        <w:pStyle w:val="NormalWeb"/>
        <w:spacing w:before="0" w:beforeAutospacing="0" w:after="0" w:afterAutospacing="0"/>
        <w:ind w:left="4956" w:firstLine="708"/>
        <w:rPr>
          <w:rFonts w:ascii="Times New Roman" w:hAnsi="Times New Roman" w:cs="Times New Roman"/>
          <w:color w:val="000000"/>
        </w:rPr>
      </w:pPr>
    </w:p>
    <w:p>
      <w:pPr>
        <w:pStyle w:val="BodyText2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ZÁKLADNÁ ROVNICA VYJADRUJÚCA ROVNOSŤ POSKYTNUTÉHO ÚVERU NA JEDNEJ STRANE A SPLÁTOK A NÁKLADOV NA DRUHEJ STRANE</w:t>
      </w:r>
    </w:p>
    <w:p>
      <w:pPr>
        <w:autoSpaceDE/>
        <w:autoSpaceDN/>
        <w:jc w:val="center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center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72pt;height:46.58pt" o:oleicon="f" o:ole="" filled="f" stroked="f">
            <v:fill o:detectmouseclick="f"/>
            <v:imagedata r:id="rId4" o:title=""/>
          </v:shape>
          <o:OLEObject Type="Embed" ProgID="Equation.3" ShapeID="_x0000_i1025" DrawAspect="Content" ObjectID="_1" r:id="rId5"/>
        </w:object>
      </w:r>
    </w:p>
    <w:p>
      <w:pPr>
        <w:autoSpaceDE/>
        <w:autoSpaceDN/>
        <w:jc w:val="center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rPr>
          <w:rFonts w:ascii="Times New Roman" w:hAnsi="Times New Roman" w:cs="Times New Roman"/>
          <w:color w:val="000000"/>
          <w:szCs w:val="22"/>
        </w:rPr>
      </w:pPr>
    </w:p>
    <w:p>
      <w:pPr>
        <w:pStyle w:val="NormalWeb"/>
        <w:spacing w:before="0" w:beforeAutospacing="0" w:after="0" w:afterAutospacing="0"/>
        <w:ind w:left="708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Význam symbolov: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</w:t>
        <w:tab/>
        <w:t>je poradové číslo spotrebiteľského úveru, {K = 1, 2, ..., m}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126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K´</w:t>
        <w:tab/>
        <w:t>je číslo splátky alebo platby nákladov spotrebiteľského úveru, {K´ = 1, 2, ..., m´}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vertAlign w:val="subscript"/>
        </w:rPr>
        <w:t>K</w:t>
        <w:tab/>
      </w:r>
      <w:r>
        <w:rPr>
          <w:rFonts w:ascii="Times New Roman" w:hAnsi="Times New Roman" w:cs="Times New Roman"/>
          <w:color w:val="000000"/>
        </w:rPr>
        <w:t>je výška K-teho spotrebiteľského úveru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720" w:hanging="1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A´</w:t>
      </w:r>
      <w:r>
        <w:rPr>
          <w:rFonts w:ascii="Times New Roman" w:hAnsi="Times New Roman" w:cs="Times New Roman"/>
          <w:color w:val="000000"/>
          <w:vertAlign w:val="subscript"/>
        </w:rPr>
        <w:t>K´</w:t>
        <w:tab/>
      </w:r>
      <w:r>
        <w:rPr>
          <w:rFonts w:ascii="Times New Roman" w:hAnsi="Times New Roman" w:cs="Times New Roman"/>
          <w:color w:val="000000"/>
        </w:rPr>
        <w:t>je výška K´-tej splátky spotrebiteľského úveru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  <w:szCs w:val="29"/>
        </w:rPr>
      </w:pPr>
      <w:r>
        <w:rPr>
          <w:rFonts w:ascii="Times New Roman" w:hAnsi="Times New Roman" w:cs="Times New Roman"/>
          <w:color w:val="000000"/>
          <w:szCs w:val="29"/>
        </w:rPr>
        <w:t>∑</w:t>
        <w:tab/>
        <w:t>je suma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  <w:szCs w:val="29"/>
        </w:rPr>
      </w:pPr>
      <w:r>
        <w:rPr>
          <w:rFonts w:ascii="Times New Roman" w:hAnsi="Times New Roman" w:cs="Times New Roman"/>
          <w:color w:val="000000"/>
          <w:szCs w:val="29"/>
        </w:rPr>
        <w:t>m</w:t>
        <w:tab/>
        <w:t>je poradové číslo posledného spotrebiteľského úveru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m´</w:t>
        <w:tab/>
        <w:t>je číslo poslednej splátky alebo platby nákladov spotrebiteľského úveru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1248" w:hanging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K</w:t>
      </w:r>
      <w:r>
        <w:rPr>
          <w:rFonts w:ascii="Times New Roman" w:hAnsi="Times New Roman" w:cs="Times New Roman"/>
          <w:color w:val="000000"/>
        </w:rPr>
        <w:tab/>
        <w:t>je časové obdobie (vyjadrené v rokoch a/alebo častiach roka) medzi poskytnutím prvého spotrebiteľského úveru a K-teho spotrebiteľského úveru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1248" w:hanging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K´</w:t>
      </w:r>
      <w:r>
        <w:rPr>
          <w:rFonts w:ascii="Times New Roman" w:hAnsi="Times New Roman" w:cs="Times New Roman"/>
          <w:color w:val="000000"/>
        </w:rPr>
        <w:tab/>
        <w:t>je časové obdobie (vyjadrené v rokoch a/alebo častiach roka) medzi poskytnutím prvého spotrebiteľského úveru a K´-tou splátkou alebo platbou nákladov spotrebiteľského úveru</w:t>
      </w:r>
    </w:p>
    <w:p>
      <w:pPr>
        <w:pStyle w:val="NormalWeb"/>
        <w:tabs>
          <w:tab w:val="left" w:pos="1260"/>
        </w:tabs>
        <w:spacing w:before="0" w:beforeAutospacing="0" w:after="0" w:afterAutospacing="0"/>
        <w:ind w:left="1248" w:hanging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i</w:t>
        <w:tab/>
      </w:r>
      <w:r>
        <w:rPr>
          <w:rFonts w:ascii="Times New Roman" w:hAnsi="Times New Roman" w:cs="Times New Roman"/>
          <w:color w:val="000000"/>
        </w:rPr>
        <w:t>je ročná percentuálna miera nákladov, ktorú možno vypočítať (buď algebricky alebo numerickou aproximáciou), pretože ostatné prvky rovnice sú známe zo zmluvy alebo iným spôsobom</w:t>
      </w:r>
    </w:p>
    <w:p>
      <w:pPr>
        <w:pStyle w:val="NormalWeb"/>
        <w:spacing w:before="0" w:beforeAutospacing="0" w:after="0" w:afterAutospacing="0"/>
        <w:ind w:left="1248" w:hanging="540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NormalWeb"/>
        <w:spacing w:before="0" w:beforeAutospacing="0" w:after="0" w:afterAutospacing="0"/>
        <w:ind w:left="1248" w:hanging="5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Poznámky</w:t>
      </w:r>
    </w:p>
    <w:p>
      <w:pPr>
        <w:numPr>
          <w:ilvl w:val="0"/>
          <w:numId w:val="5"/>
        </w:numPr>
        <w:tabs>
          <w:tab w:val="clear" w:pos="720"/>
          <w:tab w:val="left" w:pos="1068"/>
        </w:tabs>
        <w:ind w:left="106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Ročná percentuálna miera </w:t>
      </w:r>
      <w:r>
        <w:rPr>
          <w:rFonts w:ascii="Times New Roman" w:hAnsi="Times New Roman" w:cs="Times New Roman"/>
          <w:color w:val="000000"/>
          <w:szCs w:val="20"/>
        </w:rPr>
        <w:t>nákladov sa vypočíta</w:t>
      </w:r>
      <w:r>
        <w:rPr>
          <w:rFonts w:ascii="Times New Roman" w:hAnsi="Times New Roman" w:cs="Times New Roman"/>
          <w:color w:val="000000"/>
          <w:szCs w:val="20"/>
        </w:rPr>
        <w:t xml:space="preserve"> v čase, keď sa uzatvára zmluva. Výpočet sa vykoná za predpokladu, že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zmluva o spotrebiteľskom úvere bude platná na dohodnuté obdobie a že veriteľ a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spotrebiteľ splnia svoje povinnosti podľa podmienok </w:t>
      </w:r>
      <w:r>
        <w:rPr>
          <w:rFonts w:ascii="Times New Roman" w:hAnsi="Times New Roman" w:cs="Times New Roman"/>
          <w:color w:val="000000"/>
          <w:szCs w:val="20"/>
        </w:rPr>
        <w:t xml:space="preserve">tejto zmluvy </w:t>
      </w:r>
      <w:r>
        <w:rPr>
          <w:rFonts w:ascii="Times New Roman" w:hAnsi="Times New Roman" w:cs="Times New Roman"/>
          <w:color w:val="000000"/>
          <w:szCs w:val="20"/>
        </w:rPr>
        <w:t>a k dohodnutým</w:t>
      </w:r>
      <w:r>
        <w:rPr>
          <w:rFonts w:ascii="Times New Roman" w:hAnsi="Times New Roman" w:cs="Times New Roman"/>
          <w:color w:val="000000"/>
          <w:szCs w:val="20"/>
        </w:rPr>
        <w:t xml:space="preserve"> termínom.</w:t>
      </w:r>
    </w:p>
    <w:p>
      <w:pPr>
        <w:numPr>
          <w:ilvl w:val="0"/>
          <w:numId w:val="5"/>
        </w:numPr>
        <w:tabs>
          <w:tab w:val="clear" w:pos="720"/>
          <w:tab w:val="left" w:pos="1068"/>
        </w:tabs>
        <w:ind w:left="106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V prípade </w:t>
      </w:r>
      <w:r>
        <w:rPr>
          <w:rFonts w:ascii="Times New Roman" w:hAnsi="Times New Roman" w:cs="Times New Roman"/>
          <w:color w:val="000000"/>
          <w:szCs w:val="20"/>
        </w:rPr>
        <w:t xml:space="preserve">zmlúv o spotrebiteľskom úvere </w:t>
      </w:r>
      <w:r>
        <w:rPr>
          <w:rFonts w:ascii="Times New Roman" w:hAnsi="Times New Roman" w:cs="Times New Roman"/>
          <w:color w:val="000000"/>
          <w:szCs w:val="20"/>
        </w:rPr>
        <w:t>obsahujúcich klauzuly povoľujúce zmeny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úrokovej </w:t>
      </w:r>
      <w:r>
        <w:rPr>
          <w:rFonts w:ascii="Times New Roman" w:hAnsi="Times New Roman" w:cs="Times New Roman"/>
          <w:color w:val="000000"/>
          <w:szCs w:val="20"/>
        </w:rPr>
        <w:t>sadzby</w:t>
      </w:r>
      <w:r>
        <w:rPr>
          <w:rFonts w:ascii="Times New Roman" w:hAnsi="Times New Roman" w:cs="Times New Roman"/>
          <w:color w:val="000000"/>
          <w:szCs w:val="20"/>
        </w:rPr>
        <w:t xml:space="preserve"> a poplatkov obsiahnutých v ročnej percentuálnej miere nákladov,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ale nekvalifikovateľné v čase, keď sa počítala, ročná percentuálna miera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nákladov sa bude počítať na základe predpokladu, že úrok</w:t>
      </w:r>
      <w:r>
        <w:rPr>
          <w:rFonts w:ascii="Times New Roman" w:hAnsi="Times New Roman" w:cs="Times New Roman"/>
          <w:color w:val="000000"/>
          <w:szCs w:val="20"/>
        </w:rPr>
        <w:t xml:space="preserve">ová sadzba </w:t>
      </w:r>
      <w:r>
        <w:rPr>
          <w:rFonts w:ascii="Times New Roman" w:hAnsi="Times New Roman" w:cs="Times New Roman"/>
          <w:color w:val="000000"/>
          <w:szCs w:val="20"/>
        </w:rPr>
        <w:t>a iné poplatky zostanú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stabilné a budú platiť do konca platnosti </w:t>
      </w:r>
      <w:r>
        <w:rPr>
          <w:rFonts w:ascii="Times New Roman" w:hAnsi="Times New Roman" w:cs="Times New Roman"/>
          <w:color w:val="000000"/>
          <w:szCs w:val="20"/>
        </w:rPr>
        <w:t>zmluvy o spotrebiteľskom úvere</w:t>
      </w:r>
      <w:r>
        <w:rPr>
          <w:rFonts w:ascii="Times New Roman" w:hAnsi="Times New Roman" w:cs="Times New Roman"/>
          <w:color w:val="000000"/>
          <w:szCs w:val="20"/>
        </w:rPr>
        <w:t>.</w:t>
      </w:r>
    </w:p>
    <w:p>
      <w:pPr>
        <w:numPr>
          <w:ilvl w:val="0"/>
          <w:numId w:val="5"/>
        </w:numPr>
        <w:tabs>
          <w:tab w:val="clear" w:pos="720"/>
          <w:tab w:val="left" w:pos="1068"/>
        </w:tabs>
        <w:ind w:left="106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Všeobecne platí </w:t>
      </w:r>
      <w:r>
        <w:rPr>
          <w:rFonts w:ascii="Times New Roman" w:hAnsi="Times New Roman" w:cs="Times New Roman"/>
          <w:color w:val="000000"/>
          <w:szCs w:val="20"/>
        </w:rPr>
        <w:t>rovnica medzi výškou spotrebiteľských úverov a výškou splátok a nákladov. Výšky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finančných prostriedkov poskytnutých alebo uhrádzaných ktoroukoľvek zo zmluvných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strán v rôznych lehotách sa nemusia nevyhnutne rovnať a nemusia byť nevyhnutne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zaplatené k rovnakým dňom splatnosti.</w:t>
      </w:r>
    </w:p>
    <w:p>
      <w:pPr>
        <w:numPr>
          <w:ilvl w:val="0"/>
          <w:numId w:val="5"/>
        </w:numPr>
        <w:tabs>
          <w:tab w:val="clear" w:pos="720"/>
          <w:tab w:val="left" w:pos="1068"/>
        </w:tabs>
        <w:ind w:left="106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Dňom poskytnutia prvého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spotrebiteľského úveru je deň, v ktorom sú pre spotrebiteľa disponibilné úverové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prostriedky prvého spotrebiteľského úveru alebo v ktorom mu bol dodaný tovar</w:t>
      </w:r>
      <w:r>
        <w:rPr>
          <w:rFonts w:ascii="Times New Roman" w:hAnsi="Times New Roman" w:cs="Times New Roman"/>
          <w:color w:val="000000"/>
          <w:szCs w:val="20"/>
        </w:rPr>
        <w:t xml:space="preserve"> alebo poskytnutá služba.</w:t>
      </w:r>
    </w:p>
    <w:p>
      <w:pPr>
        <w:numPr>
          <w:ilvl w:val="0"/>
          <w:numId w:val="5"/>
        </w:numPr>
        <w:tabs>
          <w:tab w:val="clear" w:pos="720"/>
          <w:tab w:val="left" w:pos="1068"/>
        </w:tabs>
        <w:ind w:left="106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Lehoty, ktoré sa používajú pri výpočte, sa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vyjadrujú na päť desatinných miest. Za rok sa považuje 365 dní alebo 365,25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dňa, alebo (pri priestupných rokoch) 366 dní, 52 týždňov alebo 12 rovnakých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mesiacov. Za rovnaký mesiac sa považuje 30, 41666 dňa, t. j. 365/12.</w:t>
      </w:r>
    </w:p>
    <w:p>
      <w:pPr>
        <w:numPr>
          <w:ilvl w:val="0"/>
          <w:numId w:val="5"/>
        </w:numPr>
        <w:tabs>
          <w:tab w:val="clear" w:pos="720"/>
          <w:tab w:val="left" w:pos="1068"/>
        </w:tabs>
        <w:ind w:left="106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Výsledok výpočtu </w:t>
      </w:r>
      <w:r>
        <w:rPr>
          <w:rFonts w:ascii="Times New Roman" w:hAnsi="Times New Roman" w:cs="Times New Roman"/>
          <w:color w:val="000000"/>
          <w:szCs w:val="20"/>
        </w:rPr>
        <w:t xml:space="preserve">sa </w:t>
      </w:r>
      <w:r>
        <w:rPr>
          <w:rFonts w:ascii="Times New Roman" w:hAnsi="Times New Roman" w:cs="Times New Roman"/>
          <w:color w:val="000000"/>
          <w:szCs w:val="20"/>
        </w:rPr>
        <w:t>zaokrúhl</w:t>
      </w:r>
      <w:r>
        <w:rPr>
          <w:rFonts w:ascii="Times New Roman" w:hAnsi="Times New Roman" w:cs="Times New Roman"/>
          <w:color w:val="000000"/>
          <w:szCs w:val="20"/>
        </w:rPr>
        <w:t>i</w:t>
      </w:r>
      <w:r>
        <w:rPr>
          <w:rFonts w:ascii="Times New Roman" w:hAnsi="Times New Roman" w:cs="Times New Roman"/>
          <w:color w:val="000000"/>
          <w:szCs w:val="20"/>
        </w:rPr>
        <w:t xml:space="preserve"> s presnosťou aspoň na jedno desatinné miesto.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Pri zaokrúhľovaní na konkrétny počet desatinných miest platí toto pravidlo: ak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sa hodnota číslice na desatinnom mieste nasledujúcom za desatinným miestom, na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ktoré sa zaokrúhľuje, rovná </w:t>
      </w:r>
      <w:r>
        <w:rPr>
          <w:rFonts w:ascii="Times New Roman" w:hAnsi="Times New Roman" w:cs="Times New Roman"/>
          <w:color w:val="000000"/>
          <w:szCs w:val="20"/>
        </w:rPr>
        <w:t xml:space="preserve">päť </w:t>
      </w:r>
      <w:r>
        <w:rPr>
          <w:rFonts w:ascii="Times New Roman" w:hAnsi="Times New Roman" w:cs="Times New Roman"/>
          <w:color w:val="000000"/>
          <w:szCs w:val="20"/>
        </w:rPr>
        <w:t xml:space="preserve">alebo je väčšia, potom sa k číslici na </w:t>
      </w:r>
      <w:r>
        <w:rPr>
          <w:rFonts w:ascii="Times New Roman" w:hAnsi="Times New Roman" w:cs="Times New Roman"/>
          <w:color w:val="000000"/>
          <w:szCs w:val="20"/>
        </w:rPr>
        <w:t xml:space="preserve">tomto </w:t>
      </w:r>
      <w:r>
        <w:rPr>
          <w:rFonts w:ascii="Times New Roman" w:hAnsi="Times New Roman" w:cs="Times New Roman"/>
          <w:color w:val="000000"/>
          <w:szCs w:val="20"/>
        </w:rPr>
        <w:t>desatinnom mieste pripočíta jednotka.</w:t>
      </w:r>
      <w:r>
        <w:rPr>
          <w:rFonts w:ascii="Times New Roman" w:hAnsi="Times New Roman" w:cs="Times New Roman"/>
          <w:color w:val="000000"/>
          <w:szCs w:val="20"/>
        </w:rPr>
        <w:t>“.</w:t>
      </w:r>
    </w:p>
    <w:p>
      <w:pPr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numPr>
          <w:ilvl w:val="0"/>
          <w:numId w:val="9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Za prílohu č. 1 sa vkladajú prílohy č. 2 a 3, ktoré znejú:</w:t>
      </w:r>
    </w:p>
    <w:p>
      <w:pPr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ind w:left="4956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ab/>
        <w:t xml:space="preserve">„Príloha č. 2 </w:t>
      </w:r>
    </w:p>
    <w:p>
      <w:pPr>
        <w:ind w:left="4956"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 zákonu č. 258/2001 Z. z.</w:t>
      </w:r>
    </w:p>
    <w:p>
      <w:pPr>
        <w:ind w:left="4956" w:firstLine="708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pStyle w:val="Head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PRÍKLADY VÝPOČTOV</w:t>
      </w:r>
    </w:p>
    <w:p>
      <w:pPr>
        <w:pStyle w:val="BodyText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VÝPOČET ROČNEJ P</w:t>
      </w:r>
      <w:r>
        <w:rPr>
          <w:rFonts w:ascii="Times New Roman" w:hAnsi="Times New Roman" w:cs="Times New Roman"/>
          <w:color w:val="000000"/>
        </w:rPr>
        <w:t>ERCENTUÁLNEJ MIERY NÁKLADOV NA ZÁKLADE KALENDÁRNEHO ROKA (1 ROK = 365 DNÍ (ALEBO 366 DNÍ PRI PRIESTUPNÝCH ROKOCH)).</w:t>
      </w:r>
    </w:p>
    <w:p>
      <w:pPr>
        <w:ind w:left="360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ind w:left="360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  <w:r>
        <w:rPr>
          <w:rFonts w:ascii="Times New Roman" w:hAnsi="Times New Roman" w:cs="Times New Roman"/>
          <w:b/>
          <w:bCs/>
          <w:color w:val="000000"/>
          <w:szCs w:val="17"/>
        </w:rPr>
        <w:t>Prvý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Požičaná suma je S = 10 000 Sk dňa 1. januára 2002.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Suma je splatená jednou splátkou vo výške 12 000 Sk dňa 1. júla 2003, t</w:t>
      </w:r>
      <w:r>
        <w:rPr>
          <w:rFonts w:ascii="Times New Roman" w:hAnsi="Times New Roman" w:cs="Times New Roman"/>
          <w:color w:val="000000"/>
          <w:szCs w:val="17"/>
        </w:rPr>
        <w:t>. j., 1 1/2 roka alebo 546 dní (365 + 181) po dátume poskytnutia úveru.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26" type="#_x0000_t75" style="width:88pt;height:42pt" o:oleicon="f" o:ole="" filled="f" stroked="f">
            <v:fill o:detectmouseclick="f"/>
            <v:imagedata r:id="rId6" o:title=""/>
          </v:shape>
          <o:OLEObject Type="Embed" ProgID="Equation.3" ShapeID="_x0000_i1026" DrawAspect="Content" ObjectID="_2" r:id="rId7"/>
        </w:objec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alebo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(1+i)</w:t>
      </w:r>
      <w:r>
        <w:rPr>
          <w:rFonts w:ascii="Times New Roman" w:hAnsi="Times New Roman" w:cs="Times New Roman"/>
          <w:szCs w:val="18"/>
          <w:vertAlign w:val="superscript"/>
        </w:rPr>
        <w:t>546/365</w:t>
      </w:r>
      <w:r>
        <w:rPr>
          <w:rFonts w:ascii="Times New Roman" w:hAnsi="Times New Roman" w:cs="Times New Roman"/>
          <w:szCs w:val="18"/>
        </w:rPr>
        <w:t xml:space="preserve"> = 1,2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1+i = 1,129620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 = 0, 129620</w:t>
      </w:r>
    </w:p>
    <w:p>
      <w:pPr>
        <w:autoSpaceDE/>
        <w:autoSpaceDN/>
        <w:jc w:val="both"/>
        <w:rPr>
          <w:rFonts w:ascii="Times New Roman" w:hAnsi="Times New Roman" w:cs="Times New Roman"/>
          <w:i/>
          <w:i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17"/>
        </w:rPr>
        <w:t>Výsledok bude zaokrúhlený na 13 % (alebo na 12,96 % pri presnosti na dve desatinné miesta).</w:t>
      </w: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>
      <w:pPr>
        <w:autoSpaceDE/>
        <w:autoSpaceDN/>
        <w:jc w:val="both"/>
        <w:rPr>
          <w:rFonts w:ascii="Times New Roman" w:hAnsi="Times New Roman" w:cs="Times New Roman"/>
          <w:b/>
          <w:bCs/>
          <w:color w:val="000000"/>
          <w:szCs w:val="17"/>
        </w:rPr>
      </w:pPr>
      <w:r>
        <w:rPr>
          <w:rFonts w:ascii="Times New Roman" w:hAnsi="Times New Roman" w:cs="Times New Roman"/>
          <w:b/>
          <w:bCs/>
          <w:color w:val="000000"/>
          <w:szCs w:val="17"/>
        </w:rPr>
        <w:t>Druhý príklad</w:t>
      </w:r>
    </w:p>
    <w:p>
      <w:pPr>
        <w:autoSpaceDE/>
        <w:autoSpaceDN/>
        <w:jc w:val="both"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Požičaná suma je S = 10 000 Sk, ale veriteľ si ponechá 500 Sk na administratívne výdavky, takže výška spotrebiteľského úveru predstavuje 9 500 Sk. Rovnako ako v prvom príklade je vykonaná splátka vo výške 12 000 Sk dňa 1. júla 2003.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  <w:r>
        <w:rPr>
          <w:rFonts w:ascii="Times New Roman" w:hAnsi="Times New Roman" w:cs="Times New Roman"/>
          <w:color w:val="000000"/>
          <w:szCs w:val="17"/>
        </w:rPr>
        <w:t xml:space="preserve"> 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27" type="#_x0000_t75" style="width:82.95pt;height:42pt" o:oleicon="f" o:ole="" filled="f" stroked="f">
            <v:fill o:detectmouseclick="f"/>
            <v:imagedata r:id="rId8" o:title=""/>
          </v:shape>
          <o:OLEObject Type="Embed" ProgID="Equation.3" ShapeID="_x0000_i1027" DrawAspect="Content" ObjectID="_3" r:id="rId9"/>
        </w:objec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alebo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(1+i)</w:t>
      </w:r>
      <w:r>
        <w:rPr>
          <w:rFonts w:ascii="Times New Roman" w:hAnsi="Times New Roman" w:cs="Times New Roman"/>
          <w:szCs w:val="18"/>
          <w:vertAlign w:val="superscript"/>
        </w:rPr>
        <w:t>546/365</w:t>
      </w:r>
      <w:r>
        <w:rPr>
          <w:rFonts w:ascii="Times New Roman" w:hAnsi="Times New Roman" w:cs="Times New Roman"/>
          <w:szCs w:val="18"/>
        </w:rPr>
        <w:t xml:space="preserve"> = 1,263157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1+i = 1,169026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 = 0,169026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Výsledok bude zaokrúhlený na 16,9 %.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  <w:r>
        <w:rPr>
          <w:rFonts w:ascii="Times New Roman" w:hAnsi="Times New Roman" w:cs="Times New Roman"/>
          <w:b/>
          <w:bCs/>
          <w:color w:val="000000"/>
          <w:szCs w:val="17"/>
        </w:rPr>
        <w:t>Tretí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Dňa 1. januára 2002 je požičaná suma 10 000 Sk, spláca sa v dvoch splátkach, obe po 6000 Sk – prvá splátka po jedno</w:t>
      </w:r>
      <w:r>
        <w:rPr>
          <w:rFonts w:ascii="Times New Roman" w:hAnsi="Times New Roman" w:cs="Times New Roman"/>
          <w:color w:val="000000"/>
          <w:szCs w:val="17"/>
        </w:rPr>
        <w:t>m roku, druhá po dvoch rokoch.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center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rtl w:val="0"/>
        </w:rPr>
        <w:object>
          <v:shape id="_x0000_i1028" type="#_x0000_t75" style="width:213pt;height:42pt" o:oleicon="f" o:ole="" filled="f" stroked="f">
            <v:fill o:detectmouseclick="f"/>
            <v:imagedata r:id="rId10" o:title=""/>
          </v:shape>
          <o:OLEObject Type="Embed" ProgID="Equation.3" ShapeID="_x0000_i1028" DrawAspect="Content" ObjectID="_4" r:id="rId11"/>
        </w:objec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17"/>
        </w:rPr>
        <w:t>Rovnica sa vyrieši algebraicky a jej výsledkom bude i = 0,1306623, po zaokrúhlení je 13,1 % (alebo 13,07 % pri presnosti na dve desatinné miesta).</w:t>
      </w:r>
    </w:p>
    <w:p>
      <w:pPr>
        <w:autoSpaceDE/>
        <w:autoSpaceDN/>
        <w:rPr>
          <w:rFonts w:ascii="Times New Roman" w:hAnsi="Times New Roman" w:cs="Times New Roman"/>
          <w:color w:val="000000"/>
          <w:szCs w:val="20"/>
        </w:rPr>
      </w:pP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  <w:r>
        <w:rPr>
          <w:rFonts w:ascii="Times New Roman" w:hAnsi="Times New Roman" w:cs="Times New Roman"/>
          <w:b/>
          <w:bCs/>
          <w:color w:val="000000"/>
          <w:szCs w:val="17"/>
        </w:rPr>
        <w:t>Štvrtý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Dňa 1. januára 2002 je požičaná suma S = 10 000 Sk a čiastky, ktoré má splatiť spotrebiteľ, sú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Po 3 mesiacoch (0,25 roku/90 dní): </w:t>
        <w:tab/>
        <w:tab/>
        <w:tab/>
        <w:tab/>
        <w:t xml:space="preserve">  2 720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Po 6 mesiacoch (0,5 roku/181 dní): </w:t>
        <w:tab/>
        <w:tab/>
        <w:tab/>
        <w:tab/>
        <w:t xml:space="preserve">  2 720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Po 12 mesiacoch (1 rok/365 dní): </w:t>
        <w:tab/>
        <w:tab/>
        <w:tab/>
        <w:tab/>
        <w:t xml:space="preserve">  5 440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noProof/>
          <w:color w:val="000000"/>
          <w:szCs w:val="17"/>
        </w:rPr>
        <w:pict>
          <v:line id="_x0000_s1029" style="position:absolute;z-index:251658240" from="279pt,1.25pt" to="342pt,1.25pt"/>
        </w:pict>
      </w:r>
      <w:r>
        <w:rPr>
          <w:rFonts w:ascii="Times New Roman" w:hAnsi="Times New Roman" w:cs="Times New Roman"/>
          <w:color w:val="000000"/>
          <w:szCs w:val="17"/>
        </w:rPr>
        <w:t xml:space="preserve">Celkom </w:t>
        <w:tab/>
        <w:tab/>
        <w:tab/>
        <w:tab/>
        <w:tab/>
        <w:tab/>
        <w:tab/>
        <w:t>10 880 S</w:t>
      </w:r>
      <w:r>
        <w:rPr>
          <w:rFonts w:ascii="Times New Roman" w:hAnsi="Times New Roman" w:cs="Times New Roman"/>
          <w:color w:val="000000"/>
          <w:szCs w:val="17"/>
        </w:rPr>
        <w:t>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center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rtl w:val="0"/>
        </w:rPr>
        <w:object>
          <v:shape id="_x0000_i1030" type="#_x0000_t75" style="width:196pt;height:42pt" o:oleicon="f" o:ole="" filled="f" stroked="f">
            <v:fill o:detectmouseclick="f"/>
            <v:imagedata r:id="rId12" o:title=""/>
          </v:shape>
          <o:OLEObject Type="Embed" ProgID="Equation.3" ShapeID="_x0000_i1030" DrawAspect="Content" ObjectID="_5" r:id="rId13"/>
        </w:objec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Výsledok je </w:t>
      </w:r>
      <w:r>
        <w:rPr>
          <w:rFonts w:ascii="Times New Roman" w:hAnsi="Times New Roman" w:cs="Times New Roman"/>
          <w:i/>
          <w:iCs/>
          <w:color w:val="000000"/>
          <w:szCs w:val="17"/>
        </w:rPr>
        <w:t xml:space="preserve">i </w:t>
      </w:r>
      <w:r>
        <w:rPr>
          <w:rFonts w:ascii="Times New Roman" w:hAnsi="Times New Roman" w:cs="Times New Roman"/>
          <w:color w:val="000000"/>
          <w:szCs w:val="17"/>
        </w:rPr>
        <w:t>= 0,13226, po zaokrúhlení je 13,2 % (alebo 13,23 % pri presnosti na dve desatinné miesta).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pStyle w:val="BodyText"/>
        <w:autoSpaceDE/>
        <w:autoSpaceDN/>
        <w:spacing w:before="0" w:beforeAutospacing="0" w:after="0" w:afterAutospacing="0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B. VÝPOČET ROČNEJ PERCENTUÁLNEJ MIERY NÁKLADOV NA ZÁKLADE ŠTANDARDNÉHO ROKA (1 ROK = 365 DNÍ ALEBO 365,25 DŇA, 52 TÝŽDŇOV, ALEBO 12 ROVNAKÝCH MESIACOV).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20"/>
        </w:rPr>
      </w:pP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  <w:r>
        <w:rPr>
          <w:rFonts w:ascii="Times New Roman" w:hAnsi="Times New Roman" w:cs="Times New Roman"/>
          <w:b/>
          <w:bCs/>
          <w:color w:val="000000"/>
          <w:szCs w:val="17"/>
        </w:rPr>
        <w:t>Prvý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Požičaná suma je S = 10 000 Sk.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Táto suma je splatená jednou splátkou vo výške 12 000 Sk, a to 1,5 roka (t. j. 1,5 × 365 = 547,5 dňa, 1,5 × 365,25 = 547,875 dňa, 1,5 × 366 = 549 dní, 1,5 × 12 = 18 mesiacov, alebo 1,5 × 52 = 78 týždňov) po dátume poskytnutia úveru.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1" type="#_x0000_t75" style="width:266pt;height:43pt" o:oleicon="f" o:ole="" filled="f" stroked="f">
            <v:fill o:detectmouseclick="f"/>
            <v:imagedata r:id="rId14" o:title=""/>
          </v:shape>
          <o:OLEObject Type="Embed" ProgID="Equation.3" ShapeID="_x0000_i1031" DrawAspect="Content" ObjectID="_6" r:id="rId15"/>
        </w:objec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alebo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(1+i)</w:t>
      </w:r>
      <w:r>
        <w:rPr>
          <w:rFonts w:ascii="Times New Roman" w:hAnsi="Times New Roman" w:cs="Times New Roman"/>
          <w:szCs w:val="18"/>
          <w:vertAlign w:val="superscript"/>
        </w:rPr>
        <w:t>1,5</w:t>
      </w:r>
      <w:r>
        <w:rPr>
          <w:rFonts w:ascii="Times New Roman" w:hAnsi="Times New Roman" w:cs="Times New Roman"/>
          <w:szCs w:val="18"/>
        </w:rPr>
        <w:t xml:space="preserve"> = 1,2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1+i = 1,129243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 = 0,129243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17"/>
        </w:rPr>
        <w:t xml:space="preserve">Výsledok bude zaokrúhlený na 12,9 % (alebo na 12,92 % pri presnosti na dve </w:t>
      </w:r>
      <w:r>
        <w:rPr>
          <w:rFonts w:ascii="Times New Roman" w:hAnsi="Times New Roman" w:cs="Times New Roman"/>
          <w:color w:val="000000"/>
          <w:szCs w:val="17"/>
        </w:rPr>
        <w:t>desatinné miesta).</w:t>
      </w:r>
    </w:p>
    <w:p>
      <w:pPr>
        <w:pStyle w:val="NormalWeb"/>
        <w:autoSpaceDE/>
        <w:autoSpaceDN/>
        <w:spacing w:before="0" w:beforeAutospacing="0" w:after="0" w:afterAutospacing="0"/>
        <w:rPr>
          <w:rFonts w:ascii="Times New Roman" w:hAnsi="Times New Roman" w:cs="Times New Roman"/>
          <w:color w:val="000000"/>
          <w:szCs w:val="20"/>
        </w:rPr>
      </w:pPr>
    </w:p>
    <w:p>
      <w:pPr>
        <w:pStyle w:val="Heading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Druhý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Požičaná suma je S = 10 000 Sk, ale veriteľ si ponechá 500 Sk na administratívne výdavky, takže výška spotrebiteľského úveru predstavuje 9 500 Sk. Rovnako ako v prvom príklade je vykonaná splátka vo výške 12 000 Sk 1,5 ro</w:t>
      </w:r>
      <w:r>
        <w:rPr>
          <w:rFonts w:ascii="Times New Roman" w:hAnsi="Times New Roman" w:cs="Times New Roman"/>
          <w:color w:val="000000"/>
          <w:szCs w:val="17"/>
        </w:rPr>
        <w:t>ka po dátume poskytnutia úveru.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2" type="#_x0000_t75" style="width:260pt;height:43pt" o:oleicon="f" o:ole="" filled="f" stroked="f">
            <v:fill o:detectmouseclick="f"/>
            <v:imagedata r:id="rId16" o:title=""/>
          </v:shape>
          <o:OLEObject Type="Embed" ProgID="Equation.3" ShapeID="_x0000_i1032" DrawAspect="Content" ObjectID="_7" r:id="rId17"/>
        </w:objec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alebo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(1+i)</w:t>
      </w:r>
      <w:r>
        <w:rPr>
          <w:rFonts w:ascii="Times New Roman" w:hAnsi="Times New Roman" w:cs="Times New Roman"/>
          <w:color w:val="000000"/>
          <w:szCs w:val="18"/>
          <w:vertAlign w:val="superscript"/>
        </w:rPr>
        <w:t>1,5</w:t>
      </w:r>
      <w:r>
        <w:rPr>
          <w:rFonts w:ascii="Times New Roman" w:hAnsi="Times New Roman" w:cs="Times New Roman"/>
          <w:color w:val="000000"/>
          <w:szCs w:val="18"/>
        </w:rPr>
        <w:t xml:space="preserve"> = 12 000/9 500 = 1,263158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1+i = 1,168526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i = 0,168526</w:t>
      </w:r>
    </w:p>
    <w:p>
      <w:pPr>
        <w:pStyle w:val="NormalWeb"/>
        <w:autoSpaceDE/>
        <w:autoSpaceDN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17"/>
        </w:rPr>
        <w:t>Výsledok bude zaokrúhlený na 16,9 % (alebo na 16,85 % pri presnosti na dve desatinné miesta).</w:t>
      </w:r>
    </w:p>
    <w:p>
      <w:pPr>
        <w:autoSpaceDE/>
        <w:autoSpaceDN/>
        <w:rPr>
          <w:rFonts w:ascii="Times New Roman" w:hAnsi="Times New Roman" w:cs="Times New Roman"/>
          <w:color w:val="000000"/>
          <w:szCs w:val="20"/>
        </w:rPr>
      </w:pPr>
    </w:p>
    <w:p>
      <w:pPr>
        <w:pStyle w:val="Heading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Tretí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Dňa 1. januára 2002 je požičaná suma 10 000 Sk, spláca sa v dvoch splátkach, obe po 6 000 Sk – prvá splátka po jednom roku, druhá po dvoch rokoch.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rovnice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3" type="#_x0000_t75" style="width:271pt;height:43pt" o:oleicon="f" o:ole="" filled="f" stroked="f">
            <v:fill o:detectmouseclick="f"/>
            <v:imagedata r:id="rId18" o:title=""/>
          </v:shape>
          <o:OLEObject Type="Embed" ProgID="Equation.3" ShapeID="_x0000_i1033" DrawAspect="Content" ObjectID="_8" r:id="rId19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4" type="#_x0000_t75" style="width:209pt;height:42pt" o:oleicon="f" o:ole="" filled="f" stroked="f">
            <v:fill o:detectmouseclick="f"/>
            <v:imagedata r:id="rId20" o:title=""/>
          </v:shape>
          <o:OLEObject Type="Embed" ProgID="Equation.3" ShapeID="_x0000_i1034" DrawAspect="Content" ObjectID="_9" r:id="rId21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5" type="#_x0000_t75" style="width:93pt;height:34pt" o:oleicon="f" o:ole="" filled="f" stroked="f">
            <v:fill o:detectmouseclick="f"/>
            <v:imagedata r:id="rId22" o:title=""/>
          </v:shape>
          <o:OLEObject Type="Embed" ProgID="Equation.3" ShapeID="_x0000_i1035" DrawAspect="Content" ObjectID="_10" r:id="rId23"/>
        </w:object>
      </w:r>
    </w:p>
    <w:p>
      <w:pPr>
        <w:pStyle w:val="NormalWeb"/>
        <w:autoSpaceDE/>
        <w:autoSpaceDN/>
        <w:spacing w:before="0" w:beforeAutospacing="0" w:after="0" w:afterAutospacing="0"/>
        <w:rPr>
          <w:rFonts w:ascii="Times New Roman" w:hAnsi="Times New Roman" w:cs="Times New Roman"/>
          <w:color w:val="000000"/>
          <w:szCs w:val="12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17"/>
        </w:rPr>
        <w:t xml:space="preserve">Rovnica sa </w:t>
      </w:r>
      <w:r>
        <w:rPr>
          <w:rFonts w:ascii="Times New Roman" w:hAnsi="Times New Roman" w:cs="Times New Roman"/>
          <w:color w:val="000000"/>
          <w:szCs w:val="17"/>
        </w:rPr>
        <w:t xml:space="preserve">vyrieši algebraicky a jej výsledkom bude i = </w:t>
      </w:r>
      <w:r>
        <w:rPr>
          <w:rFonts w:ascii="Times New Roman" w:hAnsi="Times New Roman" w:cs="Times New Roman"/>
          <w:szCs w:val="18"/>
        </w:rPr>
        <w:t>0,130662</w:t>
      </w:r>
      <w:r>
        <w:rPr>
          <w:rFonts w:ascii="Times New Roman" w:hAnsi="Times New Roman" w:cs="Times New Roman"/>
          <w:color w:val="000000"/>
          <w:szCs w:val="17"/>
        </w:rPr>
        <w:t>, čo sa zaokrúhli na 13,1 % (alebo 13,07 % pri presnosti na dve desatinné miesta).</w:t>
      </w:r>
    </w:p>
    <w:p>
      <w:pPr>
        <w:autoSpaceDE/>
        <w:autoSpaceDN/>
        <w:rPr>
          <w:rFonts w:ascii="Times New Roman" w:hAnsi="Times New Roman" w:cs="Times New Roman"/>
          <w:color w:val="000000"/>
          <w:szCs w:val="20"/>
        </w:rPr>
      </w:pPr>
    </w:p>
    <w:p>
      <w:pPr>
        <w:pStyle w:val="Heading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Štvrtý príklad</w:t>
      </w:r>
    </w:p>
    <w:p>
      <w:pPr>
        <w:autoSpaceDE/>
        <w:autoSpaceDN/>
        <w:rPr>
          <w:rFonts w:ascii="Times New Roman" w:hAnsi="Times New Roman" w:cs="Times New Roman"/>
          <w:b/>
          <w:bCs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Dňa 1. januára 2002 je požičaná suma S = 10 000 Sk a čiastky, ktoré má splatiť spotrebiteľ, sú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3 me</w:t>
      </w:r>
      <w:r>
        <w:rPr>
          <w:rFonts w:ascii="Times New Roman" w:hAnsi="Times New Roman" w:cs="Times New Roman"/>
          <w:color w:val="000000"/>
          <w:szCs w:val="17"/>
        </w:rPr>
        <w:t>siacoch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(0,25 roku/13 týždňov/91,25 dňa/91,3125 dňa): </w:t>
        <w:tab/>
        <w:tab/>
        <w:tab/>
        <w:t xml:space="preserve">  2 720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6 mesiacoch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(0,5 roku/26 týždňov/182,5 dňa/182,625 dňa): </w:t>
        <w:tab/>
        <w:tab/>
        <w:tab/>
        <w:t xml:space="preserve">  2 720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12 mesiacoch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 xml:space="preserve">(1 rok/52 týždňov/365 dní/365,25 dňa): </w:t>
        <w:tab/>
        <w:tab/>
        <w:tab/>
        <w:tab/>
        <w:t xml:space="preserve">  5 440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noProof/>
          <w:color w:val="000000"/>
          <w:szCs w:val="17"/>
        </w:rPr>
        <w:pict>
          <v:shape id="_x0000_s1036" style="width:66.75pt;height:0.05pt;margin-top:1.65pt;margin-left:315pt;position:absolute;z-index:251659264" coordsize="1335,1" path="m,hal1335,hae" filled="f">
            <v:stroke startarrow="none" endarrow="none"/>
            <v:path arrowok="t"/>
          </v:shape>
        </w:pict>
      </w:r>
      <w:r>
        <w:rPr>
          <w:rFonts w:ascii="Times New Roman" w:hAnsi="Times New Roman" w:cs="Times New Roman"/>
          <w:color w:val="000000"/>
          <w:szCs w:val="17"/>
        </w:rPr>
        <w:t xml:space="preserve">Celkom </w:t>
        <w:tab/>
        <w:tab/>
        <w:tab/>
        <w:tab/>
        <w:tab/>
        <w:tab/>
        <w:tab/>
        <w:tab/>
        <w:t>10 880 Sk</w:t>
      </w: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Po dosadení do ro</w:t>
      </w:r>
      <w:r>
        <w:rPr>
          <w:rFonts w:ascii="Times New Roman" w:hAnsi="Times New Roman" w:cs="Times New Roman"/>
          <w:color w:val="000000"/>
          <w:szCs w:val="17"/>
        </w:rPr>
        <w:t>vnice</w: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7" type="#_x0000_t75" style="width:207pt;height:42pt" o:oleicon="f" o:ole="" filled="f" stroked="f">
            <v:fill o:detectmouseclick="f"/>
            <v:imagedata r:id="rId24" o:title=""/>
          </v:shape>
          <o:OLEObject Type="Embed" ProgID="Equation.3" ShapeID="_x0000_i1037" DrawAspect="Content" ObjectID="_11" r:id="rId25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8" type="#_x0000_t75" style="width:196pt;height:43pt" o:oleicon="f" o:ole="" filled="f" stroked="f">
            <v:fill o:detectmouseclick="f"/>
            <v:imagedata r:id="rId26" o:title=""/>
          </v:shape>
          <o:OLEObject Type="Embed" ProgID="Equation.3" ShapeID="_x0000_i1038" DrawAspect="Content" ObjectID="_12" r:id="rId27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39" type="#_x0000_t75" style="width:153pt;height:42pt" o:oleicon="f" o:ole="" filled="f" stroked="f">
            <v:fill o:detectmouseclick="f"/>
            <v:imagedata r:id="rId28" o:title=""/>
          </v:shape>
          <o:OLEObject Type="Embed" ProgID="Equation.3" ShapeID="_x0000_i1039" DrawAspect="Content" ObjectID="_13" r:id="rId29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40" type="#_x0000_t75" style="width:154pt;height:42pt" o:oleicon="f" o:ole="" filled="f" stroked="f">
            <v:fill o:detectmouseclick="f"/>
            <v:imagedata r:id="rId30" o:title=""/>
          </v:shape>
          <o:OLEObject Type="Embed" ProgID="Equation.3" ShapeID="_x0000_i1040" DrawAspect="Content" ObjectID="_14" r:id="rId31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41" type="#_x0000_t75" style="width:155pt;height:34pt" o:oleicon="f" o:ole="" filled="f" stroked="f">
            <v:fill o:detectmouseclick="f"/>
            <v:imagedata r:id="rId32" o:title=""/>
          </v:shape>
          <o:OLEObject Type="Embed" ProgID="Equation.3" ShapeID="_x0000_i1041" DrawAspect="Content" ObjectID="_15" r:id="rId33"/>
        </w:object>
      </w:r>
    </w:p>
    <w:p>
      <w:pPr>
        <w:autoSpaceDE/>
        <w:autoSpaceDN/>
        <w:rPr>
          <w:rFonts w:ascii="Times New Roman" w:hAnsi="Times New Roman" w:cs="Times New Roman"/>
          <w:color w:val="000000"/>
          <w:szCs w:val="17"/>
        </w:rPr>
      </w:pPr>
    </w:p>
    <w:p>
      <w:pPr>
        <w:autoSpaceDE/>
        <w:autoSpaceDN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17"/>
        </w:rPr>
        <w:t xml:space="preserve">Výsledok je </w:t>
      </w:r>
      <w:r>
        <w:rPr>
          <w:rFonts w:ascii="Times New Roman" w:hAnsi="Times New Roman" w:cs="Times New Roman"/>
          <w:i/>
          <w:iCs/>
          <w:color w:val="000000"/>
          <w:szCs w:val="17"/>
        </w:rPr>
        <w:t xml:space="preserve">i </w:t>
      </w:r>
      <w:r>
        <w:rPr>
          <w:rFonts w:ascii="Times New Roman" w:hAnsi="Times New Roman" w:cs="Times New Roman"/>
          <w:color w:val="000000"/>
          <w:szCs w:val="17"/>
        </w:rPr>
        <w:t xml:space="preserve">= </w:t>
      </w:r>
      <w:r>
        <w:rPr>
          <w:rFonts w:ascii="Times New Roman" w:hAnsi="Times New Roman" w:cs="Times New Roman"/>
          <w:szCs w:val="18"/>
        </w:rPr>
        <w:t>0,131855</w:t>
      </w:r>
      <w:r>
        <w:rPr>
          <w:rFonts w:ascii="Times New Roman" w:hAnsi="Times New Roman" w:cs="Times New Roman"/>
          <w:color w:val="000000"/>
          <w:szCs w:val="17"/>
        </w:rPr>
        <w:t>, čo sa zaokrúhli na 13,2 % (alebo na 13,19 % pri presnosti na dve desatinné miesta).</w:t>
      </w:r>
    </w:p>
    <w:p>
      <w:pPr>
        <w:autoSpaceDE/>
        <w:autoSpaceDN/>
        <w:ind w:left="360"/>
        <w:rPr>
          <w:rFonts w:ascii="Times New Roman" w:hAnsi="Times New Roman" w:cs="Times New Roman"/>
          <w:color w:val="000000"/>
          <w:szCs w:val="20"/>
        </w:rPr>
      </w:pPr>
    </w:p>
    <w:p>
      <w:pPr>
        <w:autoSpaceDE/>
        <w:autoSpaceDN/>
        <w:ind w:left="360"/>
        <w:rPr>
          <w:rFonts w:ascii="Times New Roman" w:hAnsi="Times New Roman" w:cs="Times New Roman"/>
          <w:color w:val="000000"/>
          <w:szCs w:val="20"/>
        </w:rPr>
      </w:pPr>
    </w:p>
    <w:p>
      <w:pPr>
        <w:pStyle w:val="Heading2"/>
        <w:adjustRightInd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C. VZOROVÉ PRÍKLADY VÝPOČTU </w:t>
      </w:r>
      <w:r>
        <w:rPr>
          <w:rFonts w:ascii="Times New Roman" w:hAnsi="Times New Roman" w:cs="Times New Roman"/>
          <w:color w:val="000000"/>
        </w:rPr>
        <w:t>ROČNEJ PERCENTUÁLNEJ MIERY NÁKLADOV PRE POSKYTNUTIE SPOTREBITEĽSKÉHO ÚVERU BANKAMI.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b/>
          <w:bCs/>
          <w:color w:val="000000"/>
          <w:szCs w:val="18"/>
        </w:rPr>
      </w:pPr>
      <w:r>
        <w:rPr>
          <w:rFonts w:ascii="Times New Roman" w:hAnsi="Times New Roman" w:cs="Times New Roman"/>
          <w:b/>
          <w:bCs/>
          <w:color w:val="000000"/>
          <w:szCs w:val="18"/>
        </w:rPr>
        <w:t>Prvý príklad</w:t>
      </w:r>
    </w:p>
    <w:p>
      <w:pPr>
        <w:pStyle w:val="NormalWeb"/>
        <w:spacing w:before="0" w:beforeAutospacing="0" w:after="0" w:afterAutospacing="0"/>
        <w:ind w:right="-56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ab/>
        <w:t>Klient si v banke požičal spotrebiteľský úver vo výške 15 000,- Sk. Za poskytnutie spotrebiteľského úveru a spracovanie zmluvy si banka ponechala 1 % z objemu poskytnutých prostriedkov (t.j. 150,- Sk). Spotrebiteľský úver bude klient splácať jeden rok mesačnými anuitnými splátkami vo výške 1 305,76 Sk. Okrem toho bude musieť mesačne platiť poplatok za správu a vedenie účtu vo výške 30,- Sk.</w:t>
      </w:r>
    </w:p>
    <w:p>
      <w:pPr>
        <w:pStyle w:val="NormalWeb"/>
        <w:spacing w:before="0" w:beforeAutospacing="0" w:after="0" w:afterAutospacing="0"/>
        <w:ind w:right="-56"/>
        <w:jc w:val="both"/>
        <w:rPr>
          <w:rFonts w:ascii="Times New Roman" w:hAnsi="Times New Roman" w:cs="Times New Roman"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42" type="#_x0000_t75" style="width:420.24pt;height:132.6pt" o:oleicon="f" o:ole="" filled="f" stroked="f">
            <v:fill o:detectmouseclick="f"/>
            <v:imagedata r:id="rId34" o:title=""/>
          </v:shape>
          <o:OLEObject Type="Embed" ProgID="Equation.3" ShapeID="_x0000_i1042" DrawAspect="Content" ObjectID="_16" r:id="rId35"/>
        </w:objec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alebo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43" type="#_x0000_t75" style="width:122pt;height:43pt" o:oleicon="f" o:ole="" filled="f" stroked="f">
            <v:fill o:detectmouseclick="f"/>
            <v:imagedata r:id="rId36" o:title=""/>
          </v:shape>
          <o:OLEObject Type="Embed" ProgID="Equation.3" ShapeID="_x0000_i1043" DrawAspect="Content" ObjectID="_17" r:id="rId37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i/>
          <w:iCs/>
          <w:color w:val="000000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zCs w:val="18"/>
        </w:rPr>
        <w:t>= 0,153283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Ročná percentuálna miera nákladov na spotrebiteľský úver je 15,3 % </w:t>
      </w:r>
      <w:r>
        <w:rPr>
          <w:rFonts w:ascii="Times New Roman" w:hAnsi="Times New Roman" w:cs="Times New Roman"/>
          <w:color w:val="000000"/>
          <w:szCs w:val="17"/>
        </w:rPr>
        <w:t>(alebo 15,33 % pri presnosti na dve desatinné miesta).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b/>
          <w:bCs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b/>
          <w:bCs/>
          <w:color w:val="000000"/>
          <w:szCs w:val="18"/>
        </w:rPr>
      </w:pPr>
      <w:r>
        <w:rPr>
          <w:rFonts w:ascii="Times New Roman" w:hAnsi="Times New Roman" w:cs="Times New Roman"/>
          <w:b/>
          <w:bCs/>
          <w:color w:val="000000"/>
          <w:szCs w:val="18"/>
        </w:rPr>
        <w:t>Druhý príklad</w:t>
      </w:r>
    </w:p>
    <w:p>
      <w:pPr>
        <w:pStyle w:val="NormalWeb"/>
        <w:spacing w:before="0" w:beforeAutospacing="0" w:after="0" w:afterAutospacing="0"/>
        <w:ind w:right="-56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ab/>
        <w:t>Klient si v banke požičal spotrebiteľský úver vo výške 100 000,- Sk. Za poskytnutie spotrebiteľského úveru a spracovanie zmluvy si banka ponechala 1 % z objemu poskytnutých prostriedkov (t.j. 1000,- Sk). Spotrebiteľský úver bude klient splácať 4 roky mesačnými anuitnými splátkami vo výške 2658,- Sk. Okrem toho bude musieť mesačne platiť poplatok za správu a vedenie účtu vo výške 40,- Sk.</w: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rtl w:val="0"/>
        </w:rPr>
        <w:object>
          <v:shape id="_x0000_i1044" type="#_x0000_t75" style="width:110pt;height:43pt" o:oleicon="f" o:ole="" filled="f" stroked="f">
            <v:fill o:detectmouseclick="f"/>
            <v:imagedata r:id="rId38" o:title=""/>
          </v:shape>
          <o:OLEObject Type="Embed" ProgID="Equation.3" ShapeID="_x0000_i1044" DrawAspect="Content" ObjectID="_18" r:id="rId39"/>
        </w:object>
      </w:r>
    </w:p>
    <w:p>
      <w:pPr>
        <w:pStyle w:val="NormalWeb"/>
        <w:spacing w:before="0" w:beforeAutospacing="0" w:after="0" w:afterAutospacing="0"/>
        <w:ind w:right="-56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i/>
          <w:iCs/>
          <w:color w:val="000000"/>
          <w:szCs w:val="18"/>
        </w:rPr>
        <w:t xml:space="preserve">i </w:t>
      </w:r>
      <w:r>
        <w:rPr>
          <w:rFonts w:ascii="Times New Roman" w:hAnsi="Times New Roman" w:cs="Times New Roman"/>
          <w:color w:val="000000"/>
          <w:szCs w:val="18"/>
        </w:rPr>
        <w:t>= 0,147667</w:t>
      </w:r>
    </w:p>
    <w:p>
      <w:pPr>
        <w:pStyle w:val="NormalWeb"/>
        <w:spacing w:before="0" w:beforeAutospacing="0" w:after="0" w:afterAutospacing="0"/>
        <w:ind w:right="-56"/>
        <w:rPr>
          <w:rFonts w:ascii="Times New Roman" w:hAnsi="Times New Roman" w:cs="Times New Roman"/>
          <w:color w:val="000000"/>
          <w:szCs w:val="18"/>
        </w:rPr>
      </w:pPr>
    </w:p>
    <w:p>
      <w:pPr>
        <w:pStyle w:val="NormalWeb"/>
        <w:spacing w:before="0" w:beforeAutospacing="0" w:after="0" w:afterAutospacing="0"/>
        <w:ind w:right="-56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Ročná percentuálna miera nákladov na spotrebiteľský úver je 14,8 % </w:t>
      </w:r>
      <w:r>
        <w:rPr>
          <w:rFonts w:ascii="Times New Roman" w:hAnsi="Times New Roman" w:cs="Times New Roman"/>
          <w:color w:val="000000"/>
          <w:szCs w:val="17"/>
        </w:rPr>
        <w:t>(alebo 14,77 % pri presnosti na dve desatinné miesta).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autoSpaceDE/>
        <w:autoSpaceDN/>
        <w:ind w:left="5316" w:firstLine="348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Príloha č.3 </w:t>
      </w:r>
    </w:p>
    <w:p>
      <w:pPr>
        <w:autoSpaceDE/>
        <w:autoSpaceDN/>
        <w:ind w:left="4968" w:firstLine="696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 zákonu č. 258/2001 Z. z.</w:t>
      </w:r>
    </w:p>
    <w:p>
      <w:pPr>
        <w:pStyle w:val="BodyTextIndent"/>
        <w:ind w:left="0"/>
        <w:rPr>
          <w:rFonts w:ascii="Times New Roman" w:hAnsi="Times New Roman" w:cs="Times New Roman"/>
          <w:color w:val="000000"/>
        </w:rPr>
      </w:pPr>
    </w:p>
    <w:p>
      <w:pPr>
        <w:pStyle w:val="BodyTextIndent"/>
        <w:ind w:hanging="7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Zoznam preberaných právnych aktov Európskych spoločenstiev a Európskej únie</w:t>
      </w:r>
    </w:p>
    <w:p>
      <w:pPr>
        <w:autoSpaceDE/>
        <w:autoSpaceDN/>
        <w:jc w:val="both"/>
        <w:rPr>
          <w:rFonts w:ascii="Times New Roman" w:hAnsi="Times New Roman" w:cs="Times New Roman"/>
          <w:bCs/>
          <w:color w:val="000000"/>
        </w:rPr>
      </w:pPr>
    </w:p>
    <w:p>
      <w:pPr>
        <w:pStyle w:val="BodyTextIndent"/>
        <w:numPr>
          <w:ilvl w:val="1"/>
          <w:numId w:val="8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Smernica Rady 87/102/EHS z 22. decembra 1986 o aproximácii zákonov, iných právnych predpisov a správnych opatrení členských štátov, ktoré sa týkajú spotrebiteľského úveru </w:t>
      </w:r>
      <w:r>
        <w:rPr>
          <w:rFonts w:ascii="Times New Roman" w:hAnsi="Times New Roman" w:cs="Times New Roman"/>
          <w:i/>
          <w:iCs/>
          <w:color w:val="000000"/>
        </w:rPr>
        <w:t>(Ú. v. ES L 42, 12. 2. 1987)</w:t>
      </w:r>
      <w:r>
        <w:rPr>
          <w:rFonts w:ascii="Times New Roman" w:hAnsi="Times New Roman" w:cs="Times New Roman"/>
          <w:color w:val="000000"/>
        </w:rPr>
        <w:t>.</w:t>
      </w:r>
    </w:p>
    <w:p>
      <w:pPr>
        <w:pStyle w:val="BodyTextIndent"/>
        <w:numPr>
          <w:ilvl w:val="1"/>
          <w:numId w:val="8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Smernica Rady 90/88/EHS z 22. februára 1990, ktorou sa mení a dopĺňa smernica 87/102/EHS o aproximácii zákonov, iných právnych predpisov a správnych opatrení členských štátov, ktoré sa týkajú spotrebiteľskéh</w:t>
      </w:r>
      <w:r>
        <w:rPr>
          <w:rFonts w:ascii="Times New Roman" w:hAnsi="Times New Roman" w:cs="Times New Roman"/>
          <w:color w:val="000000"/>
        </w:rPr>
        <w:t xml:space="preserve">o úveru </w:t>
      </w:r>
      <w:r>
        <w:rPr>
          <w:rFonts w:ascii="Times New Roman" w:hAnsi="Times New Roman" w:cs="Times New Roman"/>
          <w:i/>
          <w:iCs/>
          <w:color w:val="000000"/>
        </w:rPr>
        <w:t>(Ú. v. ES L 61, 10. 3. 1990)</w:t>
      </w:r>
      <w:r>
        <w:rPr>
          <w:rFonts w:ascii="Times New Roman" w:hAnsi="Times New Roman" w:cs="Times New Roman"/>
          <w:color w:val="000000"/>
        </w:rPr>
        <w:t>.</w:t>
      </w:r>
    </w:p>
    <w:p>
      <w:pPr>
        <w:pStyle w:val="BodyTextIndent"/>
        <w:numPr>
          <w:ilvl w:val="1"/>
          <w:numId w:val="8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Smernica Európskeho parlamentu a Rady 98/7/ES zo 16. februára 1998, ktorou sa mení a dopĺňa smernica 87/102/EHS o aproximácii zákonov, iných právnych predpisov a správnych opatrení členských štátov vzťahujúcich sa na spotrebiteľský úver </w:t>
      </w:r>
      <w:r>
        <w:rPr>
          <w:rFonts w:ascii="Times New Roman" w:hAnsi="Times New Roman" w:cs="Times New Roman"/>
          <w:i/>
          <w:iCs/>
          <w:color w:val="000000"/>
        </w:rPr>
        <w:t>(Ú. v. ES L 101, 1. 4. 1998)</w:t>
      </w:r>
      <w:r>
        <w:rPr>
          <w:rFonts w:ascii="Times New Roman" w:hAnsi="Times New Roman" w:cs="Times New Roman"/>
          <w:color w:val="000000"/>
        </w:rPr>
        <w:t>.“.</w:t>
      </w:r>
    </w:p>
    <w:p>
      <w:pPr>
        <w:pStyle w:val="BodyTextIndent"/>
        <w:ind w:left="0"/>
        <w:jc w:val="both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</w:t>
      </w: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júla 2006.</w:t>
      </w:r>
    </w:p>
    <w:sectPr>
      <w:footerReference w:type="even" r:id="rId40"/>
      <w:footerReference w:type="default" r:id="rId41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jc w:val="center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- </w:t>
    </w: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  <w:r>
      <w:rPr>
        <w:rStyle w:val="PageNumber"/>
        <w:rFonts w:ascii="Times New Roman" w:hAnsi="Times New Roman" w:cs="Times New Roman"/>
      </w:rPr>
      <w:t xml:space="preserve"> -</w:t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792"/>
    <w:multiLevelType w:val="hybridMultilevel"/>
    <w:tmpl w:val="434E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91C75"/>
    <w:multiLevelType w:val="hybridMultilevel"/>
    <w:tmpl w:val="D31A4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C358F"/>
    <w:multiLevelType w:val="hybridMultilevel"/>
    <w:tmpl w:val="16483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306BD"/>
    <w:multiLevelType w:val="hybridMultilevel"/>
    <w:tmpl w:val="4724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B1A72"/>
    <w:multiLevelType w:val="hybridMultilevel"/>
    <w:tmpl w:val="A0E894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81DBB"/>
    <w:multiLevelType w:val="hybridMultilevel"/>
    <w:tmpl w:val="6D1C48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777C7D"/>
    <w:multiLevelType w:val="hybridMultilevel"/>
    <w:tmpl w:val="E3D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D35D3"/>
    <w:multiLevelType w:val="hybridMultilevel"/>
    <w:tmpl w:val="43766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605018"/>
    <w:multiLevelType w:val="hybridMultilevel"/>
    <w:tmpl w:val="E0500E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8A5553"/>
    <w:multiLevelType w:val="hybridMultilevel"/>
    <w:tmpl w:val="0E00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44015"/>
    <w:multiLevelType w:val="hybridMultilevel"/>
    <w:tmpl w:val="54F0F8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CB26EC3"/>
    <w:multiLevelType w:val="hybridMultilevel"/>
    <w:tmpl w:val="F0CEB8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F85463E"/>
    <w:multiLevelType w:val="hybridMultilevel"/>
    <w:tmpl w:val="63843476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65A7061C"/>
    <w:multiLevelType w:val="hybridMultilevel"/>
    <w:tmpl w:val="EDC067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DC5951"/>
    <w:multiLevelType w:val="hybridMultilevel"/>
    <w:tmpl w:val="94EC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FD5EE5"/>
    <w:multiLevelType w:val="hybridMultilevel"/>
    <w:tmpl w:val="A354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  <w:num w:numId="15">
    <w:abstractNumId w:val="10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240"/>
      <w:ind w:left="360"/>
      <w:jc w:val="center"/>
      <w:outlineLvl w:val="0"/>
    </w:pPr>
    <w:rPr>
      <w:b/>
      <w:bCs/>
      <w:color w:val="000000"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left"/>
      <w:outlineLvl w:val="1"/>
    </w:pPr>
    <w:rPr>
      <w:b/>
      <w:bCs/>
      <w:szCs w:val="17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styleId="BodyText2">
    <w:name w:val="Body Text 2"/>
    <w:basedOn w:val="Normal"/>
    <w:pPr>
      <w:autoSpaceDE/>
      <w:autoSpaceDN/>
      <w:jc w:val="center"/>
    </w:pPr>
    <w:rPr>
      <w:szCs w:val="17"/>
    </w:rPr>
  </w:style>
  <w:style w:type="paragraph" w:styleId="BodyText3">
    <w:name w:val="Body Text 3"/>
    <w:basedOn w:val="Normal"/>
    <w:pPr>
      <w:autoSpaceDE/>
      <w:autoSpaceDN/>
      <w:jc w:val="center"/>
    </w:pPr>
    <w:rPr>
      <w:b/>
      <w:bCs/>
      <w:szCs w:val="17"/>
    </w:rPr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b/>
      <w:bCs/>
    </w:rPr>
  </w:style>
  <w:style w:type="paragraph" w:styleId="BodyTextIndent">
    <w:name w:val="Body Text Indent"/>
    <w:basedOn w:val="Normal"/>
    <w:pPr>
      <w:autoSpaceDE/>
      <w:autoSpaceDN/>
      <w:ind w:left="720"/>
      <w:jc w:val="left"/>
    </w:pPr>
    <w:rPr>
      <w:bCs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10"/>
    <w:qFormat/>
    <w:pPr>
      <w:spacing w:before="120"/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footer" Target="footer1.xml" /><Relationship Id="rId41" Type="http://schemas.openxmlformats.org/officeDocument/2006/relationships/footer" Target="footer2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oleObject" Target="embeddings/oleObject1.bin" /><Relationship Id="rId6" Type="http://schemas.openxmlformats.org/officeDocument/2006/relationships/image" Target="media/image2.wmf" /><Relationship Id="rId7" Type="http://schemas.openxmlformats.org/officeDocument/2006/relationships/oleObject" Target="embeddings/oleObject2.bin" /><Relationship Id="rId8" Type="http://schemas.openxmlformats.org/officeDocument/2006/relationships/image" Target="media/image3.wmf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1908</Words>
  <Characters>10881</Characters>
  <Application>Microsoft Office Word</Application>
  <DocSecurity>0</DocSecurity>
  <Lines>0</Lines>
  <Paragraphs>0</Paragraphs>
  <ScaleCrop>false</ScaleCrop>
  <Company>MFSR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Anna Adamusova</dc:creator>
  <cp:lastModifiedBy>Anna Adamusova</cp:lastModifiedBy>
  <cp:revision>11</cp:revision>
  <cp:lastPrinted>2006-02-22T10:11:00Z</cp:lastPrinted>
  <dcterms:created xsi:type="dcterms:W3CDTF">2006-02-20T11:38:00Z</dcterms:created>
  <dcterms:modified xsi:type="dcterms:W3CDTF">2006-02-22T10:41:00Z</dcterms:modified>
</cp:coreProperties>
</file>