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TABUKA-nadpis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TABUĽKA  ZHODY</w:t>
      </w:r>
    </w:p>
    <w:p>
      <w:pPr>
        <w:pStyle w:val="Zkladntext"/>
        <w:jc w:val="center"/>
        <w:rPr>
          <w:rFonts w:ascii="Arial Narrow" w:hAnsi="Arial Narrow" w:cs="Times New Roman"/>
          <w:b/>
          <w:sz w:val="22"/>
          <w:szCs w:val="22"/>
        </w:rPr>
      </w:pPr>
      <w:r>
        <w:rPr>
          <w:rFonts w:ascii="Arial Narrow" w:hAnsi="Arial Narrow" w:cs="Times New Roman"/>
          <w:b/>
          <w:sz w:val="22"/>
          <w:szCs w:val="22"/>
        </w:rPr>
        <w:t xml:space="preserve">k návrhu zákona, </w:t>
      </w:r>
      <w:r>
        <w:rPr>
          <w:rFonts w:ascii="Arial Narrow" w:hAnsi="Arial Narrow" w:cs="Times New Roman"/>
          <w:b/>
          <w:bCs/>
          <w:sz w:val="22"/>
          <w:szCs w:val="22"/>
        </w:rPr>
        <w:t>ktorým sa mení a dopĺňa zákon č. 105/2004 Z. z.  o spotrebnej dani z liehu a o zmene a doplnení zákona č. 467/2002 Z. z. o výrobe a uvádzaní liehu na trh v znení zákona č. 211/2003 Z. z. v znení neskorších predpisov</w:t>
      </w:r>
    </w:p>
    <w:p>
      <w:pPr>
        <w:pStyle w:val="TABUKA-nadpis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s právom Európskych spoločenstiev a právom Európskej únie</w:t>
      </w:r>
    </w:p>
    <w:tbl>
      <w:tblPr>
        <w:tblW w:w="15027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496"/>
        <w:gridCol w:w="4608"/>
        <w:gridCol w:w="567"/>
        <w:gridCol w:w="851"/>
        <w:gridCol w:w="992"/>
        <w:gridCol w:w="4677"/>
        <w:gridCol w:w="567"/>
        <w:gridCol w:w="709"/>
        <w:gridCol w:w="993"/>
        <w:gridCol w:w="567"/>
      </w:tblGrid>
      <w:tr>
        <w:tblPrEx>
          <w:tblW w:w="15027" w:type="dxa"/>
          <w:tblInd w:w="-35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724"/>
        </w:trPr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TABUKA-nadpismal"/>
              <w:rPr>
                <w:rFonts w:ascii="Arial Narrow" w:hAnsi="Arial Narrow" w:cs="Times New Roman"/>
                <w:sz w:val="18"/>
                <w:szCs w:val="22"/>
                <w:u w:val="single"/>
              </w:rPr>
            </w:pPr>
            <w:r>
              <w:rPr>
                <w:rFonts w:ascii="Arial Narrow" w:hAnsi="Arial Narrow" w:cs="Times New Roman"/>
                <w:sz w:val="18"/>
                <w:szCs w:val="22"/>
                <w:u w:val="single"/>
              </w:rPr>
              <w:t>Právny akt ES/EÚ</w:t>
            </w:r>
          </w:p>
          <w:p>
            <w:pPr>
              <w:pStyle w:val="Normlnywebov8"/>
              <w:spacing w:before="0" w:after="0"/>
              <w:ind w:left="0" w:right="0"/>
              <w:jc w:val="both"/>
              <w:rPr>
                <w:rFonts w:ascii="Arial Narrow" w:hAnsi="Arial Narrow" w:cs="Times New Roman"/>
                <w:b/>
                <w:sz w:val="18"/>
              </w:rPr>
            </w:pPr>
          </w:p>
          <w:p>
            <w:pPr>
              <w:pStyle w:val="Normlnywebov8"/>
              <w:spacing w:before="0" w:after="0"/>
              <w:ind w:left="0" w:right="0"/>
              <w:jc w:val="both"/>
              <w:rPr>
                <w:rFonts w:ascii="Arial Narrow" w:hAnsi="Arial Narrow" w:cs="Times New Roman"/>
                <w:b/>
                <w:sz w:val="18"/>
              </w:rPr>
            </w:pPr>
            <w:r>
              <w:rPr>
                <w:rFonts w:ascii="Arial Narrow" w:hAnsi="Arial Narrow" w:cs="Times New Roman"/>
                <w:b/>
                <w:sz w:val="18"/>
              </w:rPr>
              <w:t>Smernica Rady 2004/106/ES zo 16. novembra 2004, ktorou sa menia a dopĺňajú smernice 77/799/EHS o vzájomnej pomoci príslušných orgánov členských štátov v oblasti priamych daní, niektorej sp</w:t>
            </w:r>
            <w:r>
              <w:rPr>
                <w:rFonts w:ascii="Arial Narrow" w:hAnsi="Arial Narrow" w:cs="Times New Roman"/>
                <w:b/>
                <w:sz w:val="18"/>
              </w:rPr>
              <w:t>otrebnej dane a dane poistnej prémie a 92/12/EHS o všeobecných systémoch pre výrobky podliehajúce spotrebnej dani a o vlastníctve, pohybe a monitorovaní takýchto výrobkov</w:t>
            </w:r>
          </w:p>
          <w:p>
            <w:pPr>
              <w:spacing w:after="0"/>
              <w:rPr>
                <w:rFonts w:ascii="Arial Narrow" w:hAnsi="Arial Narrow" w:cs="Times New Roman"/>
                <w:b/>
                <w:sz w:val="18"/>
                <w:szCs w:val="22"/>
              </w:rPr>
            </w:pPr>
          </w:p>
        </w:tc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TABUKA-nadpismal"/>
              <w:jc w:val="both"/>
              <w:rPr>
                <w:rFonts w:ascii="Arial Narrow" w:hAnsi="Arial Narrow" w:cs="Times New Roman"/>
                <w:sz w:val="18"/>
                <w:szCs w:val="22"/>
                <w:u w:val="single"/>
              </w:rPr>
            </w:pPr>
            <w:r>
              <w:rPr>
                <w:rFonts w:ascii="Arial Narrow" w:hAnsi="Arial Narrow" w:cs="Times New Roman"/>
                <w:sz w:val="18"/>
                <w:szCs w:val="22"/>
                <w:u w:val="single"/>
              </w:rPr>
              <w:t>Všeobecne záväzné právne predpisy SR</w:t>
            </w:r>
          </w:p>
          <w:p>
            <w:pPr>
              <w:pStyle w:val="TABUKA-nadpismal"/>
              <w:jc w:val="both"/>
              <w:rPr>
                <w:rFonts w:ascii="Arial Narrow" w:hAnsi="Arial Narrow" w:cs="Times New Roman"/>
                <w:sz w:val="18"/>
                <w:szCs w:val="22"/>
              </w:rPr>
            </w:pPr>
          </w:p>
          <w:p>
            <w:pPr>
              <w:pStyle w:val="TABUKA-nadpis"/>
              <w:spacing w:after="120"/>
              <w:jc w:val="both"/>
              <w:rPr>
                <w:rFonts w:ascii="Arial Narrow" w:hAnsi="Arial Narrow" w:cs="Times New Roman"/>
                <w:sz w:val="18"/>
                <w:szCs w:val="22"/>
              </w:rPr>
            </w:pPr>
            <w:r>
              <w:rPr>
                <w:rFonts w:ascii="Arial Narrow" w:hAnsi="Arial Narrow" w:cs="Times New Roman"/>
                <w:sz w:val="18"/>
                <w:szCs w:val="22"/>
              </w:rPr>
              <w:t xml:space="preserve">Návrh zákona, </w:t>
            </w:r>
            <w:r>
              <w:rPr>
                <w:rFonts w:ascii="Arial Narrow" w:hAnsi="Arial Narrow" w:cs="Times New Roman"/>
                <w:bCs/>
                <w:sz w:val="18"/>
                <w:szCs w:val="22"/>
              </w:rPr>
              <w:t>ktorým sa mení a dopĺňa zákon č. 105/2004 Z. z. o spotrebnej dani z liehu a o zmene a doplnení zákona č. 467/2002 Z. z. o výrobe a uvádzaní liehu na trh v znení zákona č. 211/2003 Z. z. v znení neskorších predpisov</w:t>
            </w:r>
            <w:r>
              <w:rPr>
                <w:rFonts w:ascii="Arial Narrow" w:hAnsi="Arial Narrow" w:cs="Times New Roman"/>
                <w:sz w:val="18"/>
                <w:szCs w:val="22"/>
              </w:rPr>
              <w:t xml:space="preserve"> (ďalej len „ nárvh zákona“)</w:t>
            </w:r>
          </w:p>
          <w:p>
            <w:pPr>
              <w:pStyle w:val="TABUKA-nadpismal"/>
              <w:spacing w:after="120"/>
              <w:jc w:val="both"/>
              <w:rPr>
                <w:rFonts w:ascii="Arial Narrow" w:hAnsi="Arial Narrow" w:cs="Times New Roman"/>
                <w:sz w:val="18"/>
                <w:szCs w:val="22"/>
              </w:rPr>
            </w:pPr>
          </w:p>
        </w:tc>
      </w:tr>
      <w:tr>
        <w:tblPrEx>
          <w:tblW w:w="15027" w:type="dxa"/>
          <w:tblInd w:w="-356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TABUKA-nadpisstpcov"/>
              <w:rPr>
                <w:rFonts w:ascii="Arial Narrow" w:hAnsi="Arial Narrow" w:cs="Times New Roman"/>
                <w:sz w:val="18"/>
                <w:szCs w:val="22"/>
              </w:rPr>
            </w:pPr>
            <w:r>
              <w:rPr>
                <w:rFonts w:ascii="Arial Narrow" w:hAnsi="Arial Narrow" w:cs="Times New Roman"/>
                <w:sz w:val="18"/>
                <w:szCs w:val="22"/>
              </w:rPr>
              <w:t>Čl.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TABUKA-nadpisstpcov"/>
              <w:rPr>
                <w:rFonts w:ascii="Arial Narrow" w:hAnsi="Arial Narrow" w:cs="Times New Roman"/>
                <w:sz w:val="18"/>
                <w:szCs w:val="22"/>
              </w:rPr>
            </w:pPr>
            <w:r>
              <w:rPr>
                <w:rFonts w:ascii="Arial Narrow" w:hAnsi="Arial Narrow" w:cs="Times New Roman"/>
                <w:sz w:val="18"/>
                <w:szCs w:val="22"/>
              </w:rPr>
              <w:t>Text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TABUKA-nadpisstpcov"/>
              <w:rPr>
                <w:rFonts w:ascii="Arial Narrow" w:hAnsi="Arial Narrow" w:cs="Times New Roman"/>
                <w:sz w:val="18"/>
                <w:szCs w:val="22"/>
              </w:rPr>
            </w:pPr>
            <w:r>
              <w:rPr>
                <w:rFonts w:ascii="Arial Narrow" w:hAnsi="Arial Narrow" w:cs="Times New Roman"/>
                <w:sz w:val="18"/>
                <w:szCs w:val="22"/>
              </w:rPr>
              <w:t>Spôsob transpozície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TABUKA-nadpisstpcov"/>
              <w:rPr>
                <w:rFonts w:ascii="Arial Narrow" w:hAnsi="Arial Narrow" w:cs="Times New Roman"/>
                <w:sz w:val="18"/>
                <w:szCs w:val="22"/>
              </w:rPr>
            </w:pPr>
            <w:r>
              <w:rPr>
                <w:rFonts w:ascii="Arial Narrow" w:hAnsi="Arial Narrow" w:cs="Times New Roman"/>
                <w:sz w:val="18"/>
                <w:szCs w:val="22"/>
              </w:rPr>
              <w:t>Číslo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TABUKA-nadpisstpcov"/>
              <w:rPr>
                <w:rFonts w:ascii="Arial Narrow" w:hAnsi="Arial Narrow" w:cs="Times New Roman"/>
                <w:sz w:val="18"/>
                <w:szCs w:val="22"/>
              </w:rPr>
            </w:pPr>
            <w:r>
              <w:rPr>
                <w:rFonts w:ascii="Arial Narrow" w:hAnsi="Arial Narrow" w:cs="Times New Roman"/>
                <w:sz w:val="18"/>
                <w:szCs w:val="22"/>
              </w:rPr>
              <w:t>Článok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TABUKA-nadpisstpcov"/>
              <w:rPr>
                <w:rFonts w:ascii="Arial Narrow" w:hAnsi="Arial Narrow" w:cs="Times New Roman"/>
                <w:sz w:val="18"/>
                <w:szCs w:val="22"/>
              </w:rPr>
            </w:pPr>
            <w:r>
              <w:rPr>
                <w:rFonts w:ascii="Arial Narrow" w:hAnsi="Arial Narrow" w:cs="Times New Roman"/>
                <w:sz w:val="18"/>
                <w:szCs w:val="22"/>
              </w:rPr>
              <w:t>T</w:t>
            </w:r>
            <w:r>
              <w:rPr>
                <w:rFonts w:ascii="Arial Narrow" w:hAnsi="Arial Narrow" w:cs="Times New Roman"/>
                <w:sz w:val="18"/>
                <w:szCs w:val="22"/>
              </w:rPr>
              <w:t>ext</w:t>
            </w:r>
          </w:p>
          <w:p>
            <w:pPr>
              <w:pStyle w:val="TABUKA-nadpisstpcov"/>
              <w:rPr>
                <w:rFonts w:ascii="Arial Narrow" w:hAnsi="Arial Narrow" w:cs="Times New Roman"/>
                <w:sz w:val="18"/>
                <w:szCs w:val="22"/>
              </w:rPr>
            </w:pPr>
          </w:p>
          <w:p>
            <w:pPr>
              <w:pStyle w:val="TABUKA-nadpisstpcov"/>
              <w:rPr>
                <w:rFonts w:ascii="Arial Narrow" w:hAnsi="Arial Narrow" w:cs="Times New Roman"/>
                <w:sz w:val="18"/>
                <w:szCs w:val="22"/>
              </w:rPr>
            </w:pPr>
          </w:p>
          <w:p>
            <w:pPr>
              <w:pStyle w:val="TABUKA-nadpisstpcov"/>
              <w:rPr>
                <w:rFonts w:ascii="Arial Narrow" w:hAnsi="Arial Narrow" w:cs="Times New Roman"/>
                <w:sz w:val="18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TABUKA-nadpisstpcov"/>
              <w:rPr>
                <w:rFonts w:ascii="Arial Narrow" w:hAnsi="Arial Narrow" w:cs="Times New Roman"/>
                <w:sz w:val="18"/>
                <w:szCs w:val="22"/>
              </w:rPr>
            </w:pPr>
            <w:r>
              <w:rPr>
                <w:rFonts w:ascii="Arial Narrow" w:hAnsi="Arial Narrow" w:cs="Times New Roman"/>
                <w:sz w:val="18"/>
                <w:szCs w:val="22"/>
              </w:rPr>
              <w:t>Zhoda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TABUKA-nadpisstpcov"/>
              <w:rPr>
                <w:rFonts w:ascii="Arial Narrow" w:hAnsi="Arial Narrow" w:cs="Times New Roman"/>
                <w:sz w:val="18"/>
                <w:szCs w:val="22"/>
              </w:rPr>
            </w:pPr>
            <w:r>
              <w:rPr>
                <w:rFonts w:ascii="Arial Narrow" w:hAnsi="Arial Narrow" w:cs="Times New Roman"/>
                <w:sz w:val="18"/>
                <w:szCs w:val="22"/>
              </w:rPr>
              <w:t>Administratívna infraštruktúra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TABUKA-nadpisstpcov"/>
              <w:rPr>
                <w:rFonts w:ascii="Arial Narrow" w:hAnsi="Arial Narrow" w:cs="Times New Roman"/>
                <w:sz w:val="18"/>
                <w:szCs w:val="22"/>
              </w:rPr>
            </w:pPr>
            <w:r>
              <w:rPr>
                <w:rFonts w:ascii="Arial Narrow" w:hAnsi="Arial Narrow" w:cs="Times New Roman"/>
                <w:sz w:val="18"/>
                <w:szCs w:val="22"/>
              </w:rPr>
              <w:t>Pozná</w:t>
            </w:r>
          </w:p>
          <w:p>
            <w:pPr>
              <w:pStyle w:val="TABUKA-nadpisstpcov"/>
              <w:rPr>
                <w:rFonts w:ascii="Arial Narrow" w:hAnsi="Arial Narrow" w:cs="Times New Roman"/>
                <w:sz w:val="18"/>
                <w:szCs w:val="22"/>
              </w:rPr>
            </w:pPr>
            <w:r>
              <w:rPr>
                <w:rFonts w:ascii="Arial Narrow" w:hAnsi="Arial Narrow" w:cs="Times New Roman"/>
                <w:sz w:val="18"/>
                <w:szCs w:val="22"/>
              </w:rPr>
              <w:t>mky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TABUKA-nadpisstpcov"/>
              <w:rPr>
                <w:rFonts w:ascii="Arial Narrow" w:hAnsi="Arial Narrow" w:cs="Times New Roman"/>
                <w:sz w:val="18"/>
                <w:szCs w:val="22"/>
              </w:rPr>
            </w:pPr>
            <w:r>
              <w:rPr>
                <w:rFonts w:ascii="Arial Narrow" w:hAnsi="Arial Narrow" w:cs="Times New Roman"/>
                <w:sz w:val="18"/>
                <w:szCs w:val="22"/>
              </w:rPr>
              <w:t>Štádium legislatívneho procesu</w:t>
            </w:r>
          </w:p>
        </w:tc>
      </w:tr>
      <w:tr>
        <w:tblPrEx>
          <w:tblW w:w="15027" w:type="dxa"/>
          <w:tblInd w:w="-356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TABUKA-textsmernice"/>
              <w:rPr>
                <w:rFonts w:ascii="Arial Narrow" w:hAnsi="Arial Narrow" w:cs="Times New Roman"/>
                <w:sz w:val="18"/>
                <w:szCs w:val="22"/>
              </w:rPr>
            </w:pPr>
            <w:r>
              <w:rPr>
                <w:rFonts w:ascii="Arial Narrow" w:hAnsi="Arial Narrow" w:cs="Times New Roman"/>
                <w:sz w:val="18"/>
                <w:szCs w:val="22"/>
              </w:rPr>
              <w:t>Čl. 1 bod 1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Normlnywebov8"/>
              <w:spacing w:before="0" w:after="0"/>
              <w:ind w:left="0" w:right="0"/>
              <w:jc w:val="both"/>
              <w:rPr>
                <w:rFonts w:ascii="Arial Narrow" w:hAnsi="Arial Narrow" w:cs="Tahoma"/>
                <w:b/>
                <w:sz w:val="18"/>
                <w:u w:val="single"/>
              </w:rPr>
            </w:pPr>
            <w:r>
              <w:rPr>
                <w:rFonts w:ascii="Arial Narrow" w:hAnsi="Arial Narrow" w:cs="Tahoma"/>
                <w:b/>
                <w:sz w:val="18"/>
                <w:u w:val="single"/>
              </w:rPr>
              <w:t>Smernica 77/799/EHS sa týmto mení a dopĺňa takto:</w:t>
            </w:r>
          </w:p>
          <w:p>
            <w:pPr>
              <w:pStyle w:val="Normlnywebov8"/>
              <w:spacing w:before="0" w:after="0"/>
              <w:ind w:left="0" w:right="0"/>
              <w:jc w:val="both"/>
              <w:rPr>
                <w:rFonts w:ascii="Arial Narrow" w:hAnsi="Arial Narrow" w:cs="Tahoma"/>
                <w:sz w:val="18"/>
                <w:u w:val="single"/>
              </w:rPr>
            </w:pPr>
            <w:r>
              <w:rPr>
                <w:rFonts w:ascii="Arial Narrow" w:hAnsi="Arial Narrow" w:cs="Tahoma"/>
                <w:sz w:val="18"/>
                <w:u w:val="single"/>
              </w:rPr>
              <w:t>1. Názov sa nahrádza takto:</w:t>
            </w:r>
          </w:p>
          <w:p>
            <w:pPr>
              <w:pStyle w:val="Normlnywebov8"/>
              <w:spacing w:before="0" w:after="0"/>
              <w:ind w:left="0" w:right="0"/>
              <w:jc w:val="both"/>
              <w:rPr>
                <w:rFonts w:ascii="Arial Narrow" w:hAnsi="Arial Narrow" w:cs="Tahoma"/>
                <w:sz w:val="18"/>
              </w:rPr>
            </w:pPr>
            <w:r>
              <w:rPr>
                <w:rFonts w:ascii="Arial Narrow" w:hAnsi="Arial Narrow" w:cs="Times New Roman"/>
                <w:sz w:val="18"/>
              </w:rPr>
              <w:t>"Smernica Rady 77/799/EHS z 19. decembra 1977 o vzájomnej pomoci príslušných orgánov členských štátov v oblasti priamych daní a dane poistnej prémie".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TABUKA-textsmernice"/>
              <w:rPr>
                <w:rFonts w:ascii="Arial Narrow" w:hAnsi="Arial Narrow" w:cs="Times New Roman"/>
                <w:sz w:val="18"/>
                <w:szCs w:val="22"/>
              </w:rPr>
            </w:pPr>
            <w:r>
              <w:rPr>
                <w:rFonts w:ascii="Arial Narrow" w:hAnsi="Arial Narrow" w:cs="Times New Roman"/>
                <w:sz w:val="18"/>
                <w:szCs w:val="22"/>
              </w:rPr>
              <w:t>n.a.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TABUKA-textsmernice"/>
              <w:rPr>
                <w:rFonts w:ascii="Arial Narrow" w:hAnsi="Arial Narrow" w:cs="Times New Roman"/>
                <w:sz w:val="18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TABUKA-textsmernice"/>
              <w:rPr>
                <w:rFonts w:ascii="Arial Narrow" w:hAnsi="Arial Narrow" w:cs="Times New Roman"/>
                <w:sz w:val="18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TABUKA-textsmernice"/>
              <w:rPr>
                <w:rFonts w:ascii="Arial Narrow" w:hAnsi="Arial Narrow" w:cs="Times New Roman"/>
                <w:sz w:val="18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TABUKA-textsmernice"/>
              <w:rPr>
                <w:rFonts w:ascii="Arial Narrow" w:hAnsi="Arial Narrow" w:cs="Times New Roman"/>
                <w:sz w:val="18"/>
                <w:szCs w:val="22"/>
              </w:rPr>
            </w:pPr>
            <w:r>
              <w:rPr>
                <w:rFonts w:ascii="Arial Narrow" w:hAnsi="Arial Narrow" w:cs="Times New Roman"/>
                <w:sz w:val="18"/>
                <w:szCs w:val="22"/>
              </w:rPr>
              <w:t>n.a.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TABUKA-textsmernice"/>
              <w:rPr>
                <w:rFonts w:ascii="Arial Narrow" w:hAnsi="Arial Narrow" w:cs="Times New Roman"/>
                <w:sz w:val="18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TABUKA-textsmernice"/>
              <w:rPr>
                <w:rFonts w:ascii="Arial Narrow" w:hAnsi="Arial Narrow" w:cs="Times New Roman"/>
                <w:sz w:val="18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TABUKA-textsmernice"/>
              <w:rPr>
                <w:rFonts w:ascii="Arial Narrow" w:hAnsi="Arial Narrow" w:cs="Times New Roman"/>
                <w:sz w:val="18"/>
                <w:szCs w:val="22"/>
              </w:rPr>
            </w:pPr>
          </w:p>
        </w:tc>
      </w:tr>
      <w:tr>
        <w:tblPrEx>
          <w:tblW w:w="15027" w:type="dxa"/>
          <w:tblInd w:w="-356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TABUKA-textsmernice"/>
              <w:rPr>
                <w:rFonts w:ascii="Arial Narrow" w:hAnsi="Arial Narrow" w:cs="Times New Roman"/>
                <w:sz w:val="18"/>
                <w:szCs w:val="22"/>
              </w:rPr>
            </w:pPr>
            <w:r>
              <w:rPr>
                <w:rFonts w:ascii="Arial Narrow" w:hAnsi="Arial Narrow" w:cs="Times New Roman"/>
                <w:sz w:val="18"/>
                <w:szCs w:val="22"/>
              </w:rPr>
              <w:t>Čl. 1 bod 2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Normlnywebov8"/>
              <w:spacing w:before="0" w:after="0"/>
              <w:ind w:left="0" w:right="0"/>
              <w:jc w:val="both"/>
              <w:rPr>
                <w:rFonts w:ascii="Arial Narrow" w:hAnsi="Arial Narrow" w:cs="Tahoma"/>
                <w:sz w:val="18"/>
                <w:u w:val="single"/>
              </w:rPr>
            </w:pPr>
            <w:r>
              <w:rPr>
                <w:rFonts w:ascii="Arial Narrow" w:hAnsi="Arial Narrow" w:cs="Tahoma"/>
                <w:sz w:val="18"/>
                <w:u w:val="single"/>
              </w:rPr>
              <w:t>2. V článku 1 sa odsek 1 nahrádza takto:</w:t>
            </w:r>
          </w:p>
          <w:p>
            <w:pPr>
              <w:pStyle w:val="Normlnywebov8"/>
              <w:spacing w:before="0" w:after="0"/>
              <w:ind w:left="0" w:right="0"/>
              <w:jc w:val="both"/>
              <w:rPr>
                <w:rFonts w:ascii="Arial Narrow" w:hAnsi="Arial Narrow" w:cs="Tahoma"/>
                <w:sz w:val="18"/>
              </w:rPr>
            </w:pPr>
            <w:r>
              <w:rPr>
                <w:rFonts w:ascii="Arial Narrow" w:hAnsi="Arial Narrow" w:cs="Times New Roman"/>
                <w:sz w:val="18"/>
              </w:rPr>
              <w:t>"1. V súlade s ustanoveniami tejto smernice, príslušné orgány členských štátov si vymieňajú akékoľvek informácie, ktoré im môžu umožniť uskutočniť správne vymeranie dane z príjmu a kapitálu a akékoľvek informácie vzťahujúce sa na určenie dane poistnej prémie uvedenej v šiestej zarážke článku 3 smernice Rady 76/308/EHS z 15. marca 1976 o vzájomnej pomoci pri vymáhaní pohľadávok týkajúcich sa určitých poplatkov, odvodov, daní a ďalších opatrení [8].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TABUKA-textsmernice"/>
              <w:rPr>
                <w:rFonts w:ascii="Arial Narrow" w:hAnsi="Arial Narrow" w:cs="Times New Roman"/>
                <w:sz w:val="18"/>
                <w:szCs w:val="22"/>
              </w:rPr>
            </w:pPr>
            <w:r>
              <w:rPr>
                <w:rFonts w:ascii="Arial Narrow" w:hAnsi="Arial Narrow" w:cs="Times New Roman"/>
                <w:sz w:val="18"/>
                <w:szCs w:val="22"/>
              </w:rPr>
              <w:t>n.a.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TABUKA-textsmernice"/>
              <w:rPr>
                <w:rFonts w:ascii="Arial Narrow" w:hAnsi="Arial Narrow" w:cs="Times New Roman"/>
                <w:sz w:val="18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TABUKA-textsmernice"/>
              <w:rPr>
                <w:rFonts w:ascii="Arial Narrow" w:hAnsi="Arial Narrow" w:cs="Times New Roman"/>
                <w:sz w:val="18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TABUKA-textsmernice"/>
              <w:tabs>
                <w:tab w:val="left" w:pos="337"/>
              </w:tabs>
              <w:rPr>
                <w:rFonts w:ascii="Arial Narrow" w:hAnsi="Arial Narrow" w:cs="Times New Roman"/>
                <w:sz w:val="18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TABUKA-textsmernice"/>
              <w:rPr>
                <w:rFonts w:ascii="Arial Narrow" w:hAnsi="Arial Narrow" w:cs="Times New Roman"/>
                <w:sz w:val="18"/>
                <w:szCs w:val="22"/>
              </w:rPr>
            </w:pPr>
            <w:r>
              <w:rPr>
                <w:rFonts w:ascii="Arial Narrow" w:hAnsi="Arial Narrow" w:cs="Times New Roman"/>
                <w:sz w:val="18"/>
                <w:szCs w:val="22"/>
              </w:rPr>
              <w:t>n.a.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TABUKA-textsmernice"/>
              <w:rPr>
                <w:rFonts w:ascii="Arial Narrow" w:hAnsi="Arial Narrow" w:cs="Times New Roman"/>
                <w:sz w:val="18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TABUKA-textsmernice"/>
              <w:rPr>
                <w:rFonts w:ascii="Arial Narrow" w:hAnsi="Arial Narrow" w:cs="Times New Roman"/>
                <w:sz w:val="18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TABUKA-textsmernice"/>
              <w:rPr>
                <w:rFonts w:ascii="Arial Narrow" w:hAnsi="Arial Narrow" w:cs="Times New Roman"/>
                <w:sz w:val="18"/>
                <w:szCs w:val="22"/>
              </w:rPr>
            </w:pPr>
          </w:p>
        </w:tc>
      </w:tr>
      <w:tr>
        <w:tblPrEx>
          <w:tblW w:w="15027" w:type="dxa"/>
          <w:tblInd w:w="-356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TABUKA-textsmernice"/>
              <w:rPr>
                <w:rFonts w:ascii="Arial Narrow" w:hAnsi="Arial Narrow" w:cs="Times New Roman"/>
                <w:sz w:val="18"/>
                <w:szCs w:val="22"/>
              </w:rPr>
            </w:pPr>
            <w:r>
              <w:rPr>
                <w:rFonts w:ascii="Arial Narrow" w:hAnsi="Arial Narrow" w:cs="Times New Roman"/>
                <w:sz w:val="18"/>
                <w:szCs w:val="22"/>
              </w:rPr>
              <w:t>Čl. 2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Normlnywebov8"/>
              <w:spacing w:before="0" w:after="0"/>
              <w:ind w:left="0" w:right="0"/>
              <w:jc w:val="both"/>
              <w:rPr>
                <w:rFonts w:ascii="Arial Narrow" w:hAnsi="Arial Narrow" w:cs="Tahoma"/>
                <w:b/>
                <w:sz w:val="18"/>
                <w:u w:val="single"/>
              </w:rPr>
            </w:pPr>
            <w:r>
              <w:rPr>
                <w:rFonts w:ascii="Arial Narrow" w:hAnsi="Arial Narrow" w:cs="Tahoma"/>
                <w:b/>
                <w:sz w:val="18"/>
                <w:u w:val="single"/>
              </w:rPr>
              <w:t>Smernica 92/12/EHS sa týmto mení a dopĺňa takto:</w:t>
            </w:r>
          </w:p>
          <w:p>
            <w:pPr>
              <w:pStyle w:val="Normlnywebov8"/>
              <w:spacing w:before="0" w:after="0"/>
              <w:ind w:left="0" w:right="0"/>
              <w:jc w:val="both"/>
              <w:rPr>
                <w:rFonts w:ascii="Arial Narrow" w:hAnsi="Arial Narrow" w:cs="Tahoma"/>
                <w:sz w:val="18"/>
              </w:rPr>
            </w:pPr>
            <w:r>
              <w:rPr>
                <w:rFonts w:ascii="Arial Narrow" w:hAnsi="Arial Narrow" w:cs="Tahoma"/>
                <w:sz w:val="18"/>
              </w:rPr>
              <w:t>1. Článok 15a sa vypúšťa.</w:t>
            </w:r>
          </w:p>
          <w:p>
            <w:pPr>
              <w:pStyle w:val="Normlnywebov8"/>
              <w:spacing w:before="0" w:after="0"/>
              <w:ind w:left="0" w:right="0"/>
              <w:jc w:val="both"/>
              <w:rPr>
                <w:rFonts w:ascii="Arial Narrow" w:hAnsi="Arial Narrow" w:cs="Tahoma"/>
                <w:sz w:val="18"/>
              </w:rPr>
            </w:pPr>
            <w:r>
              <w:rPr>
                <w:rFonts w:ascii="Arial Narrow" w:hAnsi="Arial Narrow" w:cs="Tahoma"/>
                <w:sz w:val="18"/>
              </w:rPr>
              <w:t>2. Článok 15b sa vypúšťa.</w:t>
            </w:r>
          </w:p>
          <w:p>
            <w:pPr>
              <w:pStyle w:val="Normlnywebov8"/>
              <w:spacing w:before="0" w:after="0"/>
              <w:ind w:left="0" w:right="0"/>
              <w:jc w:val="both"/>
              <w:rPr>
                <w:rFonts w:ascii="Arial Narrow" w:hAnsi="Arial Narrow" w:cs="Tahoma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  <w:r>
              <w:rPr>
                <w:rFonts w:ascii="Arial Narrow" w:hAnsi="Arial Narrow" w:cs="Times New Roman"/>
                <w:sz w:val="18"/>
              </w:rPr>
              <w:t>. Článok 19 ods. 6 sa vypúšťa.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TABUKA-textsmernice"/>
              <w:rPr>
                <w:rFonts w:ascii="Arial Narrow" w:hAnsi="Arial Narrow" w:cs="Times New Roman"/>
                <w:sz w:val="18"/>
                <w:szCs w:val="22"/>
              </w:rPr>
            </w:pPr>
            <w:r>
              <w:rPr>
                <w:rFonts w:ascii="Arial Narrow" w:hAnsi="Arial Narrow" w:cs="Times New Roman"/>
                <w:sz w:val="18"/>
                <w:szCs w:val="22"/>
              </w:rPr>
              <w:t>n.a.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TABUKA-textsmernice"/>
              <w:rPr>
                <w:rFonts w:ascii="Arial Narrow" w:hAnsi="Arial Narrow" w:cs="Times New Roman"/>
                <w:b/>
                <w:sz w:val="18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TABUKA-textsmernice"/>
              <w:rPr>
                <w:rFonts w:ascii="Arial Narrow" w:hAnsi="Arial Narrow" w:cs="Times New Roman"/>
                <w:sz w:val="18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TABUKA-textsmernice"/>
              <w:rPr>
                <w:rFonts w:ascii="Arial Narrow" w:hAnsi="Arial Narrow" w:cs="Times New Roman"/>
                <w:sz w:val="18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TABUKA-textsmernice"/>
              <w:rPr>
                <w:rFonts w:ascii="Arial Narrow" w:hAnsi="Arial Narrow" w:cs="Times New Roman"/>
                <w:sz w:val="18"/>
                <w:szCs w:val="22"/>
              </w:rPr>
            </w:pPr>
            <w:r>
              <w:rPr>
                <w:rFonts w:ascii="Arial Narrow" w:hAnsi="Arial Narrow" w:cs="Times New Roman"/>
                <w:sz w:val="18"/>
                <w:szCs w:val="22"/>
              </w:rPr>
              <w:t>n.a.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TABUKA-textsmernice"/>
              <w:rPr>
                <w:rFonts w:ascii="Arial Narrow" w:hAnsi="Arial Narrow" w:cs="Times New Roman"/>
                <w:sz w:val="18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TABUKA-textsmernice"/>
              <w:rPr>
                <w:rFonts w:ascii="Arial Narrow" w:hAnsi="Arial Narrow" w:cs="Times New Roman"/>
                <w:sz w:val="18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TABUKA-textsmernice"/>
              <w:rPr>
                <w:rFonts w:ascii="Arial Narrow" w:hAnsi="Arial Narrow" w:cs="Times New Roman"/>
                <w:sz w:val="18"/>
                <w:szCs w:val="22"/>
              </w:rPr>
            </w:pPr>
          </w:p>
        </w:tc>
      </w:tr>
      <w:tr>
        <w:tblPrEx>
          <w:tblW w:w="15027" w:type="dxa"/>
          <w:tblInd w:w="-356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TABUKA-textsmernice"/>
              <w:rPr>
                <w:rFonts w:ascii="Arial Narrow" w:hAnsi="Arial Narrow" w:cs="Times New Roman"/>
                <w:sz w:val="18"/>
                <w:szCs w:val="22"/>
              </w:rPr>
            </w:pPr>
            <w:r>
              <w:rPr>
                <w:rFonts w:ascii="Arial Narrow" w:hAnsi="Arial Narrow" w:cs="Times New Roman"/>
                <w:sz w:val="18"/>
                <w:szCs w:val="22"/>
              </w:rPr>
              <w:t>Čl</w:t>
            </w:r>
            <w:r>
              <w:rPr>
                <w:rFonts w:ascii="Arial Narrow" w:hAnsi="Arial Narrow" w:cs="Times New Roman"/>
                <w:sz w:val="18"/>
                <w:szCs w:val="22"/>
              </w:rPr>
              <w:t>. 3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Normlnywebov8"/>
              <w:spacing w:before="0" w:after="0"/>
              <w:ind w:left="0" w:right="0"/>
              <w:jc w:val="both"/>
              <w:rPr>
                <w:rFonts w:ascii="Arial Narrow" w:hAnsi="Arial Narrow" w:cs="Tahoma"/>
                <w:sz w:val="18"/>
              </w:rPr>
            </w:pPr>
            <w:r>
              <w:rPr>
                <w:rFonts w:ascii="Arial Narrow" w:hAnsi="Arial Narrow" w:cs="Tahoma"/>
                <w:sz w:val="18"/>
              </w:rPr>
              <w:t>Odkazy na smernicu 77/799/EHS vo vzťahu k spotrebným daniam sa chápu ako odkazy na nariadenie (ES) č. 2073/2004.</w:t>
            </w:r>
          </w:p>
          <w:p>
            <w:pPr>
              <w:pStyle w:val="Normlnywebov8"/>
              <w:spacing w:before="0" w:after="0"/>
              <w:ind w:left="0" w:right="0"/>
              <w:jc w:val="both"/>
              <w:rPr>
                <w:rFonts w:ascii="Arial Narrow" w:hAnsi="Arial Narrow" w:cs="Tahoma"/>
                <w:sz w:val="18"/>
              </w:rPr>
            </w:pPr>
            <w:r>
              <w:rPr>
                <w:rFonts w:ascii="Arial Narrow" w:hAnsi="Arial Narrow" w:cs="Tahoma"/>
                <w:sz w:val="18"/>
              </w:rPr>
              <w:t>Odkazy na smernicu 92/12/EHS vo vzťahu k správnej spolupráci v oblasti spotrebných daní sa chápu ako odkazy na nariadenie (ES) č. 2073/2004</w:t>
            </w:r>
            <w:r>
              <w:rPr>
                <w:rFonts w:ascii="Arial Narrow" w:hAnsi="Arial Narrow" w:cs="Tahoma"/>
                <w:sz w:val="18"/>
              </w:rPr>
              <w:t>.</w:t>
            </w:r>
          </w:p>
          <w:p>
            <w:pPr>
              <w:pStyle w:val="TABUKA-textsmernice"/>
              <w:rPr>
                <w:rFonts w:ascii="Arial Narrow" w:hAnsi="Arial Narrow" w:cs="Times New Roman"/>
                <w:sz w:val="18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TABUKA-textsmernice"/>
              <w:rPr>
                <w:rFonts w:ascii="Arial Narrow" w:hAnsi="Arial Narrow" w:cs="Times New Roman"/>
                <w:sz w:val="18"/>
                <w:szCs w:val="22"/>
              </w:rPr>
            </w:pPr>
            <w:r>
              <w:rPr>
                <w:rFonts w:ascii="Arial Narrow" w:hAnsi="Arial Narrow" w:cs="Times New Roman"/>
                <w:sz w:val="18"/>
                <w:szCs w:val="22"/>
              </w:rPr>
              <w:t>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TABUKA-textsmernice"/>
              <w:rPr>
                <w:rFonts w:ascii="Arial Narrow" w:hAnsi="Arial Narrow" w:cs="Times New Roman"/>
                <w:b/>
                <w:sz w:val="18"/>
                <w:szCs w:val="22"/>
              </w:rPr>
            </w:pPr>
            <w:r>
              <w:rPr>
                <w:rFonts w:ascii="Arial Narrow" w:hAnsi="Arial Narrow" w:cs="Times New Roman"/>
                <w:b/>
                <w:sz w:val="18"/>
                <w:szCs w:val="22"/>
              </w:rPr>
              <w:t>Návrh zákona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TABUKA-textsmernice"/>
              <w:rPr>
                <w:rFonts w:ascii="Arial Narrow" w:hAnsi="Arial Narrow" w:cs="Times New Roman"/>
                <w:sz w:val="18"/>
                <w:szCs w:val="22"/>
              </w:rPr>
            </w:pPr>
            <w:r>
              <w:rPr>
                <w:rFonts w:ascii="Arial Narrow" w:hAnsi="Arial Narrow" w:cs="Times New Roman"/>
                <w:sz w:val="18"/>
                <w:szCs w:val="22"/>
              </w:rPr>
              <w:t>§ 46 ods. 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Zkladntext"/>
              <w:jc w:val="both"/>
              <w:rPr>
                <w:rFonts w:ascii="Arial Narrow" w:hAnsi="Arial Narrow" w:cs="Arial"/>
                <w:b/>
                <w:sz w:val="18"/>
                <w:szCs w:val="22"/>
              </w:rPr>
            </w:pPr>
            <w:r>
              <w:rPr>
                <w:rFonts w:ascii="Arial Narrow" w:hAnsi="Arial Narrow" w:cs="Arial"/>
                <w:b/>
                <w:sz w:val="18"/>
                <w:szCs w:val="22"/>
              </w:rPr>
              <w:t>Colné riaditeľstvo alebo ním poverený colný úrad je povinný viesť centrálnu elektronickú datab</w:t>
            </w:r>
            <w:r>
              <w:rPr>
                <w:rFonts w:ascii="Arial Narrow" w:hAnsi="Arial Narrow" w:cs="Arial"/>
                <w:b/>
                <w:sz w:val="18"/>
                <w:szCs w:val="22"/>
              </w:rPr>
              <w:t>á</w:t>
            </w:r>
            <w:r>
              <w:rPr>
                <w:rFonts w:ascii="Arial Narrow" w:hAnsi="Arial Narrow" w:cs="Arial"/>
                <w:b/>
                <w:sz w:val="18"/>
                <w:szCs w:val="22"/>
              </w:rPr>
              <w:t>zu, ktorá obsahuje údaje podľa odseku 2 a postupovať podľa osobitného predpisu.</w:t>
            </w:r>
            <w:r>
              <w:rPr>
                <w:rFonts w:ascii="Arial Narrow" w:hAnsi="Arial Narrow" w:cs="Arial"/>
                <w:b/>
                <w:sz w:val="18"/>
                <w:szCs w:val="22"/>
                <w:vertAlign w:val="superscript"/>
              </w:rPr>
              <w:t>46)</w:t>
            </w:r>
            <w:r>
              <w:rPr>
                <w:rFonts w:ascii="Arial Narrow" w:hAnsi="Arial Narrow" w:cs="Arial"/>
                <w:b/>
                <w:sz w:val="18"/>
                <w:szCs w:val="22"/>
              </w:rPr>
              <w:t>.</w:t>
            </w:r>
          </w:p>
          <w:p>
            <w:pPr>
              <w:pStyle w:val="Zkladntext"/>
              <w:jc w:val="both"/>
              <w:rPr>
                <w:rFonts w:ascii="Arial Narrow" w:hAnsi="Arial Narrow" w:cs="Arial"/>
                <w:b/>
                <w:sz w:val="18"/>
                <w:szCs w:val="22"/>
              </w:rPr>
            </w:pPr>
            <w:r>
              <w:rPr>
                <w:rFonts w:ascii="Arial Narrow" w:hAnsi="Arial Narrow" w:cs="Arial"/>
                <w:b/>
                <w:sz w:val="18"/>
                <w:szCs w:val="22"/>
              </w:rPr>
              <w:t>Poznámka pod čiarou k odkazu 30 znie:</w:t>
            </w:r>
          </w:p>
          <w:p>
            <w:pPr>
              <w:pStyle w:val="TABUKA-textsmernice"/>
              <w:rPr>
                <w:rFonts w:ascii="Arial Narrow" w:hAnsi="Arial Narrow" w:cs="Times New Roman"/>
                <w:sz w:val="18"/>
                <w:szCs w:val="22"/>
              </w:rPr>
            </w:pPr>
            <w:r>
              <w:rPr>
                <w:rFonts w:ascii="Arial Narrow" w:hAnsi="Arial Narrow" w:cs="Arial"/>
                <w:b/>
                <w:sz w:val="18"/>
                <w:szCs w:val="22"/>
              </w:rPr>
              <w:t>46) Nariadenie Rady (ES) č. 2073/2004 zo 16. novembra 2004 o správnej spolupráci v oblasti spo</w:t>
            </w:r>
            <w:r>
              <w:rPr>
                <w:rFonts w:ascii="Arial Narrow" w:hAnsi="Arial Narrow" w:cs="Arial"/>
                <w:b/>
                <w:sz w:val="18"/>
                <w:szCs w:val="22"/>
              </w:rPr>
              <w:t>t</w:t>
            </w:r>
            <w:r>
              <w:rPr>
                <w:rFonts w:ascii="Arial Narrow" w:hAnsi="Arial Narrow" w:cs="Arial"/>
                <w:b/>
                <w:sz w:val="18"/>
                <w:szCs w:val="22"/>
              </w:rPr>
              <w:t>rebných daní (Ú. v. EÚ L 359, 04.12.2004).</w:t>
            </w:r>
            <w:r>
              <w:rPr>
                <w:rFonts w:ascii="Arial Narrow" w:hAnsi="Arial Narrow" w:cs="Times New Roman"/>
                <w:sz w:val="18"/>
                <w:szCs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TABUKA-textsmernice"/>
              <w:rPr>
                <w:rFonts w:ascii="Arial Narrow" w:hAnsi="Arial Narrow" w:cs="Times New Roman"/>
                <w:sz w:val="18"/>
                <w:szCs w:val="22"/>
              </w:rPr>
            </w:pPr>
            <w:r>
              <w:rPr>
                <w:rFonts w:ascii="Arial Narrow" w:hAnsi="Arial Narrow" w:cs="Times New Roman"/>
                <w:sz w:val="18"/>
                <w:szCs w:val="22"/>
              </w:rPr>
              <w:t>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TABUKA-textsmernice"/>
              <w:rPr>
                <w:rFonts w:ascii="Arial Narrow" w:hAnsi="Arial Narrow" w:cs="Times New Roman"/>
                <w:sz w:val="18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TABUKA-textsmernice"/>
              <w:rPr>
                <w:rFonts w:ascii="Arial Narrow" w:hAnsi="Arial Narrow" w:cs="Times New Roman"/>
                <w:sz w:val="18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TABUKA-textsmernice"/>
              <w:rPr>
                <w:rFonts w:ascii="Arial Narrow" w:hAnsi="Arial Narrow" w:cs="Times New Roman"/>
                <w:sz w:val="18"/>
                <w:szCs w:val="22"/>
              </w:rPr>
            </w:pPr>
          </w:p>
        </w:tc>
      </w:tr>
      <w:tr>
        <w:tblPrEx>
          <w:tblW w:w="15027" w:type="dxa"/>
          <w:tblInd w:w="-356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TABUKA-textsmernice"/>
              <w:rPr>
                <w:rFonts w:ascii="Arial Narrow" w:hAnsi="Arial Narrow" w:cs="Times New Roman"/>
                <w:sz w:val="18"/>
                <w:szCs w:val="22"/>
              </w:rPr>
            </w:pPr>
            <w:r>
              <w:rPr>
                <w:rFonts w:ascii="Arial Narrow" w:hAnsi="Arial Narrow" w:cs="Times New Roman"/>
                <w:sz w:val="18"/>
                <w:szCs w:val="22"/>
              </w:rPr>
              <w:t>Čl. 4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Normlnywebov8"/>
              <w:spacing w:before="0" w:after="0"/>
              <w:ind w:left="0" w:right="0"/>
              <w:jc w:val="both"/>
              <w:rPr>
                <w:rFonts w:ascii="Arial Narrow" w:hAnsi="Arial Narrow" w:cs="Tahoma"/>
                <w:sz w:val="18"/>
              </w:rPr>
            </w:pPr>
            <w:r>
              <w:rPr>
                <w:rFonts w:ascii="Arial Narrow" w:hAnsi="Arial Narrow" w:cs="Tahoma"/>
                <w:sz w:val="18"/>
              </w:rPr>
              <w:t>1. Členské štáty uvedú do účinnosti zákony, iné právne predpisy a správne opatrenia potrebné na dosiahnutie súladu</w:t>
            </w:r>
            <w:r>
              <w:rPr>
                <w:rFonts w:ascii="Arial Narrow" w:hAnsi="Arial Narrow" w:cs="Tahoma"/>
                <w:sz w:val="18"/>
              </w:rPr>
              <w:t xml:space="preserve"> s touto smernicou do 30. júna 2005. Bezodkladne o tom informujú Komisiu.</w:t>
            </w:r>
          </w:p>
          <w:p>
            <w:pPr>
              <w:pStyle w:val="Normlnywebov8"/>
              <w:spacing w:before="0" w:after="0"/>
              <w:ind w:left="0" w:right="0"/>
              <w:jc w:val="both"/>
              <w:rPr>
                <w:rFonts w:ascii="Arial Narrow" w:hAnsi="Arial Narrow" w:cs="Tahoma"/>
                <w:sz w:val="18"/>
              </w:rPr>
            </w:pPr>
            <w:r>
              <w:rPr>
                <w:rFonts w:ascii="Arial Narrow" w:hAnsi="Arial Narrow" w:cs="Tahoma"/>
                <w:sz w:val="18"/>
              </w:rPr>
              <w:t>Tieto ustanovenia uplatňujú od 1. júla 2005.</w:t>
            </w:r>
          </w:p>
          <w:p>
            <w:pPr>
              <w:pStyle w:val="Normlnywebov8"/>
              <w:spacing w:before="0" w:after="0"/>
              <w:ind w:left="0" w:right="0"/>
              <w:jc w:val="both"/>
              <w:rPr>
                <w:rFonts w:ascii="Arial Narrow" w:hAnsi="Arial Narrow" w:cs="Tahoma"/>
                <w:sz w:val="18"/>
              </w:rPr>
            </w:pPr>
            <w:r>
              <w:rPr>
                <w:rFonts w:ascii="Arial Narrow" w:hAnsi="Arial Narrow" w:cs="Tahoma"/>
                <w:sz w:val="18"/>
              </w:rPr>
              <w:t>Členské štáty uvedú priamo v prijatých ustanoveniach alebo pri ich úradnom uverejnení odkaz na túto smernicu. Podrobnosti o odkaze upravia členské štáty.</w:t>
            </w:r>
          </w:p>
          <w:p>
            <w:pPr>
              <w:pStyle w:val="Normlnywebov8"/>
              <w:spacing w:before="0" w:after="0"/>
              <w:ind w:left="0" w:right="0"/>
              <w:jc w:val="both"/>
              <w:rPr>
                <w:rFonts w:ascii="Arial Narrow" w:hAnsi="Arial Narrow" w:cs="Tahoma"/>
                <w:sz w:val="18"/>
              </w:rPr>
            </w:pPr>
            <w:r>
              <w:rPr>
                <w:rFonts w:ascii="Arial Narrow" w:hAnsi="Arial Narrow" w:cs="Tahoma"/>
                <w:sz w:val="18"/>
              </w:rPr>
              <w:t>2. Členské štáty oznámia Komisii znenie vnútroštátnych právnych predpisov, ktoré prijmú v oblasti pôsobnosti tejto smernice.</w:t>
            </w:r>
          </w:p>
          <w:p>
            <w:pPr>
              <w:pStyle w:val="Normlnywebov8"/>
              <w:spacing w:before="0" w:after="0"/>
              <w:ind w:left="0" w:right="0"/>
              <w:jc w:val="both"/>
              <w:rPr>
                <w:rFonts w:ascii="Arial Narrow" w:hAnsi="Arial Narrow" w:cs="Tahoma"/>
                <w:sz w:val="18"/>
              </w:rPr>
            </w:pPr>
            <w:r>
              <w:rPr>
                <w:rFonts w:ascii="Arial Narrow" w:hAnsi="Arial Narrow" w:cs="Tahoma"/>
                <w:sz w:val="18"/>
              </w:rPr>
              <w:t>3. Odchylne od článku 2 smernice 2004/56/ES, členské štáty nie sú povinné prijať a uplatňovať ustanovenia potrebné na dosiahnutie súladu so smernicou 2004/56/ES vo vzťahu k spotrebným daniam.</w:t>
            </w:r>
          </w:p>
          <w:p>
            <w:pPr>
              <w:pStyle w:val="TABUKA-textsmernice"/>
              <w:rPr>
                <w:rFonts w:ascii="Arial Narrow" w:hAnsi="Arial Narrow" w:cs="Times New Roman"/>
                <w:sz w:val="18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TABUKA-textsmernice"/>
              <w:rPr>
                <w:rFonts w:ascii="Arial Narrow" w:hAnsi="Arial Narrow" w:cs="Times New Roman"/>
                <w:sz w:val="18"/>
                <w:szCs w:val="22"/>
              </w:rPr>
            </w:pPr>
            <w:r>
              <w:rPr>
                <w:rFonts w:ascii="Arial Narrow" w:hAnsi="Arial Narrow" w:cs="Times New Roman"/>
                <w:sz w:val="18"/>
                <w:szCs w:val="22"/>
              </w:rPr>
              <w:t>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TABUKA-textsmernice"/>
              <w:rPr>
                <w:rFonts w:ascii="Arial Narrow" w:hAnsi="Arial Narrow" w:cs="Times New Roman"/>
                <w:b/>
                <w:sz w:val="18"/>
                <w:szCs w:val="22"/>
              </w:rPr>
            </w:pPr>
            <w:r>
              <w:rPr>
                <w:rFonts w:ascii="Arial Narrow" w:hAnsi="Arial Narrow" w:cs="Times New Roman"/>
                <w:b/>
                <w:sz w:val="18"/>
                <w:szCs w:val="22"/>
              </w:rPr>
              <w:t>Návrh zákona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TABUKA-textsmernice"/>
              <w:rPr>
                <w:rFonts w:ascii="Arial Narrow" w:hAnsi="Arial Narrow" w:cs="Times New Roman"/>
                <w:sz w:val="18"/>
                <w:szCs w:val="22"/>
              </w:rPr>
            </w:pPr>
            <w:r>
              <w:rPr>
                <w:rFonts w:ascii="Arial Narrow" w:hAnsi="Arial Narrow" w:cs="Times New Roman"/>
                <w:sz w:val="18"/>
                <w:szCs w:val="22"/>
              </w:rPr>
              <w:t>Čl. III</w:t>
            </w:r>
          </w:p>
          <w:p>
            <w:pPr>
              <w:pStyle w:val="TABUKA-textsmernice"/>
              <w:rPr>
                <w:rFonts w:ascii="Arial Narrow" w:hAnsi="Arial Narrow" w:cs="Times New Roman"/>
                <w:sz w:val="18"/>
                <w:szCs w:val="22"/>
              </w:rPr>
            </w:pPr>
          </w:p>
          <w:p>
            <w:pPr>
              <w:pStyle w:val="TABUKA-textsmernice"/>
              <w:rPr>
                <w:rFonts w:ascii="Arial Narrow" w:hAnsi="Arial Narrow" w:cs="Times New Roman"/>
                <w:sz w:val="18"/>
                <w:szCs w:val="22"/>
              </w:rPr>
            </w:pPr>
          </w:p>
          <w:p>
            <w:pPr>
              <w:pStyle w:val="TABUKA-textsmernice"/>
              <w:rPr>
                <w:rFonts w:ascii="Arial Narrow" w:hAnsi="Arial Narrow" w:cs="Times New Roman"/>
                <w:sz w:val="18"/>
                <w:szCs w:val="22"/>
              </w:rPr>
            </w:pPr>
          </w:p>
          <w:p>
            <w:pPr>
              <w:pStyle w:val="TABUKA-textsmernice"/>
              <w:rPr>
                <w:rFonts w:ascii="Arial Narrow" w:hAnsi="Arial Narrow" w:cs="Times New Roman"/>
                <w:sz w:val="18"/>
                <w:szCs w:val="22"/>
              </w:rPr>
            </w:pPr>
          </w:p>
          <w:p>
            <w:pPr>
              <w:pStyle w:val="TABUKA-textsmernice"/>
              <w:rPr>
                <w:rFonts w:ascii="Arial Narrow" w:hAnsi="Arial Narrow" w:cs="Times New Roman"/>
                <w:sz w:val="18"/>
                <w:szCs w:val="22"/>
              </w:rPr>
            </w:pPr>
            <w:r>
              <w:rPr>
                <w:rFonts w:ascii="Arial Narrow" w:hAnsi="Arial Narrow" w:cs="Times New Roman"/>
                <w:sz w:val="18"/>
                <w:szCs w:val="22"/>
              </w:rPr>
              <w:t xml:space="preserve">Príloha č.1 </w:t>
            </w:r>
          </w:p>
          <w:p>
            <w:pPr>
              <w:pStyle w:val="TABUKA-textsmernice"/>
              <w:rPr>
                <w:rFonts w:ascii="Arial Narrow" w:hAnsi="Arial Narrow" w:cs="Times New Roman"/>
                <w:sz w:val="18"/>
                <w:szCs w:val="22"/>
              </w:rPr>
            </w:pPr>
          </w:p>
          <w:p>
            <w:pPr>
              <w:pStyle w:val="TABUKA-textsmernice"/>
              <w:rPr>
                <w:rFonts w:ascii="Arial Narrow" w:hAnsi="Arial Narrow" w:cs="Times New Roman"/>
                <w:sz w:val="18"/>
                <w:szCs w:val="22"/>
              </w:rPr>
            </w:pPr>
            <w:r>
              <w:rPr>
                <w:rFonts w:ascii="Arial Narrow" w:hAnsi="Arial Narrow" w:cs="Times New Roman"/>
                <w:sz w:val="18"/>
                <w:szCs w:val="22"/>
              </w:rPr>
              <w:t>bod.1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Zkladntext"/>
              <w:tabs>
                <w:tab w:val="left" w:pos="360"/>
              </w:tabs>
              <w:spacing w:line="240" w:lineRule="atLeast"/>
              <w:jc w:val="both"/>
              <w:rPr>
                <w:rFonts w:ascii="Arial Narrow" w:hAnsi="Arial Narrow" w:cs="Times New Roman"/>
                <w:b/>
                <w:sz w:val="18"/>
                <w:szCs w:val="22"/>
              </w:rPr>
            </w:pPr>
            <w:r>
              <w:rPr>
                <w:rFonts w:ascii="Arial Narrow" w:hAnsi="Arial Narrow" w:cs="Times New Roman"/>
                <w:b/>
                <w:sz w:val="18"/>
                <w:szCs w:val="22"/>
              </w:rPr>
              <w:t>Tento zákon nadobúda účinnosť 1. júla 2006 okrem bodu 16, ktorý nadobúda účinnosť 1. októbra 2006 a bodu  95, ktorý nadobúda účinnosť 1. januára 2007.</w:t>
            </w:r>
          </w:p>
          <w:p>
            <w:pPr>
              <w:pStyle w:val="Zkladntext"/>
              <w:tabs>
                <w:tab w:val="left" w:pos="360"/>
              </w:tabs>
              <w:spacing w:line="240" w:lineRule="atLeast"/>
              <w:jc w:val="center"/>
              <w:rPr>
                <w:rFonts w:ascii="Arial Narrow" w:hAnsi="Arial Narrow" w:cs="Times New Roman"/>
                <w:b/>
                <w:sz w:val="18"/>
                <w:szCs w:val="22"/>
              </w:rPr>
            </w:pPr>
          </w:p>
          <w:p>
            <w:pPr>
              <w:pStyle w:val="Zkladntext"/>
              <w:tabs>
                <w:tab w:val="left" w:pos="360"/>
              </w:tabs>
              <w:spacing w:line="240" w:lineRule="atLeast"/>
              <w:jc w:val="center"/>
              <w:rPr>
                <w:rFonts w:ascii="Arial Narrow" w:hAnsi="Arial Narrow" w:cs="Times New Roman"/>
                <w:b/>
                <w:sz w:val="18"/>
                <w:szCs w:val="22"/>
              </w:rPr>
            </w:pPr>
            <w:r>
              <w:rPr>
                <w:rFonts w:ascii="Arial Narrow" w:hAnsi="Arial Narrow" w:cs="Times New Roman"/>
                <w:b/>
                <w:sz w:val="18"/>
                <w:szCs w:val="22"/>
              </w:rPr>
              <w:t>Zoznam preberaných právnych aktov Európskych spoločenstiev a Európskej únie</w:t>
            </w:r>
          </w:p>
          <w:p>
            <w:pPr>
              <w:pStyle w:val="Zkladntext"/>
              <w:tabs>
                <w:tab w:val="left" w:pos="360"/>
              </w:tabs>
              <w:spacing w:line="240" w:lineRule="atLeast"/>
              <w:jc w:val="both"/>
              <w:rPr>
                <w:rFonts w:ascii="Arial Narrow" w:hAnsi="Arial Narrow" w:cs="Times New Roman"/>
                <w:b/>
                <w:sz w:val="18"/>
                <w:szCs w:val="22"/>
              </w:rPr>
            </w:pPr>
          </w:p>
          <w:p>
            <w:pPr>
              <w:pStyle w:val="TABUKA-textsmernice"/>
              <w:rPr>
                <w:rFonts w:ascii="Arial Narrow" w:hAnsi="Arial Narrow" w:cs="Times New Roman"/>
                <w:sz w:val="18"/>
                <w:szCs w:val="22"/>
              </w:rPr>
            </w:pPr>
            <w:r>
              <w:rPr>
                <w:rFonts w:ascii="Arial Narrow" w:hAnsi="Arial Narrow" w:cs="Times New Roman"/>
                <w:b/>
                <w:sz w:val="18"/>
                <w:szCs w:val="22"/>
              </w:rPr>
              <w:t>1</w:t>
            </w:r>
            <w:r>
              <w:rPr>
                <w:rFonts w:ascii="Arial Narrow" w:hAnsi="Arial Narrow" w:cs="Times New Roman"/>
                <w:sz w:val="18"/>
                <w:szCs w:val="22"/>
              </w:rPr>
              <w:t xml:space="preserve">. </w:t>
            </w:r>
            <w:r>
              <w:rPr>
                <w:rFonts w:ascii="Arial Narrow" w:hAnsi="Arial Narrow" w:cs="Times New Roman"/>
                <w:b/>
                <w:sz w:val="18"/>
                <w:szCs w:val="22"/>
              </w:rPr>
              <w:t xml:space="preserve">Smernica  Rady 92/12/EHS  z 25.02.1992  o všeobecných systémoch pre výrobky podliehajúce spotrebnej dani a o vlastníctve, pohybe  a monitorovaní takýchto </w:t>
            </w:r>
            <w:r>
              <w:rPr>
                <w:rFonts w:ascii="Arial Narrow" w:hAnsi="Arial Narrow" w:cs="Times New Roman"/>
                <w:b/>
                <w:sz w:val="18"/>
                <w:szCs w:val="22"/>
              </w:rPr>
              <w:t>výrobkov (Ú. v. ES  L  076,  23.03.1992) v  znení smernice  Rady 92/108/EHS zo 14.12.1992 (Ú. v. ES L 390, 31.12.1992), smernice Rady  94/74/ES  z  22.12.1994  (Ú. v.  ES  L  365,  31.12.1994), smernice  Rady  96/99/ES  z   30.12.1996  (Ú. v.  ES  L  008, 11.01.1997), smernice Rady 2000/44/ES z 30. 06. 2000 (Ú. v.  ES  L 161, 01.07.2000), smernice Rady 2000/47/ES z 20. 07. 2000 (Ú. v.  ES L 193, 29.07.2000), nariadenia Rady 807/2003/ES zo 14. 04. 2003 (Ú. v.  EÚ  L 122, 16.05.2003), smernice Rady 106/2004/E</w:t>
            </w:r>
            <w:r>
              <w:rPr>
                <w:rFonts w:ascii="Arial Narrow" w:hAnsi="Arial Narrow" w:cs="Times New Roman"/>
                <w:b/>
                <w:sz w:val="18"/>
                <w:szCs w:val="22"/>
              </w:rPr>
              <w:t>S zo 16. 11. 2004 (Ú. v.  EÚ  L 359, 04.12.2004) a Aktom o podmienkach pristúpenia pripojeným k Zmluve o pristúpení Slovenskej republiky k Európskej únii (Ú. v. EÚ L 236, 23.09.2003).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TABUKA-textsmernice"/>
              <w:rPr>
                <w:rFonts w:ascii="Arial Narrow" w:hAnsi="Arial Narrow" w:cs="Times New Roman"/>
                <w:sz w:val="18"/>
                <w:szCs w:val="22"/>
              </w:rPr>
            </w:pPr>
            <w:r>
              <w:rPr>
                <w:rFonts w:ascii="Arial Narrow" w:hAnsi="Arial Narrow" w:cs="Times New Roman"/>
                <w:sz w:val="18"/>
                <w:szCs w:val="22"/>
              </w:rPr>
              <w:t>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TABUKA-textsmernice"/>
              <w:rPr>
                <w:rFonts w:ascii="Arial Narrow" w:hAnsi="Arial Narrow" w:cs="Times New Roman"/>
                <w:sz w:val="18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TABUKA-textsmernice"/>
              <w:rPr>
                <w:rFonts w:ascii="Arial Narrow" w:hAnsi="Arial Narrow" w:cs="Times New Roman"/>
                <w:sz w:val="18"/>
                <w:szCs w:val="22"/>
              </w:rPr>
            </w:pPr>
          </w:p>
          <w:p>
            <w:pPr>
              <w:pStyle w:val="TABUKA-textsmernice"/>
              <w:rPr>
                <w:rFonts w:ascii="Arial Narrow" w:hAnsi="Arial Narrow" w:cs="Times New Roman"/>
                <w:sz w:val="18"/>
                <w:szCs w:val="22"/>
              </w:rPr>
            </w:pPr>
          </w:p>
          <w:p>
            <w:pPr>
              <w:pStyle w:val="TABUKA-textsmernice"/>
              <w:rPr>
                <w:rFonts w:ascii="Arial Narrow" w:hAnsi="Arial Narrow" w:cs="Times New Roman"/>
                <w:sz w:val="18"/>
                <w:szCs w:val="22"/>
              </w:rPr>
            </w:pPr>
          </w:p>
          <w:p>
            <w:pPr>
              <w:pStyle w:val="TABUKA-textsmernice"/>
              <w:rPr>
                <w:rFonts w:ascii="Arial Narrow" w:hAnsi="Arial Narrow" w:cs="Times New Roman"/>
                <w:sz w:val="18"/>
                <w:szCs w:val="22"/>
              </w:rPr>
            </w:pPr>
          </w:p>
          <w:p>
            <w:pPr>
              <w:pStyle w:val="TABUKA-textsmernice"/>
              <w:rPr>
                <w:rFonts w:ascii="Arial Narrow" w:hAnsi="Arial Narrow" w:cs="Times New Roman"/>
                <w:sz w:val="18"/>
                <w:szCs w:val="22"/>
              </w:rPr>
            </w:pPr>
          </w:p>
          <w:p>
            <w:pPr>
              <w:pStyle w:val="TABUKA-textsmernice"/>
              <w:rPr>
                <w:rFonts w:ascii="Arial Narrow" w:hAnsi="Arial Narrow" w:cs="Times New Roman"/>
                <w:sz w:val="18"/>
                <w:szCs w:val="22"/>
              </w:rPr>
            </w:pPr>
          </w:p>
          <w:p>
            <w:pPr>
              <w:pStyle w:val="TABUKA-textsmernice"/>
              <w:rPr>
                <w:rFonts w:ascii="Arial Narrow" w:hAnsi="Arial Narrow" w:cs="Times New Roman"/>
                <w:sz w:val="18"/>
                <w:szCs w:val="22"/>
              </w:rPr>
            </w:pPr>
          </w:p>
          <w:p>
            <w:pPr>
              <w:pStyle w:val="TABUKA-textsmernice"/>
              <w:rPr>
                <w:rFonts w:ascii="Arial Narrow" w:hAnsi="Arial Narrow" w:cs="Times New Roman"/>
                <w:sz w:val="18"/>
                <w:szCs w:val="22"/>
              </w:rPr>
            </w:pPr>
          </w:p>
          <w:p>
            <w:pPr>
              <w:pStyle w:val="TABUKA-textsmernice"/>
              <w:rPr>
                <w:rFonts w:ascii="Arial Narrow" w:hAnsi="Arial Narrow" w:cs="Times New Roman"/>
                <w:sz w:val="18"/>
                <w:szCs w:val="22"/>
              </w:rPr>
            </w:pPr>
            <w:r>
              <w:rPr>
                <w:rFonts w:ascii="Arial Narrow" w:hAnsi="Arial Narrow" w:cs="Times New Roman"/>
                <w:sz w:val="18"/>
                <w:szCs w:val="22"/>
              </w:rPr>
              <w:t>SR informuje Komisiu prostredníctvom notifikácie.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TABUKA-textsmernice"/>
              <w:rPr>
                <w:rFonts w:ascii="Arial Narrow" w:hAnsi="Arial Narrow" w:cs="Times New Roman"/>
                <w:sz w:val="18"/>
                <w:szCs w:val="22"/>
              </w:rPr>
            </w:pPr>
          </w:p>
        </w:tc>
      </w:tr>
      <w:tr>
        <w:tblPrEx>
          <w:tblW w:w="15027" w:type="dxa"/>
          <w:tblInd w:w="-356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TABUKA-textsmernice"/>
              <w:rPr>
                <w:rFonts w:ascii="Arial Narrow" w:hAnsi="Arial Narrow" w:cs="Times New Roman"/>
                <w:sz w:val="18"/>
                <w:szCs w:val="22"/>
              </w:rPr>
            </w:pPr>
            <w:r>
              <w:rPr>
                <w:rFonts w:ascii="Arial Narrow" w:hAnsi="Arial Narrow" w:cs="Times New Roman"/>
                <w:sz w:val="18"/>
                <w:szCs w:val="22"/>
              </w:rPr>
              <w:t>Čl. 5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Normlnywebov8"/>
              <w:spacing w:before="0" w:after="0"/>
              <w:ind w:left="0" w:right="0"/>
              <w:jc w:val="both"/>
              <w:rPr>
                <w:rFonts w:ascii="Arial Narrow" w:hAnsi="Arial Narrow" w:cs="Tahoma"/>
                <w:sz w:val="18"/>
              </w:rPr>
            </w:pPr>
            <w:r>
              <w:rPr>
                <w:rFonts w:ascii="Arial Narrow" w:hAnsi="Arial Narrow" w:cs="Times New Roman"/>
                <w:sz w:val="18"/>
              </w:rPr>
              <w:t>Táto smernica nadobúda účinnosť v dvadsiaty deň nasledujúci po dni jej uverejnenia v Úradnom vestníku Európskej únie.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TABUKA-textsmernice"/>
              <w:rPr>
                <w:rFonts w:ascii="Arial Narrow" w:hAnsi="Arial Narrow" w:cs="Times New Roman"/>
                <w:sz w:val="18"/>
                <w:szCs w:val="22"/>
              </w:rPr>
            </w:pPr>
            <w:r>
              <w:rPr>
                <w:rFonts w:ascii="Arial Narrow" w:hAnsi="Arial Narrow" w:cs="Times New Roman"/>
                <w:sz w:val="18"/>
                <w:szCs w:val="22"/>
              </w:rPr>
              <w:t>n.a.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TABUKA-textsmernice"/>
              <w:rPr>
                <w:rFonts w:ascii="Arial Narrow" w:hAnsi="Arial Narrow" w:cs="Times New Roman"/>
                <w:sz w:val="18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TABUKA-textsmernice"/>
              <w:rPr>
                <w:rFonts w:ascii="Arial Narrow" w:hAnsi="Arial Narrow" w:cs="Times New Roman"/>
                <w:sz w:val="18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TABUKA-textsmernice"/>
              <w:rPr>
                <w:rFonts w:ascii="Arial Narrow" w:hAnsi="Arial Narrow" w:cs="Times New Roman"/>
                <w:sz w:val="18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TABUKA-textsmernice"/>
              <w:rPr>
                <w:rFonts w:ascii="Arial Narrow" w:hAnsi="Arial Narrow" w:cs="Times New Roman"/>
                <w:sz w:val="18"/>
                <w:szCs w:val="22"/>
              </w:rPr>
            </w:pPr>
            <w:r>
              <w:rPr>
                <w:rFonts w:ascii="Arial Narrow" w:hAnsi="Arial Narrow" w:cs="Times New Roman"/>
                <w:sz w:val="18"/>
                <w:szCs w:val="22"/>
              </w:rPr>
              <w:t>n.a.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TABUKA-textsmernice"/>
              <w:rPr>
                <w:rFonts w:ascii="Arial Narrow" w:hAnsi="Arial Narrow" w:cs="Times New Roman"/>
                <w:sz w:val="18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TABUKA-textsmernice"/>
              <w:rPr>
                <w:rFonts w:ascii="Arial Narrow" w:hAnsi="Arial Narrow" w:cs="Times New Roman"/>
                <w:sz w:val="18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TABUKA-textsmernice"/>
              <w:rPr>
                <w:rFonts w:ascii="Arial Narrow" w:hAnsi="Arial Narrow" w:cs="Times New Roman"/>
                <w:sz w:val="18"/>
                <w:szCs w:val="22"/>
              </w:rPr>
            </w:pPr>
          </w:p>
        </w:tc>
      </w:tr>
      <w:tr>
        <w:tblPrEx>
          <w:tblW w:w="15027" w:type="dxa"/>
          <w:tblInd w:w="-356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TABUKA-textsmernice"/>
              <w:rPr>
                <w:rFonts w:ascii="Arial Narrow" w:hAnsi="Arial Narrow" w:cs="Times New Roman"/>
                <w:sz w:val="18"/>
                <w:szCs w:val="22"/>
              </w:rPr>
            </w:pPr>
            <w:r>
              <w:rPr>
                <w:rFonts w:ascii="Arial Narrow" w:hAnsi="Arial Narrow" w:cs="Times New Roman"/>
                <w:sz w:val="18"/>
                <w:szCs w:val="22"/>
              </w:rPr>
              <w:t>Čl. 6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Normlnywebov8"/>
              <w:spacing w:before="0" w:after="0"/>
              <w:ind w:left="0" w:right="0"/>
              <w:jc w:val="both"/>
              <w:rPr>
                <w:rFonts w:ascii="Arial Narrow" w:hAnsi="Arial Narrow" w:cs="Tahoma"/>
                <w:sz w:val="18"/>
              </w:rPr>
            </w:pPr>
            <w:r>
              <w:rPr>
                <w:rFonts w:ascii="Arial Narrow" w:hAnsi="Arial Narrow" w:cs="Tahoma"/>
                <w:sz w:val="18"/>
              </w:rPr>
              <w:t>Táto smernica je adresovaná členským štátom.</w:t>
            </w:r>
          </w:p>
          <w:p>
            <w:pPr>
              <w:pStyle w:val="Normlnywebov8"/>
              <w:spacing w:before="0" w:after="0"/>
              <w:ind w:left="0" w:right="0"/>
              <w:jc w:val="both"/>
              <w:rPr>
                <w:rFonts w:ascii="Arial Narrow" w:hAnsi="Arial Narrow" w:cs="Tahoma"/>
                <w:sz w:val="18"/>
              </w:rPr>
            </w:pPr>
            <w:r>
              <w:rPr>
                <w:rFonts w:ascii="Arial Narrow" w:hAnsi="Arial Narrow" w:cs="Tahoma"/>
                <w:sz w:val="18"/>
              </w:rPr>
              <w:t>V Bruseli 16. novembra 2004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TABUKA-textsmernice"/>
              <w:rPr>
                <w:rFonts w:ascii="Arial Narrow" w:hAnsi="Arial Narrow" w:cs="Times New Roman"/>
                <w:sz w:val="18"/>
                <w:szCs w:val="22"/>
              </w:rPr>
            </w:pPr>
            <w:r>
              <w:rPr>
                <w:rFonts w:ascii="Arial Narrow" w:hAnsi="Arial Narrow" w:cs="Times New Roman"/>
                <w:sz w:val="18"/>
                <w:szCs w:val="22"/>
              </w:rPr>
              <w:t>n.a.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TABUKA-textsmernice"/>
              <w:rPr>
                <w:rFonts w:ascii="Arial Narrow" w:hAnsi="Arial Narrow" w:cs="Times New Roman"/>
                <w:sz w:val="18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TABUKA-textsmernice"/>
              <w:rPr>
                <w:rFonts w:ascii="Arial Narrow" w:hAnsi="Arial Narrow" w:cs="Times New Roman"/>
                <w:sz w:val="18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TABUKA-textsmernice"/>
              <w:rPr>
                <w:rFonts w:ascii="Arial Narrow" w:hAnsi="Arial Narrow" w:cs="Times New Roman"/>
                <w:sz w:val="18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TABUKA-textsmernice"/>
              <w:rPr>
                <w:rFonts w:ascii="Arial Narrow" w:hAnsi="Arial Narrow" w:cs="Times New Roman"/>
                <w:sz w:val="18"/>
                <w:szCs w:val="22"/>
              </w:rPr>
            </w:pPr>
            <w:r>
              <w:rPr>
                <w:rFonts w:ascii="Arial Narrow" w:hAnsi="Arial Narrow" w:cs="Times New Roman"/>
                <w:sz w:val="18"/>
                <w:szCs w:val="22"/>
              </w:rPr>
              <w:t>n.a.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TABUKA-textsmernice"/>
              <w:rPr>
                <w:rFonts w:ascii="Arial Narrow" w:hAnsi="Arial Narrow" w:cs="Times New Roman"/>
                <w:sz w:val="18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TABUKA-textsmernice"/>
              <w:rPr>
                <w:rFonts w:ascii="Arial Narrow" w:hAnsi="Arial Narrow" w:cs="Times New Roman"/>
                <w:sz w:val="18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TABUKA-textsmernice"/>
              <w:rPr>
                <w:rFonts w:ascii="Arial Narrow" w:hAnsi="Arial Narrow" w:cs="Times New Roman"/>
                <w:sz w:val="18"/>
                <w:szCs w:val="22"/>
              </w:rPr>
            </w:pPr>
          </w:p>
        </w:tc>
      </w:tr>
    </w:tbl>
    <w:p>
      <w:pPr>
        <w:pStyle w:val="TABUKA-textsmernice"/>
        <w:rPr>
          <w:rFonts w:ascii="Arial Narrow" w:hAnsi="Arial Narrow" w:cs="Times New Roman"/>
          <w:sz w:val="22"/>
          <w:szCs w:val="22"/>
        </w:rPr>
      </w:pPr>
    </w:p>
    <w:sectPr>
      <w:footerReference w:type="even" r:id="rId4"/>
      <w:footerReference w:type="default" r:id="rId5"/>
      <w:pgSz w:w="15840" w:h="12240" w:orient="landscape" w:code="1"/>
      <w:pgMar w:top="851" w:right="851" w:bottom="851" w:left="851" w:header="397" w:footer="397" w:gutter="0"/>
      <w:pgNumType w:start="18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</w:p>
  <w:p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237F"/>
    <w:multiLevelType w:val="hybridMultilevel"/>
    <w:tmpl w:val="DD22F7DE"/>
    <w:lvl w:ilvl="0">
      <w:start w:val="1"/>
      <w:numFmt w:val="none"/>
      <w:lvlText w:val="a)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AD2289"/>
    <w:multiLevelType w:val="hybridMultilevel"/>
    <w:tmpl w:val="97C26A9E"/>
    <w:lvl w:ilvl="0">
      <w:start w:val="15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C66291"/>
    <w:multiLevelType w:val="hybridMultilevel"/>
    <w:tmpl w:val="8AC87B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DD4740"/>
    <w:multiLevelType w:val="hybridMultilevel"/>
    <w:tmpl w:val="4EBE328C"/>
    <w:lvl w:ilvl="0">
      <w:start w:val="1"/>
      <w:numFmt w:val="lowerLetter"/>
      <w:lvlText w:val="%1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/>
        <w:b w:val="0"/>
        <w:i w:val="0"/>
        <w:sz w:val="18"/>
        <w:szCs w:val="18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59370D"/>
    <w:multiLevelType w:val="hybridMultilevel"/>
    <w:tmpl w:val="A3963088"/>
    <w:lvl w:ilvl="0">
      <w:start w:val="1"/>
      <w:numFmt w:val="lowerLetter"/>
      <w:lvlText w:val="%1)"/>
      <w:lvlJc w:val="left"/>
      <w:pPr>
        <w:tabs>
          <w:tab w:val="num" w:pos="623"/>
        </w:tabs>
        <w:ind w:left="623" w:hanging="340"/>
      </w:pPr>
    </w:lvl>
    <w:lvl w:ilvl="1">
      <w:start w:val="1"/>
      <w:numFmt w:val="lowerLetter"/>
      <w:lvlText w:val="%2)"/>
      <w:lvlJc w:val="left"/>
      <w:pPr>
        <w:tabs>
          <w:tab w:val="num" w:pos="1723"/>
        </w:tabs>
        <w:ind w:left="1723" w:hanging="360"/>
      </w:pPr>
    </w:lvl>
    <w:lvl w:ilvl="2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5">
    <w:nsid w:val="24202260"/>
    <w:multiLevelType w:val="multilevel"/>
    <w:tmpl w:val="DD22F7DE"/>
    <w:lvl w:ilvl="0">
      <w:start w:val="1"/>
      <w:numFmt w:val="none"/>
      <w:lvlText w:val="a)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4D36A6"/>
    <w:multiLevelType w:val="multilevel"/>
    <w:tmpl w:val="4EBE328C"/>
    <w:lvl w:ilvl="0">
      <w:start w:val="1"/>
      <w:numFmt w:val="lowerLetter"/>
      <w:lvlText w:val="%1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/>
        <w:b w:val="0"/>
        <w:i w:val="0"/>
        <w:sz w:val="18"/>
        <w:szCs w:val="18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62E6348"/>
    <w:multiLevelType w:val="hybridMultilevel"/>
    <w:tmpl w:val="2ACAF97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63C11CD"/>
    <w:multiLevelType w:val="hybridMultilevel"/>
    <w:tmpl w:val="17300B0E"/>
    <w:lvl w:ilvl="0">
      <w:start w:val="18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8F15062"/>
    <w:multiLevelType w:val="hybridMultilevel"/>
    <w:tmpl w:val="0BF2C156"/>
    <w:lvl w:ilvl="0">
      <w:start w:val="8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97C1365"/>
    <w:multiLevelType w:val="singleLevel"/>
    <w:tmpl w:val="8CA86D90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11">
    <w:nsid w:val="3AD52A69"/>
    <w:multiLevelType w:val="hybridMultilevel"/>
    <w:tmpl w:val="80F230D0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/>
        <w:b w:val="0"/>
        <w:i w:val="0"/>
        <w:sz w:val="18"/>
        <w:szCs w:val="18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0345C46"/>
    <w:multiLevelType w:val="hybridMultilevel"/>
    <w:tmpl w:val="7A8CD986"/>
    <w:lvl w:ilvl="0">
      <w:start w:val="8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3">
    <w:nsid w:val="4EAF4D66"/>
    <w:multiLevelType w:val="hybridMultilevel"/>
    <w:tmpl w:val="45E618A6"/>
    <w:lvl w:ilvl="0">
      <w:start w:val="1"/>
      <w:numFmt w:val="lowerLetter"/>
      <w:lvlText w:val="%1)"/>
      <w:lvlJc w:val="left"/>
      <w:pPr>
        <w:tabs>
          <w:tab w:val="num" w:pos="700"/>
        </w:tabs>
        <w:ind w:left="700" w:hanging="340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283"/>
      </w:pPr>
    </w:lvl>
    <w:lvl w:ilvl="2">
      <w:start w:val="1"/>
      <w:numFmt w:val="decimal"/>
      <w:lvlText w:val="%3."/>
      <w:lvlJc w:val="left"/>
      <w:pPr>
        <w:tabs>
          <w:tab w:val="num" w:pos="1077"/>
        </w:tabs>
        <w:ind w:left="1077" w:hanging="34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59C352DC"/>
    <w:multiLevelType w:val="multilevel"/>
    <w:tmpl w:val="0BF2C156"/>
    <w:lvl w:ilvl="0">
      <w:start w:val="8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ABD5123"/>
    <w:multiLevelType w:val="hybridMultilevel"/>
    <w:tmpl w:val="F63AA436"/>
    <w:lvl w:ilvl="0">
      <w:start w:val="1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58C6F86"/>
    <w:multiLevelType w:val="multilevel"/>
    <w:tmpl w:val="373C85B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bCs w:val="0"/>
        <w:i w:val="0"/>
        <w:iCs w:val="0"/>
        <w:rtl w:val="0"/>
      </w:rPr>
    </w:lvl>
    <w:lvl w:ilvl="1">
      <w:start w:val="1"/>
      <w:numFmt w:val="lowerLetter"/>
      <w:lvlText w:val="%2)"/>
      <w:lvlJc w:val="left"/>
      <w:pPr>
        <w:tabs>
          <w:tab w:val="num" w:pos="1003"/>
        </w:tabs>
        <w:ind w:left="1134" w:firstLine="0"/>
      </w:pPr>
      <w:rPr>
        <w:b/>
        <w:bCs w:val="0"/>
        <w:i w:val="0"/>
        <w:iCs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ascii="Times New Roman" w:hAnsi="Times New Roman"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7">
    <w:nsid w:val="704433C2"/>
    <w:multiLevelType w:val="hybridMultilevel"/>
    <w:tmpl w:val="DAE63418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num w:numId="1">
    <w:abstractNumId w:val="10"/>
  </w:num>
  <w:num w:numId="2">
    <w:abstractNumId w:val="4"/>
  </w:num>
  <w:num w:numId="3">
    <w:abstractNumId w:val="13"/>
  </w:num>
  <w:num w:numId="4">
    <w:abstractNumId w:val="7"/>
  </w:num>
  <w:num w:numId="5">
    <w:abstractNumId w:val="17"/>
  </w:num>
  <w:num w:numId="6">
    <w:abstractNumId w:val="12"/>
  </w:num>
  <w:num w:numId="7">
    <w:abstractNumId w:val="15"/>
  </w:num>
  <w:num w:numId="8">
    <w:abstractNumId w:val="1"/>
  </w:num>
  <w:num w:numId="9">
    <w:abstractNumId w:val="8"/>
  </w:num>
  <w:num w:numId="10">
    <w:abstractNumId w:val="9"/>
  </w:num>
  <w:num w:numId="11">
    <w:abstractNumId w:val="14"/>
  </w:num>
  <w:num w:numId="12">
    <w:abstractNumId w:val="0"/>
  </w:num>
  <w:num w:numId="13">
    <w:abstractNumId w:val="5"/>
  </w:num>
  <w:num w:numId="14">
    <w:abstractNumId w:val="3"/>
  </w:num>
  <w:num w:numId="15">
    <w:abstractNumId w:val="6"/>
  </w:num>
  <w:num w:numId="16">
    <w:abstractNumId w:val="11"/>
  </w:num>
  <w:num w:numId="17">
    <w:abstractNumId w:val="2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isplayHorizont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Web"/>
    <w:qFormat/>
    <w:pPr>
      <w:widowControl w:val="0"/>
      <w:autoSpaceDE w:val="0"/>
      <w:autoSpaceDN w:val="0"/>
      <w:bidi w:val="0"/>
      <w:adjustRightInd w:val="0"/>
      <w:spacing w:after="120"/>
      <w:ind w:left="0" w:right="0"/>
      <w:jc w:val="both"/>
      <w:textAlignment w:val="auto"/>
    </w:pPr>
    <w:rPr>
      <w:sz w:val="24"/>
      <w:szCs w:val="24"/>
      <w:rtl w:val="0"/>
      <w:lang w:val="en-US" w:bidi="ar-SA"/>
    </w:rPr>
  </w:style>
  <w:style w:type="paragraph" w:styleId="Heading1">
    <w:name w:val="heading 1"/>
    <w:basedOn w:val="Normal"/>
    <w:next w:val="Normal"/>
    <w:uiPriority w:val="9"/>
    <w:qFormat/>
    <w:pPr>
      <w:keepNext/>
      <w:jc w:val="both"/>
      <w:outlineLvl w:val="0"/>
    </w:pPr>
    <w:rPr>
      <w:b/>
      <w:noProof/>
      <w:lang w:val="sk-SK"/>
    </w:rPr>
  </w:style>
  <w:style w:type="paragraph" w:styleId="Heading2">
    <w:name w:val="heading 2"/>
    <w:basedOn w:val="Normal"/>
    <w:next w:val="Normal"/>
    <w:uiPriority w:val="9"/>
    <w:qFormat/>
    <w:pPr>
      <w:keepNext/>
      <w:jc w:val="center"/>
      <w:outlineLvl w:val="1"/>
    </w:pPr>
    <w:rPr>
      <w:b/>
      <w:noProof/>
      <w:lang w:val="sk-SK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UKA-nadpis">
    <w:name w:val="TABUĽKA-nadpis"/>
    <w:pPr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b/>
      <w:sz w:val="24"/>
      <w:szCs w:val="24"/>
      <w:rtl w:val="0"/>
      <w:lang w:val="sk-SK" w:bidi="ar-SA"/>
    </w:rPr>
  </w:style>
  <w:style w:type="paragraph" w:styleId="NormalWeb">
    <w:name w:val="Normal (Web)"/>
    <w:basedOn w:val="Normal"/>
    <w:pPr>
      <w:jc w:val="both"/>
    </w:pPr>
  </w:style>
  <w:style w:type="paragraph" w:customStyle="1" w:styleId="TABUKA-nadpismal">
    <w:name w:val="TABUĽKA-nadpis malý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b/>
      <w:sz w:val="24"/>
      <w:szCs w:val="24"/>
      <w:rtl w:val="0"/>
      <w:lang w:val="sk-SK" w:bidi="ar-SA"/>
    </w:rPr>
  </w:style>
  <w:style w:type="paragraph" w:styleId="Title">
    <w:name w:val="Title"/>
    <w:basedOn w:val="Normal"/>
    <w:uiPriority w:val="10"/>
    <w:qFormat/>
    <w:pPr>
      <w:spacing w:after="0"/>
      <w:jc w:val="center"/>
    </w:pPr>
    <w:rPr>
      <w:b/>
      <w:szCs w:val="20"/>
      <w:lang w:val="sk-SK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both"/>
    </w:pPr>
  </w:style>
  <w:style w:type="character" w:styleId="PageNumber">
    <w:name w:val="page number"/>
    <w:basedOn w:val="DefaultParagraphFont"/>
    <w:rPr>
      <w:sz w:val="16"/>
      <w:szCs w:val="16"/>
      <w:rtl w:val="0"/>
    </w:rPr>
  </w:style>
  <w:style w:type="paragraph" w:customStyle="1" w:styleId="TABUKA-nadpisstpcov">
    <w:name w:val="TABUĽKA-nadpis stĺpcov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b/>
      <w:sz w:val="24"/>
      <w:szCs w:val="24"/>
      <w:rtl w:val="0"/>
      <w:lang w:val="sk-SK" w:bidi="ar-SA"/>
    </w:rPr>
  </w:style>
  <w:style w:type="paragraph" w:customStyle="1" w:styleId="TABUKA-textsmernice">
    <w:name w:val="TABUĽKA-text smernice"/>
    <w:pPr>
      <w:widowControl w:val="0"/>
      <w:autoSpaceDE w:val="0"/>
      <w:autoSpaceDN w:val="0"/>
      <w:bidi w:val="0"/>
      <w:adjustRightInd w:val="0"/>
      <w:ind w:left="0" w:right="0"/>
      <w:jc w:val="both"/>
      <w:textAlignment w:val="auto"/>
    </w:pPr>
    <w:rPr>
      <w:sz w:val="20"/>
      <w:szCs w:val="24"/>
      <w:rtl w:val="0"/>
      <w:lang w:val="sk-SK" w:bidi="ar-SA"/>
    </w:rPr>
  </w:style>
  <w:style w:type="paragraph" w:styleId="FootnoteText">
    <w:name w:val="footnote text"/>
    <w:basedOn w:val="Normal"/>
    <w:semiHidden/>
    <w:pPr>
      <w:spacing w:after="0"/>
      <w:jc w:val="left"/>
    </w:pPr>
    <w:rPr>
      <w:sz w:val="20"/>
      <w:szCs w:val="20"/>
      <w:lang w:val="sk-SK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customStyle="1" w:styleId="DONOTTRANSLATE">
    <w:name w:val="DO_NOT_TRANSLATE"/>
    <w:rPr>
      <w:rFonts w:ascii="Courier New" w:hAnsi="Courier New" w:cs="Courier New"/>
      <w:noProof/>
      <w:color w:val="800000"/>
      <w:rtl w:val="0"/>
    </w:rPr>
  </w:style>
  <w:style w:type="paragraph" w:styleId="BodyTextIndent2">
    <w:name w:val="Body Text Indent 2"/>
    <w:basedOn w:val="Normal"/>
    <w:pPr>
      <w:spacing w:after="0"/>
      <w:ind w:hanging="180"/>
      <w:jc w:val="both"/>
    </w:pPr>
    <w:rPr>
      <w:lang w:val="sk-SK"/>
    </w:rPr>
  </w:style>
  <w:style w:type="paragraph" w:styleId="BodyTextIndent3">
    <w:name w:val="Body Text Indent 3"/>
    <w:basedOn w:val="Normal"/>
    <w:pPr>
      <w:ind w:left="283"/>
      <w:jc w:val="both"/>
    </w:pPr>
    <w:rPr>
      <w:sz w:val="16"/>
      <w:szCs w:val="16"/>
    </w:rPr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pPr>
      <w:spacing w:after="0"/>
      <w:jc w:val="both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jc w:val="both"/>
    </w:pPr>
  </w:style>
  <w:style w:type="paragraph" w:customStyle="1" w:styleId="Zkladntext">
    <w:name w:val="Základní text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paragraph" w:customStyle="1" w:styleId="Normlnywebov8">
    <w:name w:val="Normálny (webový)8"/>
    <w:basedOn w:val="Normal"/>
    <w:pPr>
      <w:spacing w:before="75" w:after="75"/>
      <w:ind w:left="225" w:right="225"/>
      <w:jc w:val="left"/>
    </w:pPr>
    <w:rPr>
      <w:sz w:val="22"/>
      <w:szCs w:val="22"/>
      <w:lang w:val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699</Words>
  <Characters>3988</Characters>
  <Application>Microsoft Office Word</Application>
  <DocSecurity>0</DocSecurity>
  <Lines>0</Lines>
  <Paragraphs>0</Paragraphs>
  <ScaleCrop>false</ScaleCrop>
  <Company>Ministry of Finance</Company>
  <LinksUpToDate>false</LinksUpToDate>
  <CharactersWithSpaces>4897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TABUĹKA ZHODY</dc:title>
  <dc:creator>Zamecnikova Petra</dc:creator>
  <cp:lastModifiedBy>jingeliova</cp:lastModifiedBy>
  <cp:revision>2</cp:revision>
  <cp:lastPrinted>2005-08-03T09:20:00Z</cp:lastPrinted>
  <dcterms:created xsi:type="dcterms:W3CDTF">2006-02-22T11:59:00Z</dcterms:created>
  <dcterms:modified xsi:type="dcterms:W3CDTF">2006-02-22T11:59:00Z</dcterms:modified>
</cp:coreProperties>
</file>