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4"/>
        <w:rPr>
          <w:rFonts w:cs="Times New Roman"/>
        </w:rPr>
      </w:pPr>
      <w:r>
        <w:rPr>
          <w:rFonts w:cs="Times New Roman"/>
        </w:rPr>
        <w:t>TABUĽKA ZHODY</w:t>
      </w:r>
    </w:p>
    <w:p>
      <w:pPr>
        <w:pStyle w:val="Heading2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k  návrhu zákona, ktorým sa mení  a  dopĺňa zákon  č. 105/2004 Z. z.  o spotrebnej dani z liehu a o zmene a doplnení zákona č. 467/2002 Z. z. o výrobe a uvádzaní liehu na trh v znení zákona č. 211/2003 Z. z. v znení neskorších predpisov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s právom Európskych spoločenstiev a právom Európskej únie</w:t>
      </w: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1"/>
        <w:gridCol w:w="4394"/>
        <w:gridCol w:w="649"/>
        <w:gridCol w:w="726"/>
        <w:gridCol w:w="751"/>
        <w:gridCol w:w="4820"/>
        <w:gridCol w:w="425"/>
        <w:gridCol w:w="1008"/>
        <w:gridCol w:w="831"/>
        <w:gridCol w:w="967"/>
      </w:tblGrid>
      <w:tr>
        <w:tblPrEx>
          <w:tblW w:w="1525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5"/>
          <w:jc w:val="center"/>
        </w:trPr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Právny akt ES/EÚ</w:t>
            </w:r>
          </w:p>
          <w:p>
            <w:pPr>
              <w:pStyle w:val="Heading1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Smernica rady č. 94/74/ES z 22. decembra 1994,</w:t>
            </w: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ktorá mení a dopĺňa smernicu 92/12/EHS o všeobecných systémoch pre výrobky podliehajúce spotrebnej dani a o vlastníctve, pohybe a monitorov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aní takých výrobkov, smernicu 92/81/EHS o harmonizácii štruktúry spotrebných daní z minerálnych olejov a smernicu 92/82/EHS o aproximácii sadzieb spotrebných daní z minerálnych olejov</w:t>
            </w:r>
          </w:p>
        </w:tc>
        <w:tc>
          <w:tcPr>
            <w:tcW w:w="9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3"/>
              <w:ind w:right="0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Všeobecne záväzné právne predpisy SR</w:t>
            </w:r>
          </w:p>
          <w:p>
            <w:pPr>
              <w:pStyle w:val="Zkladntext"/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22"/>
              </w:rPr>
              <w:t>Návrh zákona, ktorým sa mení  a  do</w:t>
            </w:r>
            <w:r>
              <w:rPr>
                <w:rFonts w:ascii="Arial Narrow" w:hAnsi="Arial Narrow" w:cs="Times New Roman"/>
                <w:b/>
                <w:bCs/>
                <w:sz w:val="18"/>
                <w:szCs w:val="22"/>
              </w:rPr>
              <w:t>pĺňa zákon  č. 105/2004 Z. z.  o spotrebnej dani z liehu a o zmene a doplnení zákona č. 467/2002 Z. z. o výrobe a uvádzaní liehu na trh v znení zákona č. 211/2003 Z. z. v znení neskorších predpisov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18"/>
                <w:szCs w:val="22"/>
              </w:rPr>
              <w:t>( ďalej len „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návrh zákona“)</w:t>
            </w:r>
          </w:p>
          <w:p>
            <w:pPr>
              <w:pStyle w:val="Zkladntext"/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22"/>
              </w:rPr>
              <w:t>Zákon  č. 105/2004 Z. z.  o spotrebnej dani z liehu a o zmene a doplnení zákona č. 467/2002 Z. z. o výrobe a uvádzaní liehu na trh v znení zákona č. 211/2003 Z. z. v znení neskorších predpisov ( ďalej len „zákon č. 105/2004“)</w:t>
            </w:r>
          </w:p>
          <w:p>
            <w:pPr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Text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Spô sob transpozície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Číslo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Článok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Text</w:t>
            </w: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Zhoda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Adm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inistratívna infraštruktúra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Poznámky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Štádium legislatívneho procesu </w:t>
            </w: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Čl.1 ods.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spacing w:before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Smernica 92/12/EHS sa mení a dopĺňa nasledovne:</w:t>
            </w:r>
          </w:p>
          <w:p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spacing w:before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5. Článok 15 sa mení a dopĺňa  nasledovne:</w:t>
            </w:r>
          </w:p>
          <w:p>
            <w:pPr>
              <w:pStyle w:val="BodyText"/>
              <w:tabs>
                <w:tab w:val="left" w:pos="426"/>
              </w:tabs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ab/>
              <w:t>(</w:t>
            </w:r>
            <w:r>
              <w:rPr>
                <w:rFonts w:ascii="Arial Narrow" w:hAnsi="Arial Narrow" w:cs="Times New Roman"/>
                <w:sz w:val="18"/>
                <w:szCs w:val="22"/>
              </w:rPr>
              <w:t>a)</w:t>
              <w:tab/>
              <w:t xml:space="preserve">odsek 1 sa nahrádza nasledovne: </w:t>
            </w:r>
          </w:p>
          <w:p>
            <w:pPr>
              <w:pStyle w:val="BodyText"/>
              <w:tabs>
                <w:tab w:val="left" w:pos="426"/>
              </w:tabs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1.,,Bez ohľadu na opatrenia článkov 5(2),16, 19(4) a 23 (1a), pohyb výrobkov, ktoré podliehajú spotrebnej dani v čase pozastavenia dohôd, sa musí uskutočniť medzi daňovými skladmi.</w:t>
            </w: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Prvý pododsek bude platiť pre pohyb výrobkov v rámci spoločenstva podliehajúcim spotrebnej dani na nulovej úrovni, ktoré neboli uvoľnené na spotrebu.“;</w:t>
            </w: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spacing w:before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(b)</w:t>
              <w:tab/>
              <w:t>odsek 3 sa nahrádza nasledovne:</w:t>
            </w:r>
          </w:p>
          <w:p>
            <w:pPr>
              <w:pStyle w:val="BodyTextIndent"/>
              <w:tabs>
                <w:tab w:val="left" w:pos="426"/>
                <w:tab w:val="left" w:pos="851"/>
                <w:tab w:val="left" w:pos="1701"/>
                <w:tab w:val="left" w:pos="2127"/>
                <w:tab w:val="left" w:pos="2552"/>
              </w:tabs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 xml:space="preserve">3. ,,Sprievodné riziká pri pohybe v rámci spoločenstva musia byť pokryté zárukou poskytnutou autorizovaným majiteľom skladu odoslania, ako je uvedené v článku 13 alebo, ak je to potrebné zárukou spoločne a jednotlivo záväznou pre odosielateľa i dopravcu. Kompetentné úrady v členskom štáte môžu povoliť dopravcovi alebo vlastníkovi výrobkov poskytnúť záruku na mieste poskytnutom autorizovaným majiteľom skladu odoslania. Ak je to vhodné, členský štát môže požadovať od príjemcu poskytnutie záruky. </w:t>
            </w:r>
          </w:p>
          <w:p>
            <w:pPr>
              <w:pStyle w:val="BodyTextIndent"/>
              <w:tabs>
                <w:tab w:val="left" w:pos="426"/>
                <w:tab w:val="left" w:pos="851"/>
                <w:tab w:val="left" w:pos="1701"/>
                <w:tab w:val="left" w:pos="2127"/>
                <w:tab w:val="left" w:pos="2552"/>
              </w:tabs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ab/>
              <w:t>Ak sú minerálne oleje, ktoré podliehajú spotrebnej dani prepravované v rámci spoločenstva po mori alebo potrubím, členské štáty môžu oslobodiť majiteľa skladu odoslania od povinnosti poskytnúť záruku uvedenú v prvom odseku.</w:t>
            </w:r>
          </w:p>
          <w:p>
            <w:pPr>
              <w:pStyle w:val="BodyTextIndent"/>
              <w:tabs>
                <w:tab w:val="left" w:pos="426"/>
                <w:tab w:val="left" w:pos="851"/>
                <w:tab w:val="left" w:pos="1701"/>
                <w:tab w:val="left" w:pos="2127"/>
                <w:tab w:val="left" w:pos="2552"/>
              </w:tabs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ab/>
              <w:t>Podrobné pravidlá pre záruku musia byť stanovené členskými štátmi. Záruka musí byť platná v celom spoločenstve.“</w:t>
            </w:r>
          </w:p>
          <w:p>
            <w:pPr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>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Zákon č. 105/ 2004 a 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návrh  zákona</w:t>
            </w: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Návrh  zákona</w:t>
            </w: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Zákon č. 105/ 2004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 xml:space="preserve">§ 26 ods.1 </w:t>
            </w:r>
            <w:r>
              <w:rPr>
                <w:rFonts w:ascii="Arial Narrow" w:hAnsi="Arial Narrow" w:cs="Times New Roman"/>
                <w:b/>
                <w:sz w:val="18"/>
                <w:szCs w:val="22"/>
                <w:lang w:val="sk-SK"/>
              </w:rPr>
              <w:t>pís.a)</w:t>
            </w: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 xml:space="preserve"> </w:t>
            </w: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 xml:space="preserve">pís.b) </w:t>
            </w: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  <w:r>
              <w:rPr>
                <w:rFonts w:ascii="Arial Narrow" w:hAnsi="Arial Narrow" w:cs="Times New Roman"/>
                <w:sz w:val="18"/>
                <w:szCs w:val="22"/>
                <w:lang w:val="sk-SK"/>
              </w:rPr>
              <w:t xml:space="preserve">pís.c) </w:t>
            </w:r>
          </w:p>
          <w:p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sz w:val="18"/>
                <w:szCs w:val="22"/>
                <w:lang w:val="sk-SK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pís.d)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 xml:space="preserve">ods.7 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ods.9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>Lieh v pozastavení dane je možné prepravovať</w:t>
            </w: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jc w:val="both"/>
              <w:rPr>
                <w:rFonts w:ascii="Arial Narrow" w:hAnsi="Arial Narrow" w:cs="Times New Roman"/>
                <w:sz w:val="18"/>
                <w:szCs w:val="22"/>
                <w:vertAlign w:val="superscript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 xml:space="preserve"> z daňového skladu  na daňovom území  do daňového skladu  alebo oprávnenému príjemcovi, alebo  daňovému splnomocnencovi v inom  členskom štáte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alebo slovenskému zástupcovi (§ 37a ods. 15), alebo ozbrojeným silám Slovenskej republiky, a ich civilným zamestnancom na použitie v súvislosti s aktivitami podľa medzinárodnej zmluvy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 xml:space="preserve">12)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na územie štátov, ktoré sú stranami Severoatlantickej zmluvy; preprava liehu slovenskému zástupcovi (§ 37a ods. 15), alebo ozbrojeným silám Slovenskej republiky, a ich civilným zamestnancom na použitie v súvislosti s aktivitami podľa medzinárodnej zmluvy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 xml:space="preserve">12)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na územie štátov, ktoré sú stranami Severoatlantickej zmluvy sa musí uskutočniť so sprievodným dokumentom, musí byť doložená osvedčením o oslobodení od spotrebnej dane vyhotoveným podľa vzoru a spôsobom ustanoveným v osobitnom predpise,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>13</w:t>
            </w: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18"/>
                <w:szCs w:val="22"/>
              </w:rPr>
              <w:t>z daňového  skladu  na  daňovom  území  do  daňového skladu na  daňovom území cez územie iného členského štátu,</w:t>
            </w: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 xml:space="preserve">  z daňového  skladu v  inom členskom  štáte do  daňového skladu alebo  oprávnenému príjemcovi,  alebo daňovému splnomocnencovi  na daňovom území,</w:t>
            </w: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 xml:space="preserve">  z daňového  skladu v  inom členskom  štáte do  daňového skladu  alebo  oprávnenému príjemcovi,  alebo daňovému splnomocnencovi  v inom členskom štáte cez daňové územie.</w:t>
            </w: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22"/>
              </w:rPr>
            </w:pPr>
            <w:r>
              <w:rPr>
                <w:rFonts w:ascii="Arial Narrow" w:hAnsi="Arial Narrow" w:cs="Tms Rmn"/>
                <w:b/>
                <w:color w:val="000000"/>
                <w:sz w:val="18"/>
                <w:szCs w:val="22"/>
              </w:rPr>
              <w:t xml:space="preserve">Na lieh, ktorý sa má prepravovať v pozastavení dane podľa odseku 1 písm. a) a b), musí byť vždy zložená zábezpeka na daň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s výnimkou prepravy liehu slovenskému zástupcovi (§ 37a ods. 15) alebo ozbrojeným silám Slovenskej republiky, a ich civilným zamestnancom na použitie v súvislosti s aktivitami podľa medzinárodnej zmluvy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 xml:space="preserve">12)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na územie štátov, ktoré sú stranami Severoa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tlantickej zmluvy</w:t>
            </w:r>
            <w:r>
              <w:rPr>
                <w:rFonts w:ascii="Arial Narrow" w:hAnsi="Arial Narrow" w:cs="Tms Rmn"/>
                <w:b/>
                <w:color w:val="000000"/>
                <w:sz w:val="18"/>
                <w:szCs w:val="22"/>
              </w:rPr>
              <w:t>.  Zábezpeku na daň zloží odosielateľ (dodávateľ) vo výške dane pripadajúcej na množstvo prepravovaného liehu.  Zloženie zábezpeky na daň na lieh, ktorý sa má prepravovať v pozastavení dane, sa nevyžaduje, ak zábezpeka na daň podľa § 24 ods.  1 je zložená v takej výške, že pokrýva i zábezpeku na daň na lieh, ktorý sa má prepravovať v pozastavení dane.  Zábezpeka na daň zložená v inom členskom štáte je platná na daňovom území. Colný úrad na požiadanie povolí, aby namiesto odosielateľa (dodávateľa) zložil zábezpeku na daň dopravca alebo príjemca (odberateľ), ak sa tak odosielateľ (dodávateľ) a dopravca alebo príjemca (odberateľ) dohodli.  Zloženú zábezpeku na daň colný úrad na požiadanie vráti, ak prevzatie liehu potvrdí príjemca (odberateľ)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 na treťom diele sprievodného dokumentu</w:t>
            </w:r>
            <w:r>
              <w:rPr>
                <w:rFonts w:ascii="Arial Narrow" w:hAnsi="Arial Narrow" w:cs="Tms Rmn"/>
                <w:b/>
                <w:color w:val="000000"/>
                <w:sz w:val="18"/>
                <w:szCs w:val="22"/>
              </w:rPr>
              <w:t xml:space="preserve">;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potvrdenie správcu dane iného členského štátu o prevzatí liehu príjemcom (odberateľom) sa vyžaduje, ak tento správca dane je povinný podľa právnych predpisov príslušného členského štátu potvrdzovať tretí diel sprievod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ného dokumentu.</w:t>
            </w: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jc w:val="both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>Preprava  liehu v  pozastavení dane  z daňového  skladu na daňovom území oprávnenému príjemcovi  v inom členskom štáte, ktorý má povolenie prijímať lieh  v pozastavení dane príležitostne, musí byť  doložená  dokladom  potvrdzujúcim  vysporiadanie  dane v inom v členskom štáte.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 xml:space="preserve"> 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MF SR, Colné riaditeľstvo SR ,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colné úrady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Čl.1 ods.8 pís.c)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spacing w:before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Článok 19 sa mení a dopĺňa nasledovne:</w:t>
            </w:r>
          </w:p>
          <w:p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spacing w:before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(c)</w:t>
              <w:tab/>
              <w:t>odsek 4 sa nahrádza nasledovne:</w:t>
            </w:r>
          </w:p>
          <w:p>
            <w:pPr>
              <w:pStyle w:val="BodyTextIndent3"/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ind w:left="0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4. ,,Výrobkom podliehajúcim spotrebnej dani, ktoré sú odoslané autorizovaným majiteľom skladu etablovaným v členskom štáte na vývoz cez jeden alebo viaceré ďalšie členské štáty, môže byť povolené pohybovať sa za podmienok dohôd o pozastavení daní definovaných v článku 4 (c). Tieto dohody musia byť splnené atestáciou vyhotovenou colným úradom odoslania zo spoločenstva potvrdzujúcou, že výrobky skutočne opustili spoločenstvo. Tento úrad musí poslať naspäť odosielateľovi jemu určenú potvrdenú kópiu sprievodného dokumentu.“</w:t>
            </w:r>
          </w:p>
          <w:p>
            <w:pPr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Návrh  zákona 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§ 32 ods.2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ms Rmn"/>
                <w:b/>
                <w:color w:val="000000"/>
                <w:sz w:val="18"/>
                <w:szCs w:val="22"/>
              </w:rPr>
              <w:t>Pri vývoze liehu na územie tretieho štátu sa uplatní postup pri preprave liehu v pozastavení dane, a to aj vtedy, ak sa lieh prepravuje cez jeden alebo viacero členských štátov, pričom sa v sprievodnom dokumente namiesto príjemcu uvedie colný úrad výstupu. Preprava liehu v pozastavení dane sa považuje za ukončenú dňom potvrdenia výstupu liehu z územia únie colným úradom výstupu na treťom diele sprievodného dokumentu. Ak sa ako sprievodný dokument použije jednotný colný doklad, preprava liehu v pozastavení dane sa považuje za ukončenú dňom potvrdenia výstupu liehu z územia únie colným úradom výstupu na piatom diele jednotného colného dokladu. Na prepravu liehu v pozastavení dane sa použije § 26 ods.  2 a 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Čl.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left" w:pos="426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</w:rPr>
              <w:t>1</w:t>
            </w:r>
            <w:r>
              <w:rPr>
                <w:rFonts w:ascii="Arial Narrow" w:hAnsi="Arial Narrow" w:cs="Times New Roman"/>
                <w:b w:val="0"/>
                <w:noProof/>
                <w:sz w:val="18"/>
              </w:rPr>
              <w:t>. Členské štáty uvedú do účinnosti zákony, iné právne predpisy a správne opatrenia potrebné na dosiahnutie súladu s touto smernicou najneskôr do 1. júla 1995. Bezodkladne o tom budú informovať Komisiu.</w:t>
            </w:r>
          </w:p>
          <w:p>
            <w:pPr>
              <w:tabs>
                <w:tab w:val="left" w:pos="426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</w:rPr>
            </w:pPr>
          </w:p>
          <w:p>
            <w:pPr>
              <w:tabs>
                <w:tab w:val="left" w:pos="426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</w:rPr>
            </w:pPr>
          </w:p>
          <w:p>
            <w:pPr>
              <w:tabs>
                <w:tab w:val="left" w:pos="426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</w:rPr>
              <w:t>Keď členské štáty prijmú tieto opatrenia, tieto budú obsahovať odkaz na túto smernicu alebo ich bude sprevádzať takýto odkaz pri príležitosti ich úradného uverejnenia. Metodiku týchto odkazov ustanovia členské štáty.</w:t>
            </w:r>
          </w:p>
          <w:p>
            <w:pPr>
              <w:tabs>
                <w:tab w:val="left" w:pos="426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</w:rPr>
              <w:t>2. Členské štáty oznámia Komisii znenie základných ustanovení vnútroštátneho práva, ktoré prijmú v oblasti upravenej touto smernicou.</w:t>
            </w:r>
          </w:p>
          <w:p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2127"/>
                <w:tab w:val="left" w:pos="2552"/>
              </w:tabs>
              <w:spacing w:before="120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Návrh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zákona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>Čl. III</w:t>
            </w: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 xml:space="preserve">Príloha č. 1 </w:t>
            </w: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>bod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Zkladntext"/>
              <w:tabs>
                <w:tab w:val="left" w:pos="360"/>
              </w:tabs>
              <w:spacing w:line="240" w:lineRule="atLeast"/>
              <w:jc w:val="both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Tento zákon nadobúda účinnosť 1. júla 2006 okrem bodu 16, ktorý nadobúda účinnosť 1. októbra 2006 a bodu  95, ktorý nadobúda účinnosť 1. januára 2007.</w:t>
            </w: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pStyle w:val="Zkladntext"/>
              <w:tabs>
                <w:tab w:val="left" w:pos="360"/>
              </w:tabs>
              <w:spacing w:line="240" w:lineRule="atLeast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Zoznam preberaných právnych aktov Európskych spoločenstiev a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 Európskej únie</w:t>
            </w: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both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pStyle w:val="BodyText"/>
              <w:rPr>
                <w:rFonts w:ascii="Arial Narrow" w:hAnsi="Arial Narrow" w:cs="Tms Rmn"/>
                <w:b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Smernica  Rady 92/12/EHS  z 25.02.1992  o všeobecných systémoch pre výrobky podliehajúce spotrebnej dani a o vlastníctve, pohybe  a monitorovaní takýchto výrobkov (Ú. v. ES  L  076,  23.03.1992) v  znení smernice  Rady 92/108/EHS zo 14.12.1992 (Ú. v. ES L 390, 31.12.1992), smernice Rady  94/74/ES  z  22.12.1994  (Ú. v.  ES  L  365,  31.12.1994), smernice  Rady  96/99/ES  z   30.12.1996  (Ú. v.  ES  L  008, 11.01.1997), smernice Rady 2000/44/ES z 30. 06. 2000 (Ú. v.  ES  L 161, 01.07.2000), smernice Rady 2000/47/ES z 20. 07. 2000 (Ú. v.  ES L 193, 29.07.2000), nariadenia Rady 807/2003/ES zo 14. 04. 2003 (Ú. v.  EÚ  L 122, 16.05.2003), smernice Rady 106/2004/ES zo 16. 11. 2004 (Ú. v.  EÚ  L 359, 04.12.2004) a Aktom o podmienkach pristúpenia pripojeným k Zmluve o pristúpení Slovenskej republiky k Európskej únii (Ú. v. EÚ L 236, 23.09.2003).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SR informuje Komisiu prostretníctvom notifikácie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  <w:szCs w:val="22"/>
              </w:rPr>
            </w:pPr>
          </w:p>
        </w:tc>
      </w:tr>
    </w:tbl>
    <w:p>
      <w:pPr>
        <w:rPr>
          <w:rFonts w:ascii="Arial Narrow" w:hAnsi="Arial Narrow" w:cs="Times New Roman"/>
          <w:sz w:val="22"/>
          <w:szCs w:val="22"/>
        </w:rPr>
      </w:pPr>
    </w:p>
    <w:sectPr>
      <w:footerReference w:type="even" r:id="rId4"/>
      <w:footerReference w:type="default" r:id="rId5"/>
      <w:pgSz w:w="16840" w:h="11907" w:orient="landscape" w:code="9"/>
      <w:pgMar w:top="1191" w:right="1191" w:bottom="1191" w:left="1191" w:header="397" w:footer="397" w:gutter="0"/>
      <w:pgNumType w:start="15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ms Rm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  <w:sz w:val="16"/>
      </w:rPr>
    </w:pP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474"/>
    <w:multiLevelType w:val="hybridMultilevel"/>
    <w:tmpl w:val="12989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D02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805511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">
    <w:nsid w:val="0B92085E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4">
    <w:nsid w:val="0F7F27E1"/>
    <w:multiLevelType w:val="hybridMultilevel"/>
    <w:tmpl w:val="3E9AF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D7870"/>
    <w:multiLevelType w:val="hybridMultilevel"/>
    <w:tmpl w:val="1726718C"/>
    <w:lvl w:ilvl="0">
      <w:start w:val="2"/>
      <w:numFmt w:val="lowerLetter"/>
      <w:lvlText w:val="%1)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5B7714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E80A51"/>
    <w:multiLevelType w:val="hybrid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8739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4481AC7"/>
    <w:multiLevelType w:val="singleLevel"/>
    <w:tmpl w:val="DCE874A2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10">
    <w:nsid w:val="25C11713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">
    <w:nsid w:val="2C64280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2">
    <w:nsid w:val="2CAA277A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3">
    <w:nsid w:val="335E52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68E2080"/>
    <w:multiLevelType w:val="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D21F84"/>
    <w:multiLevelType w:val="multilevel"/>
    <w:tmpl w:val="6EE6C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6">
    <w:nsid w:val="39621A1C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42AF7427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9">
    <w:nsid w:val="4A8B6F0E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20">
    <w:nsid w:val="4AB53BF8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4D6315C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EF73014"/>
    <w:multiLevelType w:val="hybridMultilevel"/>
    <w:tmpl w:val="0DA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34204E"/>
    <w:multiLevelType w:val="multilevel"/>
    <w:tmpl w:val="CD747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A306F0"/>
    <w:multiLevelType w:val="singleLevel"/>
    <w:tmpl w:val="D25EF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77735DD"/>
    <w:multiLevelType w:val="hybridMultilevel"/>
    <w:tmpl w:val="0AD858C6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690"/>
      </w:pPr>
    </w:lvl>
    <w:lvl w:ilvl="1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(%3)"/>
      <w:lvlJc w:val="left"/>
      <w:pPr>
        <w:tabs>
          <w:tab w:val="num" w:pos="3300"/>
        </w:tabs>
        <w:ind w:left="3300" w:hanging="1260"/>
      </w:pPr>
    </w:lvl>
    <w:lvl w:ilvl="3">
      <w:start w:val="4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9000DA0"/>
    <w:multiLevelType w:val="multilevel"/>
    <w:tmpl w:val="CFB02E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886CB8"/>
    <w:multiLevelType w:val="singleLevel"/>
    <w:tmpl w:val="47F2A718"/>
    <w:lvl w:ilvl="0">
      <w:start w:val="1"/>
      <w:numFmt w:val="decimal"/>
      <w:lvlText w:val="(%1)"/>
      <w:lvlJc w:val="left"/>
      <w:pPr>
        <w:tabs>
          <w:tab w:val="num" w:pos="941"/>
        </w:tabs>
        <w:ind w:left="941" w:hanging="375"/>
      </w:pPr>
    </w:lvl>
  </w:abstractNum>
  <w:abstractNum w:abstractNumId="28">
    <w:nsid w:val="5FDF2804"/>
    <w:multiLevelType w:val="hybridMultilevel"/>
    <w:tmpl w:val="2A6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AA104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26614B"/>
    <w:multiLevelType w:val="singleLevel"/>
    <w:tmpl w:val="002E4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>
    <w:nsid w:val="675867A1"/>
    <w:multiLevelType w:val="multilevel"/>
    <w:tmpl w:val="ACA22E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2">
    <w:nsid w:val="68641F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9AF219D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34">
    <w:nsid w:val="6F817ED8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2A50422"/>
    <w:multiLevelType w:val="multilevel"/>
    <w:tmpl w:val="64D228CE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9"/>
  </w:num>
  <w:num w:numId="5">
    <w:abstractNumId w:val="30"/>
  </w:num>
  <w:num w:numId="6">
    <w:abstractNumId w:val="20"/>
  </w:num>
  <w:num w:numId="7">
    <w:abstractNumId w:val="8"/>
  </w:num>
  <w:num w:numId="8">
    <w:abstractNumId w:val="29"/>
  </w:num>
  <w:num w:numId="9">
    <w:abstractNumId w:val="11"/>
  </w:num>
  <w:num w:numId="10">
    <w:abstractNumId w:val="33"/>
  </w:num>
  <w:num w:numId="11">
    <w:abstractNumId w:val="34"/>
  </w:num>
  <w:num w:numId="12">
    <w:abstractNumId w:val="3"/>
  </w:num>
  <w:num w:numId="13">
    <w:abstractNumId w:val="24"/>
  </w:num>
  <w:num w:numId="14">
    <w:abstractNumId w:val="21"/>
  </w:num>
  <w:num w:numId="15">
    <w:abstractNumId w:val="6"/>
  </w:num>
  <w:num w:numId="16">
    <w:abstractNumId w:val="23"/>
  </w:num>
  <w:num w:numId="17">
    <w:abstractNumId w:val="31"/>
  </w:num>
  <w:num w:numId="18">
    <w:abstractNumId w:val="19"/>
  </w:num>
  <w:num w:numId="19">
    <w:abstractNumId w:val="15"/>
  </w:num>
  <w:num w:numId="20">
    <w:abstractNumId w:val="12"/>
  </w:num>
  <w:num w:numId="21">
    <w:abstractNumId w:val="2"/>
  </w:num>
  <w:num w:numId="22">
    <w:abstractNumId w:val="35"/>
  </w:num>
  <w:num w:numId="23">
    <w:abstractNumId w:val="10"/>
  </w:num>
  <w:num w:numId="24">
    <w:abstractNumId w:val="18"/>
  </w:num>
  <w:num w:numId="25">
    <w:abstractNumId w:val="22"/>
  </w:num>
  <w:num w:numId="26">
    <w:abstractNumId w:val="5"/>
  </w:num>
  <w:num w:numId="27">
    <w:abstractNumId w:val="28"/>
  </w:num>
  <w:num w:numId="28">
    <w:abstractNumId w:val="32"/>
  </w:num>
  <w:num w:numId="29">
    <w:abstractNumId w:val="7"/>
  </w:num>
  <w:num w:numId="30">
    <w:abstractNumId w:val="13"/>
  </w:num>
  <w:num w:numId="31">
    <w:abstractNumId w:val="4"/>
  </w:num>
  <w:num w:numId="32">
    <w:abstractNumId w:val="25"/>
  </w:num>
  <w:num w:numId="33">
    <w:abstractNumId w:val="26"/>
  </w:num>
  <w:num w:numId="34">
    <w:abstractNumId w:val="27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gutterAtTop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60"/>
      </w:tabs>
      <w:ind w:right="-285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ind w:left="4956" w:right="-993" w:firstLine="708"/>
      <w:jc w:val="left"/>
      <w:outlineLvl w:val="3"/>
    </w:pPr>
    <w:rPr>
      <w:rFonts w:ascii="Arial Narrow" w:hAnsi="Arial Narrow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overflowPunct w:val="0"/>
      <w:autoSpaceDE/>
      <w:autoSpaceDN/>
      <w:jc w:val="left"/>
      <w:textAlignment w:val="baseline"/>
    </w:pPr>
    <w:rPr>
      <w:noProof/>
      <w:sz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overflowPunct w:val="0"/>
      <w:autoSpaceDE/>
      <w:autoSpaceDN/>
      <w:spacing w:line="360" w:lineRule="auto"/>
      <w:ind w:firstLine="708"/>
      <w:jc w:val="both"/>
      <w:textAlignment w:val="baseline"/>
    </w:pPr>
    <w:rPr>
      <w:noProof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paragraph" w:styleId="BodyTextIndent">
    <w:name w:val="Body Text Indent"/>
    <w:basedOn w:val="Normal"/>
    <w:pPr>
      <w:spacing w:after="120"/>
      <w:ind w:left="284" w:hanging="284"/>
      <w:jc w:val="both"/>
    </w:pPr>
    <w:rPr>
      <w:noProof/>
      <w:lang w:val="en-GB"/>
    </w:rPr>
  </w:style>
  <w:style w:type="paragraph" w:styleId="BodyTextIndent3">
    <w:name w:val="Body Text Indent 3"/>
    <w:basedOn w:val="Normal"/>
    <w:pPr>
      <w:spacing w:after="120"/>
      <w:ind w:left="709"/>
      <w:jc w:val="both"/>
    </w:pPr>
    <w:rPr>
      <w:noProof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  <w:rtl w:val="0"/>
    </w:rPr>
  </w:style>
  <w:style w:type="paragraph" w:styleId="Title">
    <w:name w:val="Title"/>
    <w:basedOn w:val="Normal"/>
    <w:uiPriority w:val="10"/>
    <w:qFormat/>
    <w:pPr>
      <w:spacing w:after="120"/>
      <w:jc w:val="center"/>
    </w:pPr>
    <w:rPr>
      <w:b/>
      <w:noProof/>
      <w:lang w:val="en-GB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customStyle="1" w:styleId="Point1">
    <w:name w:val="Point 1"/>
    <w:basedOn w:val="Normal"/>
    <w:pPr>
      <w:spacing w:before="120" w:after="120"/>
      <w:ind w:left="1417" w:hanging="567"/>
      <w:jc w:val="both"/>
    </w:pPr>
    <w:rPr>
      <w:szCs w:val="24"/>
      <w:lang w:val="en-GB" w:eastAsia="ko-KR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pPr>
      <w:tabs>
        <w:tab w:val="left" w:pos="284"/>
      </w:tabs>
      <w:spacing w:after="120"/>
      <w:ind w:left="284"/>
      <w:jc w:val="both"/>
    </w:p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umPar1">
    <w:name w:val="NumPar 1"/>
    <w:basedOn w:val="Normal"/>
    <w:next w:val="Normal"/>
    <w:pPr>
      <w:numPr>
        <w:ilvl w:val="0"/>
        <w:numId w:val="57"/>
      </w:numPr>
      <w:tabs>
        <w:tab w:val="left" w:pos="360"/>
      </w:tabs>
      <w:spacing w:before="120" w:after="120"/>
      <w:ind w:left="360" w:hanging="360"/>
      <w:jc w:val="both"/>
    </w:pPr>
    <w:rPr>
      <w:szCs w:val="24"/>
      <w:lang w:val="en-GB" w:eastAsia="ko-KR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1320</Words>
  <Characters>7528</Characters>
  <Application>Microsoft Office Word</Application>
  <DocSecurity>0</DocSecurity>
  <Lines>0</Lines>
  <Paragraphs>0</Paragraphs>
  <ScaleCrop>false</ScaleCrop>
  <Company>Ministry of Finance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Zamecnikova Petra</dc:creator>
  <cp:lastModifiedBy>jingeliova</cp:lastModifiedBy>
  <cp:revision>2</cp:revision>
  <cp:lastPrinted>2005-07-19T14:19:00Z</cp:lastPrinted>
  <dcterms:created xsi:type="dcterms:W3CDTF">2006-02-22T11:58:00Z</dcterms:created>
  <dcterms:modified xsi:type="dcterms:W3CDTF">2006-02-22T11:58:00Z</dcterms:modified>
</cp:coreProperties>
</file>