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4"/>
        <w:rPr>
          <w:rFonts w:cs="Times New Roman"/>
        </w:rPr>
      </w:pPr>
      <w:r>
        <w:rPr>
          <w:rFonts w:cs="Times New Roman"/>
        </w:rPr>
        <w:t xml:space="preserve"> </w:t>
        <w:tab/>
        <w:tab/>
        <w:tab/>
        <w:tab/>
        <w:tab/>
        <w:tab/>
        <w:tab/>
        <w:tab/>
        <w:t>TABUĽKA ZHODY</w:t>
      </w:r>
    </w:p>
    <w:p>
      <w:pPr>
        <w:pStyle w:val="Heading2"/>
        <w:rPr>
          <w:rFonts w:ascii="Arial Narrow" w:hAnsi="Arial Narrow" w:cs="Times New Roman"/>
          <w:sz w:val="22"/>
          <w:szCs w:val="22"/>
        </w:rPr>
      </w:pPr>
      <w:r>
        <w:rPr>
          <w:rFonts w:ascii="Arial Narrow" w:hAnsi="Arial Narrow" w:cs="Times New Roman"/>
          <w:sz w:val="22"/>
          <w:szCs w:val="22"/>
        </w:rPr>
        <w:t>k n</w:t>
      </w:r>
      <w:r>
        <w:rPr>
          <w:rFonts w:ascii="Arial Narrow" w:hAnsi="Arial Narrow" w:cs="Times New Roman"/>
          <w:bCs/>
          <w:sz w:val="22"/>
          <w:szCs w:val="22"/>
        </w:rPr>
        <w:t>ávrhu zákona, ktorým sa mení  a  dopĺňa zákon  č. 105/2004 Z. z.  o spotrebnej dani z liehu a o zmene a doplnení zákona č. 467/2002 Z. z. o výrobe a uvádzaní liehu na trh v znení zákona č. 211/2003 Z. z. v znení neskorších predpis</w:t>
      </w:r>
      <w:r>
        <w:rPr>
          <w:rFonts w:ascii="Arial Narrow" w:hAnsi="Arial Narrow" w:cs="Times New Roman"/>
          <w:bCs/>
          <w:sz w:val="22"/>
          <w:szCs w:val="22"/>
        </w:rPr>
        <w:t xml:space="preserve">ov </w:t>
      </w:r>
      <w:r>
        <w:rPr>
          <w:rFonts w:ascii="Arial Narrow" w:hAnsi="Arial Narrow" w:cs="Times New Roman"/>
          <w:sz w:val="22"/>
          <w:szCs w:val="22"/>
        </w:rPr>
        <w:t>s právom Európskych spoločenstiev a právom Európskej únie</w:t>
      </w:r>
    </w:p>
    <w:tbl>
      <w:tblPr>
        <w:tblW w:w="15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539"/>
        <w:gridCol w:w="4536"/>
        <w:gridCol w:w="567"/>
        <w:gridCol w:w="567"/>
        <w:gridCol w:w="567"/>
        <w:gridCol w:w="4536"/>
        <w:gridCol w:w="425"/>
        <w:gridCol w:w="851"/>
        <w:gridCol w:w="1843"/>
        <w:gridCol w:w="821"/>
      </w:tblGrid>
      <w:tr>
        <w:tblPrEx>
          <w:tblW w:w="15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165"/>
          <w:jc w:val="center"/>
        </w:trPr>
        <w:tc>
          <w:tcPr>
            <w:tcW w:w="5642"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Právny akt ES/EÚ</w:t>
            </w:r>
          </w:p>
          <w:p>
            <w:pPr>
              <w:spacing w:line="240" w:lineRule="atLeast"/>
              <w:rPr>
                <w:rFonts w:ascii="Arial Narrow" w:hAnsi="Arial Narrow" w:cs="Times New Roman"/>
                <w:b/>
                <w:sz w:val="18"/>
                <w:szCs w:val="22"/>
              </w:rPr>
            </w:pPr>
            <w:r>
              <w:rPr>
                <w:rFonts w:ascii="Arial Narrow" w:hAnsi="Arial Narrow" w:cs="Times New Roman"/>
                <w:b/>
                <w:sz w:val="18"/>
                <w:szCs w:val="22"/>
              </w:rPr>
              <w:t>SMERNICA RADY 92/84/EHS</w:t>
            </w:r>
          </w:p>
          <w:p>
            <w:pPr>
              <w:spacing w:line="240" w:lineRule="atLeast"/>
              <w:rPr>
                <w:rFonts w:ascii="Arial Narrow" w:hAnsi="Arial Narrow" w:cs="Times New Roman"/>
                <w:b/>
                <w:sz w:val="18"/>
                <w:szCs w:val="22"/>
              </w:rPr>
            </w:pPr>
            <w:r>
              <w:rPr>
                <w:rFonts w:ascii="Arial Narrow" w:hAnsi="Arial Narrow" w:cs="Times New Roman"/>
                <w:b/>
                <w:sz w:val="18"/>
                <w:szCs w:val="22"/>
              </w:rPr>
              <w:t>zo dňa 19. októbra 1992 o aproximácii  sadzieb spotrebnej dane na alkohol a alkoholické nápoje</w:t>
            </w:r>
          </w:p>
        </w:tc>
        <w:tc>
          <w:tcPr>
            <w:tcW w:w="9610"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3"/>
              <w:ind w:right="0"/>
              <w:rPr>
                <w:rFonts w:ascii="Arial Narrow" w:hAnsi="Arial Narrow" w:cs="Times New Roman"/>
                <w:sz w:val="18"/>
                <w:szCs w:val="22"/>
              </w:rPr>
            </w:pPr>
            <w:r>
              <w:rPr>
                <w:rFonts w:ascii="Arial Narrow" w:hAnsi="Arial Narrow" w:cs="Times New Roman"/>
                <w:sz w:val="18"/>
                <w:szCs w:val="22"/>
              </w:rPr>
              <w:t>Všeobecne záväzné právne predpisy SR</w:t>
            </w:r>
          </w:p>
          <w:p>
            <w:pPr>
              <w:pStyle w:val="Zkladntext"/>
              <w:tabs>
                <w:tab w:val="left" w:pos="360"/>
              </w:tabs>
              <w:jc w:val="both"/>
              <w:rPr>
                <w:rFonts w:ascii="Arial Narrow" w:hAnsi="Arial Narrow" w:cs="Times New Roman"/>
                <w:b/>
                <w:bCs/>
                <w:color w:val="auto"/>
                <w:sz w:val="18"/>
                <w:szCs w:val="22"/>
              </w:rPr>
            </w:pPr>
            <w:r>
              <w:rPr>
                <w:rFonts w:ascii="Arial Narrow" w:hAnsi="Arial Narrow" w:cs="Times New Roman"/>
                <w:b/>
                <w:bCs/>
                <w:color w:val="auto"/>
                <w:sz w:val="18"/>
                <w:szCs w:val="22"/>
              </w:rPr>
              <w:t>Návrh zákona, ktorým sa mení  a  dopĺňa zákon  č. 105/2004 Z. z.  o spotrebnej dani z liehu a o zmene a doplnení zákona č. 467/2002 Z. z. o výrobe a uvádzaní liehu na trh v znení zákona č. 211/2003 Z. z. v znení neskorších predpisov ( ďalej len „návrh  zákona“)</w:t>
            </w:r>
          </w:p>
          <w:p>
            <w:pPr>
              <w:pStyle w:val="Zkladntext"/>
              <w:tabs>
                <w:tab w:val="left" w:pos="360"/>
              </w:tabs>
              <w:jc w:val="both"/>
              <w:rPr>
                <w:rFonts w:ascii="Arial Narrow" w:hAnsi="Arial Narrow" w:cs="Times New Roman"/>
                <w:b/>
                <w:bCs/>
                <w:sz w:val="18"/>
                <w:szCs w:val="22"/>
              </w:rPr>
            </w:pPr>
            <w:r>
              <w:rPr>
                <w:rFonts w:ascii="Arial Narrow" w:hAnsi="Arial Narrow" w:cs="Times New Roman"/>
                <w:b/>
                <w:bCs/>
                <w:color w:val="auto"/>
                <w:sz w:val="18"/>
                <w:szCs w:val="22"/>
              </w:rPr>
              <w:t>Zákon č. 105/2004 Z. z.  o spotrebnej dani z liehu a o zmene a doplnení zákona č. 467/2002 Z. z. o výrobe a uvádzaní liehu na trh v znení zákona č. 211/2003 Z. z.. v znení neskorších predpisov ( ďalej len „zákon č. 105/2004“)</w:t>
            </w: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sz w:val="18"/>
                <w:szCs w:val="22"/>
              </w:rPr>
              <w:t xml:space="preserve"> </w:t>
            </w:r>
            <w:r>
              <w:rPr>
                <w:rFonts w:ascii="Arial Narrow" w:hAnsi="Arial Narrow" w:cs="Times New Roman"/>
                <w:b/>
                <w:sz w:val="18"/>
                <w:szCs w:val="22"/>
              </w:rPr>
              <w:t>č.</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Arial Narrow" w:hAnsi="Arial Narrow" w:cs="Times New Roman"/>
                <w:sz w:val="18"/>
                <w:szCs w:val="22"/>
              </w:rPr>
            </w:pPr>
            <w:r>
              <w:rPr>
                <w:rFonts w:ascii="Arial Narrow" w:hAnsi="Arial Narrow" w:cs="Times New Roman"/>
                <w:sz w:val="18"/>
                <w:szCs w:val="22"/>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Spô sob transpozície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Článok</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Te</w:t>
            </w:r>
            <w:r>
              <w:rPr>
                <w:rFonts w:ascii="Arial Narrow" w:hAnsi="Arial Narrow" w:cs="Times New Roman"/>
                <w:b/>
                <w:sz w:val="18"/>
                <w:szCs w:val="22"/>
              </w:rPr>
              <w:t>xt</w:t>
            </w:r>
          </w:p>
          <w:p>
            <w:pPr>
              <w:rPr>
                <w:rFonts w:ascii="Arial Narrow" w:hAnsi="Arial Narrow" w:cs="Times New Roman"/>
                <w:b/>
                <w:sz w:val="18"/>
                <w:szCs w:val="22"/>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Zhoda</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Administratívna infraštruktúra</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Poznámky</w:t>
            </w: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 xml:space="preserve">Štádium legislatívneho procesu </w:t>
            </w: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Čl.3 ods.1</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line="240" w:lineRule="atLeast"/>
              <w:jc w:val="both"/>
              <w:rPr>
                <w:rFonts w:ascii="Arial Narrow" w:hAnsi="Arial Narrow" w:cs="Times New Roman"/>
                <w:sz w:val="18"/>
                <w:szCs w:val="22"/>
              </w:rPr>
            </w:pPr>
            <w:r>
              <w:rPr>
                <w:rFonts w:ascii="Arial Narrow" w:hAnsi="Arial Narrow" w:cs="Times New Roman"/>
                <w:sz w:val="18"/>
                <w:szCs w:val="22"/>
              </w:rPr>
              <w:t>(1) Od 1. januára 1993 bude minimálna sadzba spotrebnej dane na alkohol a na alkohol obsiahnutý v iných nápojoch, ako sú uvedené v člán</w:t>
            </w:r>
            <w:r>
              <w:rPr>
                <w:rFonts w:ascii="Arial Narrow" w:hAnsi="Arial Narrow" w:cs="Times New Roman"/>
                <w:sz w:val="18"/>
                <w:szCs w:val="22"/>
              </w:rPr>
              <w:softHyphen/>
              <w:t>koch 4, 5 a 6, stanovená na 550 ECU na hek</w:t>
            </w:r>
            <w:r>
              <w:rPr>
                <w:rFonts w:ascii="Arial Narrow" w:hAnsi="Arial Narrow" w:cs="Times New Roman"/>
                <w:sz w:val="18"/>
                <w:szCs w:val="22"/>
              </w:rPr>
              <w:softHyphen/>
              <w:t>toliter čistého alkoholu.</w:t>
            </w:r>
          </w:p>
          <w:p>
            <w:pPr>
              <w:spacing w:line="240" w:lineRule="atLeast"/>
              <w:jc w:val="both"/>
              <w:rPr>
                <w:rFonts w:ascii="Arial Narrow" w:hAnsi="Arial Narrow" w:cs="Times New Roman"/>
                <w:sz w:val="18"/>
                <w:szCs w:val="22"/>
              </w:rPr>
            </w:pPr>
          </w:p>
          <w:p>
            <w:pPr>
              <w:spacing w:line="240" w:lineRule="atLeast"/>
              <w:jc w:val="both"/>
              <w:rPr>
                <w:rFonts w:ascii="Arial Narrow" w:hAnsi="Arial Narrow" w:cs="Times New Roman"/>
                <w:sz w:val="18"/>
                <w:szCs w:val="22"/>
              </w:rPr>
            </w:pPr>
            <w:r>
              <w:rPr>
                <w:rFonts w:ascii="Arial Narrow" w:hAnsi="Arial Narrow" w:cs="Times New Roman"/>
                <w:sz w:val="18"/>
                <w:szCs w:val="22"/>
              </w:rPr>
              <w:t>Členské štáty však nesmú znižovať svoju národnú daňovú sadzbu používanú na alkohol a alkoholické nápoje, ktorá nie je vyššia ako 1000 ECU na hektoliter čistého alkoholu. Okrem toho členské štáty, ktoré na menované výrobky používajú daňovú sadzbu vyššiu ako 1000 ECU na hektoliter čistého alkoholu, nesmú svoju národnú daňovú sadzbu znížiť pod 1000 ECU na hektoliter čistého alkoholu.</w:t>
            </w:r>
          </w:p>
          <w:p>
            <w:pPr>
              <w:spacing w:line="240" w:lineRule="atLeast"/>
              <w:jc w:val="both"/>
              <w:rPr>
                <w:rFonts w:ascii="Arial Narrow" w:hAnsi="Arial Narrow" w:cs="Times New Roman"/>
                <w:sz w:val="18"/>
                <w:szCs w:val="22"/>
              </w:rPr>
            </w:pPr>
          </w:p>
          <w:p>
            <w:pPr>
              <w:spacing w:line="240" w:lineRule="atLeast"/>
              <w:jc w:val="both"/>
              <w:rPr>
                <w:rFonts w:ascii="Arial Narrow" w:hAnsi="Arial Narrow" w:cs="Times New Roman"/>
                <w:sz w:val="18"/>
                <w:szCs w:val="22"/>
              </w:rPr>
            </w:pPr>
          </w:p>
          <w:p>
            <w:pPr>
              <w:jc w:val="both"/>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r>
              <w:rPr>
                <w:rFonts w:ascii="Arial Narrow" w:hAnsi="Arial Narrow" w:cs="Times New Roman"/>
                <w:sz w:val="18"/>
                <w:szCs w:val="22"/>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bCs/>
                <w:sz w:val="18"/>
                <w:szCs w:val="22"/>
              </w:rPr>
              <w:t xml:space="preserve">zákon č. 105/ 2004 a </w:t>
            </w:r>
            <w:r>
              <w:rPr>
                <w:rFonts w:ascii="Arial Narrow" w:hAnsi="Arial Narrow" w:cs="Times New Roman"/>
                <w:b/>
                <w:sz w:val="18"/>
                <w:szCs w:val="22"/>
              </w:rPr>
              <w:t xml:space="preserve">návrh  zákona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xml:space="preserve">§ 6 ods.1  pís.a) pís.b) </w:t>
            </w: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ods.2</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sz w:val="18"/>
                <w:szCs w:val="22"/>
              </w:rPr>
            </w:pPr>
            <w:r>
              <w:rPr>
                <w:rFonts w:ascii="Arial Narrow" w:hAnsi="Arial Narrow" w:cs="Times New Roman"/>
                <w:sz w:val="18"/>
                <w:szCs w:val="22"/>
              </w:rPr>
              <w:t>Sadzba dan</w:t>
            </w:r>
            <w:r>
              <w:rPr>
                <w:rFonts w:ascii="Arial Narrow" w:hAnsi="Arial Narrow" w:cs="Times New Roman"/>
                <w:sz w:val="18"/>
                <w:szCs w:val="22"/>
              </w:rPr>
              <w:t>e sa ustanovuje takto:</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základná sadzba dane 28 300 Sk/hl a.,</w:t>
            </w:r>
          </w:p>
          <w:p>
            <w:pPr>
              <w:jc w:val="both"/>
              <w:rPr>
                <w:rFonts w:ascii="Arial Narrow" w:hAnsi="Arial Narrow" w:cs="Times New Roman"/>
                <w:sz w:val="18"/>
                <w:szCs w:val="22"/>
              </w:rPr>
            </w:pPr>
            <w:r>
              <w:rPr>
                <w:rFonts w:ascii="Arial Narrow" w:hAnsi="Arial Narrow" w:cs="Times New Roman"/>
                <w:sz w:val="18"/>
                <w:szCs w:val="22"/>
              </w:rPr>
              <w:t xml:space="preserve"> znížená sadzba dane 14 150 Sk/hl a.</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Znížená   sadzba  dane   sa  uplatní   na  lieh   vyrobený v liehovarníckom závode na pestovateľské pálenie ovocia najviac na množstvo 30 l a. z vyrobeného liehu pre jedného pestovateľa a jeho </w:t>
            </w:r>
            <w:r>
              <w:rPr>
                <w:rFonts w:ascii="Arial Narrow" w:hAnsi="Arial Narrow" w:cs="Times New Roman"/>
                <w:b/>
                <w:sz w:val="18"/>
                <w:szCs w:val="22"/>
              </w:rPr>
              <w:t>domácnosť na daňovom území</w:t>
            </w:r>
            <w:r>
              <w:rPr>
                <w:rFonts w:ascii="Arial Narrow" w:hAnsi="Arial Narrow" w:cs="Times New Roman"/>
                <w:sz w:val="18"/>
                <w:szCs w:val="22"/>
              </w:rPr>
              <w:t xml:space="preserve"> za jedno  výrobné obdobie 4)  za podmienok  podľa tohto zákona.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xml:space="preserve">Ú </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rPr>
                <w:rFonts w:ascii="Arial Narrow" w:hAnsi="Arial Narrow" w:cs="Times New Roman"/>
                <w:sz w:val="18"/>
                <w:szCs w:val="22"/>
              </w:rPr>
            </w:pPr>
            <w:r>
              <w:rPr>
                <w:rFonts w:ascii="Arial Narrow" w:hAnsi="Arial Narrow" w:cs="Times New Roman"/>
                <w:sz w:val="18"/>
                <w:szCs w:val="22"/>
              </w:rPr>
              <w:t>MF SR, Colné riaditeľst vo SR ,</w:t>
            </w:r>
          </w:p>
          <w:p>
            <w:pPr>
              <w:rPr>
                <w:rFonts w:ascii="Arial Narrow" w:hAnsi="Arial Narrow" w:cs="Times New Roman"/>
                <w:sz w:val="18"/>
                <w:szCs w:val="22"/>
              </w:rPr>
            </w:pPr>
            <w:r>
              <w:rPr>
                <w:rFonts w:ascii="Arial Narrow" w:hAnsi="Arial Narrow" w:cs="Times New Roman"/>
                <w:sz w:val="18"/>
                <w:szCs w:val="22"/>
              </w:rPr>
              <w:t>colné úrady</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after="120"/>
              <w:rPr>
                <w:rFonts w:ascii="Arial Narrow" w:hAnsi="Arial Narrow" w:cs="Times New Roman"/>
                <w:sz w:val="18"/>
                <w:szCs w:val="22"/>
              </w:rPr>
            </w:pPr>
          </w:p>
          <w:p>
            <w:pPr>
              <w:spacing w:after="120"/>
              <w:rPr>
                <w:rFonts w:ascii="Arial Narrow" w:hAnsi="Arial Narrow" w:cs="Times New Roman"/>
                <w:sz w:val="18"/>
                <w:szCs w:val="22"/>
              </w:rPr>
            </w:pPr>
          </w:p>
          <w:p>
            <w:pPr>
              <w:spacing w:after="120"/>
              <w:rPr>
                <w:rFonts w:ascii="Arial Narrow" w:hAnsi="Arial Narrow" w:cs="Times New Roman"/>
                <w:sz w:val="18"/>
                <w:szCs w:val="22"/>
              </w:rPr>
            </w:pPr>
          </w:p>
          <w:p>
            <w:pPr>
              <w:spacing w:after="120"/>
              <w:rPr>
                <w:rFonts w:ascii="Arial Narrow" w:hAnsi="Arial Narrow" w:cs="Times New Roman"/>
                <w:sz w:val="18"/>
                <w:szCs w:val="22"/>
              </w:rPr>
            </w:pPr>
            <w:r>
              <w:rPr>
                <w:rFonts w:ascii="Arial Narrow" w:hAnsi="Arial Narrow" w:cs="Times New Roman"/>
                <w:sz w:val="18"/>
                <w:szCs w:val="22"/>
              </w:rPr>
              <w:t>Trvalá výni</w:t>
            </w:r>
            <w:r>
              <w:rPr>
                <w:rFonts w:ascii="Arial Narrow" w:hAnsi="Arial Narrow" w:cs="Times New Roman"/>
                <w:sz w:val="18"/>
                <w:szCs w:val="22"/>
              </w:rPr>
              <w:t>m</w:t>
            </w:r>
            <w:r>
              <w:rPr>
                <w:rFonts w:ascii="Arial Narrow" w:hAnsi="Arial Narrow" w:cs="Times New Roman"/>
                <w:sz w:val="18"/>
                <w:szCs w:val="22"/>
              </w:rPr>
              <w:t>ka z uplatň</w:t>
            </w:r>
            <w:r>
              <w:rPr>
                <w:rFonts w:ascii="Arial Narrow" w:hAnsi="Arial Narrow" w:cs="Times New Roman"/>
                <w:sz w:val="18"/>
                <w:szCs w:val="22"/>
              </w:rPr>
              <w:t>o</w:t>
            </w:r>
            <w:r>
              <w:rPr>
                <w:rFonts w:ascii="Arial Narrow" w:hAnsi="Arial Narrow" w:cs="Times New Roman"/>
                <w:sz w:val="18"/>
                <w:szCs w:val="22"/>
              </w:rPr>
              <w:t>vania l</w:t>
            </w:r>
            <w:r>
              <w:rPr>
                <w:rFonts w:ascii="Arial Narrow" w:hAnsi="Arial Narrow" w:cs="Times New Roman"/>
                <w:sz w:val="18"/>
                <w:szCs w:val="22"/>
              </w:rPr>
              <w:t>e</w:t>
            </w:r>
            <w:r>
              <w:rPr>
                <w:rFonts w:ascii="Arial Narrow" w:hAnsi="Arial Narrow" w:cs="Times New Roman"/>
                <w:sz w:val="18"/>
                <w:szCs w:val="22"/>
              </w:rPr>
              <w:t>gislat</w:t>
            </w:r>
            <w:r>
              <w:rPr>
                <w:rFonts w:ascii="Arial Narrow" w:hAnsi="Arial Narrow" w:cs="Times New Roman"/>
                <w:sz w:val="18"/>
                <w:szCs w:val="22"/>
              </w:rPr>
              <w:t>í</w:t>
            </w:r>
            <w:r>
              <w:rPr>
                <w:rFonts w:ascii="Arial Narrow" w:hAnsi="Arial Narrow" w:cs="Times New Roman"/>
                <w:sz w:val="18"/>
                <w:szCs w:val="22"/>
              </w:rPr>
              <w:t>vy EÚ pre pestov</w:t>
            </w:r>
            <w:r>
              <w:rPr>
                <w:rFonts w:ascii="Arial Narrow" w:hAnsi="Arial Narrow" w:cs="Times New Roman"/>
                <w:sz w:val="18"/>
                <w:szCs w:val="22"/>
              </w:rPr>
              <w:t>a</w:t>
            </w:r>
            <w:r>
              <w:rPr>
                <w:rFonts w:ascii="Arial Narrow" w:hAnsi="Arial Narrow" w:cs="Times New Roman"/>
                <w:sz w:val="18"/>
                <w:szCs w:val="22"/>
              </w:rPr>
              <w:t>teľské p</w:t>
            </w:r>
            <w:r>
              <w:rPr>
                <w:rFonts w:ascii="Arial Narrow" w:hAnsi="Arial Narrow" w:cs="Times New Roman"/>
                <w:sz w:val="18"/>
                <w:szCs w:val="22"/>
              </w:rPr>
              <w:t>á</w:t>
            </w:r>
            <w:r>
              <w:rPr>
                <w:rFonts w:ascii="Arial Narrow" w:hAnsi="Arial Narrow" w:cs="Times New Roman"/>
                <w:sz w:val="18"/>
                <w:szCs w:val="22"/>
              </w:rPr>
              <w:t>lenie ov</w:t>
            </w:r>
            <w:r>
              <w:rPr>
                <w:rFonts w:ascii="Arial Narrow" w:hAnsi="Arial Narrow" w:cs="Times New Roman"/>
                <w:sz w:val="18"/>
                <w:szCs w:val="22"/>
              </w:rPr>
              <w:t>o</w:t>
            </w:r>
            <w:r>
              <w:rPr>
                <w:rFonts w:ascii="Arial Narrow" w:hAnsi="Arial Narrow" w:cs="Times New Roman"/>
                <w:sz w:val="18"/>
                <w:szCs w:val="22"/>
              </w:rPr>
              <w:t>cia</w:t>
            </w:r>
            <w:r>
              <w:rPr>
                <w:rFonts w:ascii="Arial Narrow" w:hAnsi="Arial Narrow" w:cs="Times New Roman"/>
                <w:sz w:val="18"/>
                <w:szCs w:val="22"/>
              </w:rPr>
              <w:t xml:space="preserve"> s m</w:t>
            </w:r>
            <w:r>
              <w:rPr>
                <w:rFonts w:ascii="Arial Narrow" w:hAnsi="Arial Narrow" w:cs="Times New Roman"/>
                <w:sz w:val="18"/>
                <w:szCs w:val="22"/>
              </w:rPr>
              <w:t>o</w:t>
            </w:r>
            <w:r>
              <w:rPr>
                <w:rFonts w:ascii="Arial Narrow" w:hAnsi="Arial Narrow" w:cs="Times New Roman"/>
                <w:sz w:val="18"/>
                <w:szCs w:val="22"/>
              </w:rPr>
              <w:t>dif</w:t>
            </w:r>
            <w:r>
              <w:rPr>
                <w:rFonts w:ascii="Arial Narrow" w:hAnsi="Arial Narrow" w:cs="Times New Roman"/>
                <w:sz w:val="18"/>
                <w:szCs w:val="22"/>
              </w:rPr>
              <w:t>i</w:t>
            </w:r>
            <w:r>
              <w:rPr>
                <w:rFonts w:ascii="Arial Narrow" w:hAnsi="Arial Narrow" w:cs="Times New Roman"/>
                <w:sz w:val="18"/>
                <w:szCs w:val="22"/>
              </w:rPr>
              <w:t>káciou v súča</w:t>
            </w:r>
            <w:r>
              <w:rPr>
                <w:rFonts w:ascii="Arial Narrow" w:hAnsi="Arial Narrow" w:cs="Times New Roman"/>
                <w:sz w:val="18"/>
                <w:szCs w:val="22"/>
              </w:rPr>
              <w:t>s</w:t>
            </w:r>
            <w:r>
              <w:rPr>
                <w:rFonts w:ascii="Arial Narrow" w:hAnsi="Arial Narrow" w:cs="Times New Roman"/>
                <w:sz w:val="18"/>
                <w:szCs w:val="22"/>
              </w:rPr>
              <w:t>nosti pla</w:t>
            </w:r>
            <w:r>
              <w:rPr>
                <w:rFonts w:ascii="Arial Narrow" w:hAnsi="Arial Narrow" w:cs="Times New Roman"/>
                <w:sz w:val="18"/>
                <w:szCs w:val="22"/>
              </w:rPr>
              <w:t>t</w:t>
            </w:r>
            <w:r>
              <w:rPr>
                <w:rFonts w:ascii="Arial Narrow" w:hAnsi="Arial Narrow" w:cs="Times New Roman"/>
                <w:sz w:val="18"/>
                <w:szCs w:val="22"/>
              </w:rPr>
              <w:t>ného sy</w:t>
            </w:r>
            <w:r>
              <w:rPr>
                <w:rFonts w:ascii="Arial Narrow" w:hAnsi="Arial Narrow" w:cs="Times New Roman"/>
                <w:sz w:val="18"/>
                <w:szCs w:val="22"/>
              </w:rPr>
              <w:t>s</w:t>
            </w:r>
            <w:r>
              <w:rPr>
                <w:rFonts w:ascii="Arial Narrow" w:hAnsi="Arial Narrow" w:cs="Times New Roman"/>
                <w:sz w:val="18"/>
                <w:szCs w:val="22"/>
              </w:rPr>
              <w:t>t</w:t>
            </w:r>
            <w:r>
              <w:rPr>
                <w:rFonts w:ascii="Arial Narrow" w:hAnsi="Arial Narrow" w:cs="Times New Roman"/>
                <w:sz w:val="18"/>
                <w:szCs w:val="22"/>
              </w:rPr>
              <w:t>é</w:t>
            </w:r>
            <w:r>
              <w:rPr>
                <w:rFonts w:ascii="Arial Narrow" w:hAnsi="Arial Narrow" w:cs="Times New Roman"/>
                <w:sz w:val="18"/>
                <w:szCs w:val="22"/>
              </w:rPr>
              <w:t>mu, t. j. 50 % zn</w:t>
            </w:r>
            <w:r>
              <w:rPr>
                <w:rFonts w:ascii="Arial Narrow" w:hAnsi="Arial Narrow" w:cs="Times New Roman"/>
                <w:sz w:val="18"/>
                <w:szCs w:val="22"/>
              </w:rPr>
              <w:t>í</w:t>
            </w:r>
            <w:r>
              <w:rPr>
                <w:rFonts w:ascii="Arial Narrow" w:hAnsi="Arial Narrow" w:cs="Times New Roman"/>
                <w:sz w:val="18"/>
                <w:szCs w:val="22"/>
              </w:rPr>
              <w:t>ženou sad</w:t>
            </w:r>
            <w:r>
              <w:rPr>
                <w:rFonts w:ascii="Arial Narrow" w:hAnsi="Arial Narrow" w:cs="Times New Roman"/>
                <w:sz w:val="18"/>
                <w:szCs w:val="22"/>
              </w:rPr>
              <w:t>z</w:t>
            </w:r>
            <w:r>
              <w:rPr>
                <w:rFonts w:ascii="Arial Narrow" w:hAnsi="Arial Narrow" w:cs="Times New Roman"/>
                <w:sz w:val="18"/>
                <w:szCs w:val="22"/>
              </w:rPr>
              <w:t>bou spotre</w:t>
            </w:r>
            <w:r>
              <w:rPr>
                <w:rFonts w:ascii="Arial Narrow" w:hAnsi="Arial Narrow" w:cs="Times New Roman"/>
                <w:sz w:val="18"/>
                <w:szCs w:val="22"/>
              </w:rPr>
              <w:t>b</w:t>
            </w:r>
            <w:r>
              <w:rPr>
                <w:rFonts w:ascii="Arial Narrow" w:hAnsi="Arial Narrow" w:cs="Times New Roman"/>
                <w:sz w:val="18"/>
                <w:szCs w:val="22"/>
              </w:rPr>
              <w:t>nej dane bude môcť byť zdaňov</w:t>
            </w:r>
            <w:r>
              <w:rPr>
                <w:rFonts w:ascii="Arial Narrow" w:hAnsi="Arial Narrow" w:cs="Times New Roman"/>
                <w:sz w:val="18"/>
                <w:szCs w:val="22"/>
              </w:rPr>
              <w:t>a</w:t>
            </w:r>
            <w:r>
              <w:rPr>
                <w:rFonts w:ascii="Arial Narrow" w:hAnsi="Arial Narrow" w:cs="Times New Roman"/>
                <w:sz w:val="18"/>
                <w:szCs w:val="22"/>
              </w:rPr>
              <w:t>né max</w:t>
            </w:r>
            <w:r>
              <w:rPr>
                <w:rFonts w:ascii="Arial Narrow" w:hAnsi="Arial Narrow" w:cs="Times New Roman"/>
                <w:sz w:val="18"/>
                <w:szCs w:val="22"/>
              </w:rPr>
              <w:t>i</w:t>
            </w:r>
            <w:r>
              <w:rPr>
                <w:rFonts w:ascii="Arial Narrow" w:hAnsi="Arial Narrow" w:cs="Times New Roman"/>
                <w:sz w:val="18"/>
                <w:szCs w:val="22"/>
              </w:rPr>
              <w:t xml:space="preserve">málne 50 litrov </w:t>
            </w:r>
            <w:r>
              <w:rPr>
                <w:rFonts w:ascii="Arial Narrow" w:hAnsi="Arial Narrow" w:cs="Times New Roman"/>
                <w:sz w:val="18"/>
                <w:szCs w:val="22"/>
              </w:rPr>
              <w:t>o</w:t>
            </w:r>
            <w:r>
              <w:rPr>
                <w:rFonts w:ascii="Arial Narrow" w:hAnsi="Arial Narrow" w:cs="Times New Roman"/>
                <w:sz w:val="18"/>
                <w:szCs w:val="22"/>
              </w:rPr>
              <w:t>vocn</w:t>
            </w:r>
            <w:r>
              <w:rPr>
                <w:rFonts w:ascii="Arial Narrow" w:hAnsi="Arial Narrow" w:cs="Times New Roman"/>
                <w:sz w:val="18"/>
                <w:szCs w:val="22"/>
              </w:rPr>
              <w:t>é</w:t>
            </w:r>
            <w:r>
              <w:rPr>
                <w:rFonts w:ascii="Arial Narrow" w:hAnsi="Arial Narrow" w:cs="Times New Roman"/>
                <w:sz w:val="18"/>
                <w:szCs w:val="22"/>
              </w:rPr>
              <w:t>ho destil</w:t>
            </w:r>
            <w:r>
              <w:rPr>
                <w:rFonts w:ascii="Arial Narrow" w:hAnsi="Arial Narrow" w:cs="Times New Roman"/>
                <w:sz w:val="18"/>
                <w:szCs w:val="22"/>
              </w:rPr>
              <w:t>á</w:t>
            </w:r>
            <w:r>
              <w:rPr>
                <w:rFonts w:ascii="Arial Narrow" w:hAnsi="Arial Narrow" w:cs="Times New Roman"/>
                <w:sz w:val="18"/>
                <w:szCs w:val="22"/>
              </w:rPr>
              <w:t>tu na pest</w:t>
            </w:r>
            <w:r>
              <w:rPr>
                <w:rFonts w:ascii="Arial Narrow" w:hAnsi="Arial Narrow" w:cs="Times New Roman"/>
                <w:sz w:val="18"/>
                <w:szCs w:val="22"/>
              </w:rPr>
              <w:t>o</w:t>
            </w:r>
            <w:r>
              <w:rPr>
                <w:rFonts w:ascii="Arial Narrow" w:hAnsi="Arial Narrow" w:cs="Times New Roman"/>
                <w:sz w:val="18"/>
                <w:szCs w:val="22"/>
              </w:rPr>
              <w:t>v</w:t>
            </w:r>
            <w:r>
              <w:rPr>
                <w:rFonts w:ascii="Arial Narrow" w:hAnsi="Arial Narrow" w:cs="Times New Roman"/>
                <w:sz w:val="18"/>
                <w:szCs w:val="22"/>
              </w:rPr>
              <w:t>a</w:t>
            </w:r>
            <w:r>
              <w:rPr>
                <w:rFonts w:ascii="Arial Narrow" w:hAnsi="Arial Narrow" w:cs="Times New Roman"/>
                <w:sz w:val="18"/>
                <w:szCs w:val="22"/>
              </w:rPr>
              <w:t xml:space="preserve">teľa za rok. </w:t>
            </w: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 10</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numPr>
                <w:ilvl w:val="0"/>
                <w:numId w:val="37"/>
              </w:numPr>
              <w:tabs>
                <w:tab w:val="left" w:pos="360"/>
              </w:tabs>
              <w:spacing w:before="120" w:after="120"/>
              <w:jc w:val="both"/>
              <w:rPr>
                <w:rFonts w:ascii="Arial Narrow" w:hAnsi="Arial Narrow" w:cs="Times New Roman"/>
                <w:sz w:val="18"/>
                <w:szCs w:val="22"/>
              </w:rPr>
            </w:pPr>
            <w:r>
              <w:rPr>
                <w:rFonts w:ascii="Arial Narrow" w:hAnsi="Arial Narrow" w:cs="Times New Roman"/>
                <w:sz w:val="18"/>
                <w:szCs w:val="22"/>
              </w:rPr>
              <w:t xml:space="preserve">Členské štáty uvedú do účinnosti  zákony, iné právne predpisy a správne  opatrenia potrebné na dosiahnutie súladu s touto smernicou najneskôr do 31. decembra 1992. Bezodkladne  o tom budú informovať Komisiu. </w:t>
            </w:r>
          </w:p>
          <w:p>
            <w:pPr>
              <w:spacing w:line="240" w:lineRule="atLeast"/>
              <w:jc w:val="both"/>
              <w:rPr>
                <w:rFonts w:ascii="Arial Narrow" w:hAnsi="Arial Narrow" w:cs="Times New Roman"/>
                <w:sz w:val="18"/>
                <w:szCs w:val="22"/>
              </w:rPr>
            </w:pPr>
            <w:r>
              <w:rPr>
                <w:rFonts w:ascii="Arial Narrow" w:hAnsi="Arial Narrow" w:cs="Times New Roman"/>
                <w:sz w:val="18"/>
                <w:szCs w:val="22"/>
              </w:rPr>
              <w:t>Keď členské štáty prijmú uvedené predpisy uvedú v nich  odkaz na túto smernicu alebo ich takýto odkaz bude sprevádzať pri príležitosti ich úradného uverejnenia. Členské štáty určia spôsob uvedenia takéhoto odkazu.</w:t>
            </w:r>
          </w:p>
          <w:p>
            <w:pPr>
              <w:spacing w:before="288" w:line="240" w:lineRule="atLeast"/>
              <w:jc w:val="both"/>
              <w:rPr>
                <w:rFonts w:ascii="Arial Narrow" w:hAnsi="Arial Narrow" w:cs="Times New Roman"/>
                <w:sz w:val="18"/>
                <w:szCs w:val="22"/>
              </w:rPr>
            </w:pPr>
            <w:r>
              <w:rPr>
                <w:rFonts w:ascii="Arial Narrow" w:hAnsi="Arial Narrow" w:cs="Times New Roman"/>
                <w:sz w:val="18"/>
                <w:szCs w:val="22"/>
              </w:rPr>
              <w:t>(2) Členské štáty oznámia Komisii doslovné znenie najdôležitejších vnútroštátnych právnych predpisov, ktoré vydávajú na územiach spadajúcich pod túto smernicu</w:t>
            </w:r>
            <w:r>
              <w:rPr>
                <w:rFonts w:ascii="Arial Narrow" w:hAnsi="Arial Narrow" w:cs="Times New Roman"/>
                <w:sz w:val="18"/>
                <w:szCs w:val="22"/>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r>
              <w:rPr>
                <w:rFonts w:ascii="Arial Narrow" w:hAnsi="Arial Narrow" w:cs="Times New Roman"/>
                <w:sz w:val="18"/>
                <w:szCs w:val="22"/>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bCs/>
                <w:sz w:val="18"/>
                <w:szCs w:val="22"/>
              </w:rPr>
            </w:pPr>
            <w:r>
              <w:rPr>
                <w:rFonts w:ascii="Arial Narrow" w:hAnsi="Arial Narrow" w:cs="Times New Roman"/>
                <w:b/>
                <w:bCs/>
                <w:sz w:val="18"/>
                <w:szCs w:val="22"/>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 III</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 xml:space="preserve">Príloha č. 1 </w:t>
            </w: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bod 3.</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Tento zákon nadobúda účinnosť 1. júla 2006 okrem bodu 16, ktorý nadobúda účinnosť 1. októbra 2006 a bodu  95, ktorý nadobúda účinnosť 1. januára 2007.</w:t>
            </w:r>
          </w:p>
          <w:p>
            <w:pPr>
              <w:jc w:val="both"/>
              <w:rPr>
                <w:rFonts w:ascii="Arial Narrow" w:hAnsi="Arial Narrow" w:cs="Times New Roman"/>
                <w:sz w:val="18"/>
                <w:szCs w:val="22"/>
              </w:rPr>
            </w:pPr>
          </w:p>
          <w:p>
            <w:pPr>
              <w:pStyle w:val="Zkladntext"/>
              <w:tabs>
                <w:tab w:val="left" w:pos="360"/>
              </w:tabs>
              <w:spacing w:line="240" w:lineRule="atLeast"/>
              <w:jc w:val="center"/>
              <w:rPr>
                <w:rFonts w:ascii="Arial Narrow" w:hAnsi="Arial Narrow" w:cs="Times New Roman"/>
                <w:b/>
                <w:sz w:val="18"/>
              </w:rPr>
            </w:pPr>
            <w:r>
              <w:rPr>
                <w:rFonts w:ascii="Arial Narrow" w:hAnsi="Arial Narrow" w:cs="Times New Roman"/>
                <w:b/>
                <w:sz w:val="18"/>
              </w:rPr>
              <w:t>Zoznam preberaných právnych aktov Európskych spoločen</w:t>
            </w:r>
            <w:r>
              <w:rPr>
                <w:rFonts w:ascii="Arial Narrow" w:hAnsi="Arial Narrow" w:cs="Times New Roman"/>
                <w:b/>
                <w:sz w:val="18"/>
              </w:rPr>
              <w:t>stiev a Európskej únie</w:t>
            </w:r>
          </w:p>
          <w:p>
            <w:pPr>
              <w:jc w:val="both"/>
              <w:rPr>
                <w:rFonts w:ascii="Arial Narrow" w:hAnsi="Arial Narrow" w:cs="Times New Roman"/>
                <w:sz w:val="18"/>
                <w:szCs w:val="22"/>
              </w:rPr>
            </w:pPr>
          </w:p>
          <w:p>
            <w:pPr>
              <w:pStyle w:val="Zkladntext"/>
              <w:tabs>
                <w:tab w:val="left" w:pos="360"/>
              </w:tabs>
              <w:spacing w:line="240" w:lineRule="atLeast"/>
              <w:jc w:val="both"/>
              <w:rPr>
                <w:rFonts w:ascii="Arial Narrow" w:hAnsi="Arial Narrow" w:cs="Times New Roman"/>
                <w:b/>
                <w:sz w:val="18"/>
              </w:rPr>
            </w:pPr>
            <w:r>
              <w:rPr>
                <w:rFonts w:ascii="Arial Narrow" w:hAnsi="Arial Narrow" w:cs="Times New Roman"/>
                <w:b/>
                <w:sz w:val="18"/>
              </w:rPr>
              <w:t>3. Smernica  Rady  92/84/EHS  z  31. 10. 1992 o </w:t>
            </w:r>
            <w:r>
              <w:rPr>
                <w:rFonts w:ascii="Arial Narrow" w:hAnsi="Arial Narrow" w:cs="Times New Roman"/>
                <w:b/>
                <w:sz w:val="18"/>
                <w:szCs w:val="22"/>
              </w:rPr>
              <w:t>aproximácii</w:t>
            </w:r>
            <w:r>
              <w:rPr>
                <w:rFonts w:ascii="Arial Narrow" w:hAnsi="Arial Narrow" w:cs="Times New Roman"/>
                <w:b/>
                <w:sz w:val="18"/>
              </w:rPr>
              <w:t xml:space="preserve"> sadzieb spotrebnej dane na alkohol a alkoholické nápoje (Ú. v. ES L  316, 31.10.1992).</w:t>
            </w:r>
          </w:p>
          <w:p>
            <w:pPr>
              <w:jc w:val="both"/>
              <w:rPr>
                <w:rFonts w:ascii="Arial Narrow" w:hAnsi="Arial Narrow" w:cs="Times New Roman"/>
                <w:sz w:val="18"/>
                <w:szCs w:val="22"/>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rPr>
                <w:rFonts w:ascii="Arial Narrow" w:hAnsi="Arial Narrow" w:cs="Times New Roman"/>
                <w:sz w:val="18"/>
                <w:szCs w:val="22"/>
              </w:rPr>
            </w:pP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after="120"/>
              <w:rPr>
                <w:rFonts w:ascii="Arial Narrow" w:hAnsi="Arial Narrow" w:cs="Times New Roman"/>
                <w:sz w:val="18"/>
                <w:szCs w:val="22"/>
              </w:rPr>
            </w:pPr>
          </w:p>
          <w:p>
            <w:pPr>
              <w:spacing w:after="120"/>
              <w:rPr>
                <w:rFonts w:ascii="Arial Narrow" w:hAnsi="Arial Narrow" w:cs="Times New Roman"/>
                <w:sz w:val="18"/>
                <w:szCs w:val="22"/>
              </w:rPr>
            </w:pPr>
          </w:p>
          <w:p>
            <w:pPr>
              <w:spacing w:after="120"/>
              <w:rPr>
                <w:rFonts w:ascii="Arial Narrow" w:hAnsi="Arial Narrow" w:cs="Times New Roman"/>
                <w:sz w:val="18"/>
                <w:szCs w:val="22"/>
              </w:rPr>
            </w:pPr>
          </w:p>
          <w:p>
            <w:pPr>
              <w:spacing w:after="120"/>
              <w:rPr>
                <w:rFonts w:ascii="Arial Narrow" w:hAnsi="Arial Narrow" w:cs="Times New Roman"/>
                <w:sz w:val="18"/>
                <w:szCs w:val="22"/>
              </w:rPr>
            </w:pPr>
          </w:p>
          <w:p>
            <w:pPr>
              <w:spacing w:after="120"/>
              <w:rPr>
                <w:rFonts w:ascii="Arial Narrow" w:hAnsi="Arial Narrow" w:cs="Times New Roman"/>
                <w:sz w:val="18"/>
                <w:szCs w:val="22"/>
              </w:rPr>
            </w:pPr>
          </w:p>
          <w:p>
            <w:pPr>
              <w:spacing w:after="120"/>
              <w:rPr>
                <w:rFonts w:ascii="Arial Narrow" w:hAnsi="Arial Narrow" w:cs="Times New Roman"/>
                <w:sz w:val="18"/>
                <w:szCs w:val="22"/>
              </w:rPr>
            </w:pPr>
            <w:r>
              <w:rPr>
                <w:rFonts w:ascii="Arial Narrow" w:hAnsi="Arial Narrow" w:cs="Times New Roman"/>
                <w:sz w:val="18"/>
                <w:szCs w:val="22"/>
              </w:rPr>
              <w:t>SR informuje Komisiu prostredníctvom notifikácie</w:t>
            </w: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bl>
    <w:p>
      <w:pPr>
        <w:rPr>
          <w:rFonts w:ascii="Times New Roman" w:hAnsi="Times New Roman" w:cs="Times New Roman"/>
        </w:rPr>
      </w:pPr>
    </w:p>
    <w:sectPr>
      <w:footerReference w:type="even" r:id="rId4"/>
      <w:footerReference w:type="default" r:id="rId5"/>
      <w:pgSz w:w="16840" w:h="11907" w:orient="landscape" w:code="9"/>
      <w:pgMar w:top="1191" w:right="1191" w:bottom="1191" w:left="1191" w:header="397" w:footer="397" w:gutter="0"/>
      <w:pgNumType w:start="22"/>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sz w:val="16"/>
      </w:rPr>
    </w:pP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0D02A9"/>
    <w:multiLevelType w:val="singleLevel"/>
    <w:tmpl w:val="0405000F"/>
    <w:lvl w:ilvl="0">
      <w:start w:val="1"/>
      <w:numFmt w:val="decimal"/>
      <w:lvlText w:val="%1."/>
      <w:lvlJc w:val="left"/>
      <w:pPr>
        <w:tabs>
          <w:tab w:val="num" w:pos="360"/>
        </w:tabs>
        <w:ind w:left="360" w:hanging="360"/>
      </w:pPr>
    </w:lvl>
  </w:abstractNum>
  <w:abstractNum w:abstractNumId="2">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155B7714"/>
    <w:multiLevelType w:val="singleLevel"/>
    <w:tmpl w:val="60C0363A"/>
    <w:lvl w:ilvl="0">
      <w:start w:val="1"/>
      <w:numFmt w:val="decimal"/>
      <w:lvlText w:val="%1."/>
      <w:lvlJc w:val="left"/>
      <w:pPr>
        <w:tabs>
          <w:tab w:val="num" w:pos="360"/>
        </w:tabs>
        <w:ind w:left="360" w:hanging="360"/>
      </w:pPr>
    </w:lvl>
  </w:abstractNum>
  <w:abstractNum w:abstractNumId="7">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887393"/>
    <w:multiLevelType w:val="singleLevel"/>
    <w:tmpl w:val="74347696"/>
    <w:lvl w:ilvl="0">
      <w:start w:val="1"/>
      <w:numFmt w:val="lowerLetter"/>
      <w:lvlText w:val="(%1)"/>
      <w:lvlJc w:val="left"/>
      <w:pPr>
        <w:tabs>
          <w:tab w:val="num" w:pos="360"/>
        </w:tabs>
        <w:ind w:left="360" w:hanging="360"/>
      </w:pPr>
    </w:lvl>
  </w:abstractNum>
  <w:abstractNum w:abstractNumId="9">
    <w:nsid w:val="24481AC7"/>
    <w:multiLevelType w:val="singleLevel"/>
    <w:tmpl w:val="DCE874A2"/>
    <w:lvl w:ilvl="0">
      <w:start w:val="1"/>
      <w:numFmt w:val="lowerLetter"/>
      <w:lvlText w:val="(%1)"/>
      <w:lvlJc w:val="left"/>
      <w:pPr>
        <w:tabs>
          <w:tab w:val="num" w:pos="405"/>
        </w:tabs>
        <w:ind w:left="405" w:hanging="405"/>
      </w:pPr>
    </w:lvl>
  </w:abstractNum>
  <w:abstractNum w:abstractNumId="10">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3">
    <w:nsid w:val="335E528E"/>
    <w:multiLevelType w:val="singleLevel"/>
    <w:tmpl w:val="04050017"/>
    <w:lvl w:ilvl="0">
      <w:start w:val="1"/>
      <w:numFmt w:val="lowerLetter"/>
      <w:lvlText w:val="%1)"/>
      <w:lvlJc w:val="left"/>
      <w:pPr>
        <w:tabs>
          <w:tab w:val="num" w:pos="360"/>
        </w:tabs>
        <w:ind w:left="360" w:hanging="360"/>
      </w:pPr>
    </w:lvl>
  </w:abstractNum>
  <w:abstractNum w:abstractNumId="14">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6">
    <w:nsid w:val="39621A1C"/>
    <w:multiLevelType w:val="singleLevel"/>
    <w:tmpl w:val="60C0363A"/>
    <w:lvl w:ilvl="0">
      <w:start w:val="1"/>
      <w:numFmt w:val="decimal"/>
      <w:lvlText w:val="%1."/>
      <w:lvlJc w:val="left"/>
      <w:pPr>
        <w:tabs>
          <w:tab w:val="num" w:pos="360"/>
        </w:tabs>
        <w:ind w:left="360" w:hanging="360"/>
      </w:pPr>
    </w:lvl>
  </w:abstractNum>
  <w:abstractNum w:abstractNumId="17">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18">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9">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0">
    <w:nsid w:val="4AB53BF8"/>
    <w:multiLevelType w:val="singleLevel"/>
    <w:tmpl w:val="74347696"/>
    <w:lvl w:ilvl="0">
      <w:start w:val="1"/>
      <w:numFmt w:val="lowerLetter"/>
      <w:lvlText w:val="(%1)"/>
      <w:lvlJc w:val="left"/>
      <w:pPr>
        <w:tabs>
          <w:tab w:val="num" w:pos="360"/>
        </w:tabs>
        <w:ind w:left="360" w:hanging="360"/>
      </w:pPr>
    </w:lvl>
  </w:abstractNum>
  <w:abstractNum w:abstractNumId="21">
    <w:nsid w:val="4D6315C5"/>
    <w:multiLevelType w:val="singleLevel"/>
    <w:tmpl w:val="D4147E0A"/>
    <w:lvl w:ilvl="0">
      <w:start w:val="1"/>
      <w:numFmt w:val="decimal"/>
      <w:lvlText w:val="%1."/>
      <w:lvlJc w:val="left"/>
      <w:pPr>
        <w:tabs>
          <w:tab w:val="num" w:pos="360"/>
        </w:tabs>
        <w:ind w:left="360" w:hanging="360"/>
      </w:pPr>
    </w:lvl>
  </w:abstractNum>
  <w:abstractNum w:abstractNumId="22">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2A306F0"/>
    <w:multiLevelType w:val="singleLevel"/>
    <w:tmpl w:val="D25EFEA4"/>
    <w:lvl w:ilvl="0">
      <w:start w:val="2"/>
      <w:numFmt w:val="decimal"/>
      <w:lvlText w:val="%1."/>
      <w:lvlJc w:val="left"/>
      <w:pPr>
        <w:tabs>
          <w:tab w:val="num" w:pos="360"/>
        </w:tabs>
        <w:ind w:left="360" w:hanging="360"/>
      </w:pPr>
    </w:lvl>
  </w:abstractNum>
  <w:abstractNum w:abstractNumId="25">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886CB8"/>
    <w:multiLevelType w:val="singleLevel"/>
    <w:tmpl w:val="47F2A718"/>
    <w:lvl w:ilvl="0">
      <w:start w:val="1"/>
      <w:numFmt w:val="decimal"/>
      <w:lvlText w:val="(%1)"/>
      <w:lvlJc w:val="left"/>
      <w:pPr>
        <w:tabs>
          <w:tab w:val="num" w:pos="941"/>
        </w:tabs>
        <w:ind w:left="941" w:hanging="375"/>
      </w:pPr>
    </w:lvl>
  </w:abstractNum>
  <w:abstractNum w:abstractNumId="28">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AA1045"/>
    <w:multiLevelType w:val="singleLevel"/>
    <w:tmpl w:val="D4147E0A"/>
    <w:lvl w:ilvl="0">
      <w:start w:val="1"/>
      <w:numFmt w:val="decimal"/>
      <w:lvlText w:val="%1."/>
      <w:lvlJc w:val="left"/>
      <w:pPr>
        <w:tabs>
          <w:tab w:val="num" w:pos="360"/>
        </w:tabs>
        <w:ind w:left="360" w:hanging="360"/>
      </w:pPr>
    </w:lvl>
  </w:abstractNum>
  <w:abstractNum w:abstractNumId="30">
    <w:nsid w:val="6426614B"/>
    <w:multiLevelType w:val="singleLevel"/>
    <w:tmpl w:val="002E4AC0"/>
    <w:lvl w:ilvl="0">
      <w:start w:val="2"/>
      <w:numFmt w:val="bullet"/>
      <w:lvlText w:val="-"/>
      <w:lvlJc w:val="left"/>
      <w:pPr>
        <w:tabs>
          <w:tab w:val="num" w:pos="360"/>
        </w:tabs>
        <w:ind w:left="360" w:hanging="360"/>
      </w:pPr>
    </w:lvl>
  </w:abstractNum>
  <w:abstractNum w:abstractNumId="31">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2">
    <w:nsid w:val="68641F44"/>
    <w:multiLevelType w:val="singleLevel"/>
    <w:tmpl w:val="04050017"/>
    <w:lvl w:ilvl="0">
      <w:start w:val="1"/>
      <w:numFmt w:val="lowerLetter"/>
      <w:lvlText w:val="%1)"/>
      <w:lvlJc w:val="left"/>
      <w:pPr>
        <w:tabs>
          <w:tab w:val="num" w:pos="360"/>
        </w:tabs>
        <w:ind w:left="360" w:hanging="360"/>
      </w:pPr>
    </w:lvl>
  </w:abstractNum>
  <w:abstractNum w:abstractNumId="33">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34">
    <w:nsid w:val="6F817ED8"/>
    <w:multiLevelType w:val="singleLevel"/>
    <w:tmpl w:val="60C0363A"/>
    <w:lvl w:ilvl="0">
      <w:start w:val="1"/>
      <w:numFmt w:val="decimal"/>
      <w:lvlText w:val="%1."/>
      <w:lvlJc w:val="left"/>
      <w:pPr>
        <w:tabs>
          <w:tab w:val="num" w:pos="360"/>
        </w:tabs>
        <w:ind w:left="360" w:hanging="360"/>
      </w:pPr>
    </w:lvl>
  </w:abstractNum>
  <w:abstractNum w:abstractNumId="35">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6">
    <w:nsid w:val="7DBA2F84"/>
    <w:multiLevelType w:val="singleLevel"/>
    <w:tmpl w:val="ACFCF3F6"/>
    <w:lvl w:ilvl="0">
      <w:start w:val="1"/>
      <w:numFmt w:val="decimal"/>
      <w:lvlText w:val="%1."/>
      <w:lvlJc w:val="left"/>
      <w:pPr>
        <w:tabs>
          <w:tab w:val="num" w:pos="360"/>
        </w:tabs>
        <w:ind w:left="0" w:firstLine="0"/>
      </w:pPr>
    </w:lvl>
  </w:abstractNum>
  <w:num w:numId="1">
    <w:abstractNumId w:val="17"/>
  </w:num>
  <w:num w:numId="2">
    <w:abstractNumId w:val="1"/>
  </w:num>
  <w:num w:numId="3">
    <w:abstractNumId w:val="16"/>
  </w:num>
  <w:num w:numId="4">
    <w:abstractNumId w:val="9"/>
  </w:num>
  <w:num w:numId="5">
    <w:abstractNumId w:val="30"/>
  </w:num>
  <w:num w:numId="6">
    <w:abstractNumId w:val="20"/>
  </w:num>
  <w:num w:numId="7">
    <w:abstractNumId w:val="8"/>
  </w:num>
  <w:num w:numId="8">
    <w:abstractNumId w:val="29"/>
  </w:num>
  <w:num w:numId="9">
    <w:abstractNumId w:val="11"/>
  </w:num>
  <w:num w:numId="10">
    <w:abstractNumId w:val="33"/>
  </w:num>
  <w:num w:numId="11">
    <w:abstractNumId w:val="34"/>
  </w:num>
  <w:num w:numId="12">
    <w:abstractNumId w:val="3"/>
  </w:num>
  <w:num w:numId="13">
    <w:abstractNumId w:val="24"/>
  </w:num>
  <w:num w:numId="14">
    <w:abstractNumId w:val="21"/>
  </w:num>
  <w:num w:numId="15">
    <w:abstractNumId w:val="6"/>
  </w:num>
  <w:num w:numId="16">
    <w:abstractNumId w:val="23"/>
  </w:num>
  <w:num w:numId="17">
    <w:abstractNumId w:val="31"/>
  </w:num>
  <w:num w:numId="18">
    <w:abstractNumId w:val="19"/>
  </w:num>
  <w:num w:numId="19">
    <w:abstractNumId w:val="15"/>
  </w:num>
  <w:num w:numId="20">
    <w:abstractNumId w:val="12"/>
  </w:num>
  <w:num w:numId="21">
    <w:abstractNumId w:val="2"/>
  </w:num>
  <w:num w:numId="22">
    <w:abstractNumId w:val="35"/>
  </w:num>
  <w:num w:numId="23">
    <w:abstractNumId w:val="10"/>
  </w:num>
  <w:num w:numId="24">
    <w:abstractNumId w:val="18"/>
  </w:num>
  <w:num w:numId="25">
    <w:abstractNumId w:val="22"/>
  </w:num>
  <w:num w:numId="26">
    <w:abstractNumId w:val="5"/>
  </w:num>
  <w:num w:numId="27">
    <w:abstractNumId w:val="28"/>
  </w:num>
  <w:num w:numId="28">
    <w:abstractNumId w:val="32"/>
  </w:num>
  <w:num w:numId="29">
    <w:abstractNumId w:val="7"/>
  </w:num>
  <w:num w:numId="30">
    <w:abstractNumId w:val="13"/>
  </w:num>
  <w:num w:numId="31">
    <w:abstractNumId w:val="4"/>
  </w:num>
  <w:num w:numId="32">
    <w:abstractNumId w:val="25"/>
  </w:num>
  <w:num w:numId="33">
    <w:abstractNumId w:val="26"/>
  </w:num>
  <w:num w:numId="34">
    <w:abstractNumId w:val="27"/>
  </w:num>
  <w:num w:numId="35">
    <w:abstractNumId w:val="14"/>
  </w:num>
  <w:num w:numId="36">
    <w:abstractNumId w:val="0"/>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gutterAtTop/>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4">
    <w:name w:val="heading 4"/>
    <w:basedOn w:val="Normal"/>
    <w:next w:val="Normal"/>
    <w:uiPriority w:val="9"/>
    <w:qFormat/>
    <w:pPr>
      <w:keepNext/>
      <w:ind w:right="-993"/>
      <w:jc w:val="left"/>
      <w:outlineLvl w:val="3"/>
    </w:pPr>
    <w:rPr>
      <w:rFonts w:ascii="Arial Narrow" w:hAnsi="Arial Narrow"/>
      <w:b/>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customStyle="1" w:styleId="Textbubliny">
    <w:name w:val="Text bubliny"/>
    <w:basedOn w:val="Normal"/>
    <w:semiHidden/>
    <w:pPr>
      <w:jc w:val="left"/>
    </w:pPr>
    <w:rPr>
      <w:rFonts w:ascii="Tahoma" w:hAnsi="Tahoma" w:cs="Tahoma"/>
      <w:sz w:val="16"/>
      <w:szCs w:val="16"/>
    </w:rPr>
  </w:style>
  <w:style w:type="paragraph" w:customStyle="1" w:styleId="N-textsodrkami">
    <w:name w:val="N-text s odrážkami"/>
    <w:basedOn w:val="Normal"/>
    <w:pPr>
      <w:tabs>
        <w:tab w:val="left" w:pos="284"/>
      </w:tabs>
      <w:spacing w:after="120"/>
      <w:ind w:left="284"/>
      <w:jc w:val="both"/>
    </w:p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pPr>
      <w:numPr>
        <w:ilvl w:val="0"/>
        <w:numId w:val="57"/>
      </w:numPr>
      <w:tabs>
        <w:tab w:val="left" w:pos="360"/>
      </w:tabs>
      <w:spacing w:before="120" w:after="120"/>
      <w:ind w:firstLine="0"/>
      <w:jc w:val="both"/>
    </w:pPr>
    <w:rPr>
      <w:szCs w:val="24"/>
      <w:lang w:val="en-GB" w:eastAsia="ko-KR"/>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514</Words>
  <Characters>2935</Characters>
  <Application>Microsoft Office Word</Application>
  <DocSecurity>0</DocSecurity>
  <Lines>0</Lines>
  <Paragraphs>0</Paragraphs>
  <ScaleCrop>false</ScaleCrop>
  <Company>Ministry of Finance</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Zamecnikova Petra</dc:creator>
  <cp:lastModifiedBy>jingeliova</cp:lastModifiedBy>
  <cp:revision>2</cp:revision>
  <cp:lastPrinted>2005-08-02T13:11:00Z</cp:lastPrinted>
  <dcterms:created xsi:type="dcterms:W3CDTF">2006-02-22T11:58:00Z</dcterms:created>
  <dcterms:modified xsi:type="dcterms:W3CDTF">2006-02-22T11:58:00Z</dcterms:modified>
</cp:coreProperties>
</file>