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ind w:left="4956" w:right="-993" w:firstLine="708"/>
        <w:rPr>
          <w:rFonts w:ascii="Arial Narrow" w:hAnsi="Arial Narrow" w:cs="Times New Roman"/>
          <w:b/>
          <w:sz w:val="20"/>
        </w:rPr>
      </w:pPr>
      <w:r>
        <w:rPr>
          <w:rFonts w:ascii="Arial Narrow" w:hAnsi="Arial Narrow" w:cs="Times New Roman"/>
          <w:b/>
          <w:sz w:val="20"/>
        </w:rPr>
        <w:t>TABUĽKA ZHODY</w:t>
      </w:r>
    </w:p>
    <w:p>
      <w:pPr>
        <w:pStyle w:val="Heading2"/>
        <w:jc w:val="left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k návrhu zákona, ktorým sa mení  a  dopĺňa zákon  č. 105/2004 Z. z.  o spotrebnej dani z liehu a o zmene a doplnení zákona č. 467/2002 Z. z. o výrobe a uvádzaní liehu na trh v znení zákona č. 211/2003 Z. z. v znení neskorších predpisov s právom Európskych spoločenstiev a právom Európskej únie</w:t>
      </w: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97"/>
        <w:gridCol w:w="4820"/>
        <w:gridCol w:w="507"/>
        <w:gridCol w:w="726"/>
        <w:gridCol w:w="610"/>
        <w:gridCol w:w="4961"/>
        <w:gridCol w:w="425"/>
        <w:gridCol w:w="1008"/>
        <w:gridCol w:w="831"/>
        <w:gridCol w:w="967"/>
      </w:tblGrid>
      <w:tr>
        <w:tblPrEx>
          <w:tblW w:w="1525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5"/>
          <w:jc w:val="center"/>
        </w:trPr>
        <w:tc>
          <w:tcPr>
            <w:tcW w:w="5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Právny akt ES/EÚ</w:t>
            </w:r>
          </w:p>
          <w:p>
            <w:pPr>
              <w:pStyle w:val="PlainText"/>
              <w:rPr>
                <w:rFonts w:ascii="Arial Narrow" w:hAnsi="Arial Narrow" w:cs="Times New Roman"/>
                <w:b/>
                <w:sz w:val="18"/>
              </w:rPr>
            </w:pPr>
            <w:r>
              <w:rPr>
                <w:rFonts w:ascii="Arial Narrow" w:hAnsi="Arial Narrow" w:cs="Times New Roman"/>
                <w:b/>
                <w:sz w:val="18"/>
              </w:rPr>
              <w:t>Smernica Rady 92/83/EHS  z 19. októbra 1992 o zosúladení štruktúr spotrebných daní pre etanol a alkoholické nápoje</w:t>
            </w: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</w:tc>
        <w:tc>
          <w:tcPr>
            <w:tcW w:w="9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3"/>
              <w:ind w:right="0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Všeobecne záväzné právne predpisy SR</w:t>
            </w:r>
          </w:p>
          <w:p>
            <w:pPr>
              <w:pStyle w:val="Zkladntext"/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</w:rPr>
              <w:t>Návrh zákona, ktorým sa mení  a  dopĺňa zákon  č. 105/2004 Z. z.  o spotrebnej dani z liehu a o zmene a doplnení zákona č. 467/2002 Z. z. o výrobe a uvádzaní liehu na trh v znení zákona č. 211/2003 Z. z., v znení neskorších predpisov</w:t>
            </w:r>
            <w:r>
              <w:rPr>
                <w:rFonts w:ascii="Arial Narrow" w:hAnsi="Arial Narrow" w:cs="Times New Roman"/>
                <w:b/>
                <w:sz w:val="18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18"/>
              </w:rPr>
              <w:t>( ďalej len „</w:t>
            </w:r>
            <w:r>
              <w:rPr>
                <w:rFonts w:ascii="Arial Narrow" w:hAnsi="Arial Narrow" w:cs="Times New Roman"/>
                <w:b/>
                <w:sz w:val="18"/>
              </w:rPr>
              <w:t>návrh zákona“)</w:t>
            </w:r>
          </w:p>
          <w:p>
            <w:pPr>
              <w:pStyle w:val="Zkladntext"/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</w:rPr>
              <w:t>Zákon  č. 105/2004 Z. z.  o spotrebnej dani z liehu a o zmene a doplnení zákona č. 467/2002 Z. z. o výrobe a uvádzaní liehu na trh v znení zákona č. 211/2003 Z. z., v znení neskorších predpisov ( ďalej len „zákon č. 105/2004“)</w:t>
            </w:r>
          </w:p>
          <w:p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Text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Spô sob transpozície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Číslo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Článok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Text</w:t>
            </w:r>
          </w:p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Zhoda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Administratívna infraštruktúra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Poznámky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Štádium legislatívneho procesu </w:t>
            </w: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Čl. 27 ods.1</w:t>
            </w: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ods.2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PlainText"/>
              <w:numPr>
                <w:ilvl w:val="0"/>
                <w:numId w:val="38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Členské štáty oslobodia produkty podliehajúce tejto smernici od zosúladenej spotrebnej dane za podmienok, ktoré stanovia na účely zabezpečenia správnej a čestnej aplikácie týchto oslobodení od daní a na účely ochrany pred daňovými únikmi, pred vyhýbaním sa plateniu daní a pred ich zneužívaním:</w:t>
            </w:r>
          </w:p>
          <w:p>
            <w:pPr>
              <w:pStyle w:val="PlainText"/>
              <w:numPr>
                <w:ilvl w:val="0"/>
                <w:numId w:val="39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 je produkt distribuovaný vo forme etanolu, ktorý bol  kompletne denaturovaný v súlade s požiadavkami členského štátu, pričom tieto požiadavky boli riadne nahlásené a prijaté v súlade s odsekmi 3 a 4 tohto článku. Toto oslobodenie od daní bude podmienené aplikáciou ustanovení smernice 82/12 EHS na obchodné pohyby úplne denaturovaného etanolu,</w:t>
            </w:r>
          </w:p>
          <w:p>
            <w:pPr>
              <w:pStyle w:val="PlainText"/>
              <w:numPr>
                <w:ilvl w:val="0"/>
                <w:numId w:val="39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 je produkt denaturovaný v súlade s požiadavkami členského štátu a zároveň sa používa na výrobu akéhokoľvek produktu neurčeného na ľudskú spotrebu,</w:t>
            </w:r>
          </w:p>
          <w:p>
            <w:pPr>
              <w:pStyle w:val="PlainText"/>
              <w:numPr>
                <w:ilvl w:val="0"/>
                <w:numId w:val="39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 sa produkt používa na výrobu octu spadajúceho pod kód KN 2209,</w:t>
            </w:r>
          </w:p>
          <w:p>
            <w:pPr>
              <w:pStyle w:val="PlainText"/>
              <w:numPr>
                <w:ilvl w:val="0"/>
                <w:numId w:val="39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 sa produkt používa na výrobu liekov definov</w:t>
            </w:r>
            <w:r>
              <w:rPr>
                <w:rFonts w:ascii="Arial Narrow" w:hAnsi="Arial Narrow" w:cs="Times New Roman"/>
                <w:sz w:val="18"/>
              </w:rPr>
              <w:t>aných smernicou 65/65/EHS,</w:t>
            </w:r>
          </w:p>
          <w:p>
            <w:pPr>
              <w:pStyle w:val="PlainText"/>
              <w:numPr>
                <w:ilvl w:val="0"/>
                <w:numId w:val="39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 sa produkt používa na výrobu esencií na prípravu potravín a nealkoholických nápojov s obsahom etanolu neprekračujúcim hodnotu 1,2 % objemových percent etanolu,</w:t>
            </w:r>
          </w:p>
          <w:p>
            <w:pPr>
              <w:pStyle w:val="PlainText"/>
              <w:numPr>
                <w:ilvl w:val="0"/>
                <w:numId w:val="39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 sa výrobok používa priamo ako zložka v polotovaroch na výrobu potravín, plnených alebo podobných, za predpokladu, že v žiadnom prípade obsah etanolu neprekročí hodnotu 8,5 litra čistého etanolu na 100 kg výrobku pre čokolády a 5 litrov čistého etanolu pre ostatné výrobky.</w:t>
            </w:r>
          </w:p>
          <w:p>
            <w:pPr>
              <w:pStyle w:val="PlainText"/>
              <w:jc w:val="both"/>
              <w:rPr>
                <w:rFonts w:ascii="Arial Narrow" w:hAnsi="Arial Narrow" w:cs="Times New Roman"/>
                <w:sz w:val="18"/>
              </w:rPr>
            </w:pPr>
          </w:p>
          <w:p>
            <w:pPr>
              <w:pStyle w:val="PlainText"/>
              <w:jc w:val="both"/>
              <w:rPr>
                <w:rFonts w:ascii="Arial Narrow" w:hAnsi="Arial Narrow" w:cs="Times New Roman"/>
                <w:sz w:val="18"/>
              </w:rPr>
            </w:pPr>
          </w:p>
          <w:p>
            <w:pPr>
              <w:pStyle w:val="PlainText"/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2. Členské štáty môžu oslobodiť produkty podliehajúce tejto smernici od zosúladenej spotrebnej dane za podmienok, ktoré stanovia na účely zabezpečenia správnej a čestnej aplikácie týchto oslobodení od daní a na účely ochrany pred daňovými únikmi, pred vyhýbaniu sa plateniu daní a pred ich zneužívaním, ak sa tieto produkty používajú:</w:t>
            </w:r>
          </w:p>
          <w:p>
            <w:pPr>
              <w:pStyle w:val="PlainText"/>
              <w:numPr>
                <w:ilvl w:val="0"/>
                <w:numId w:val="40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ako vzorky pre analýzu, pre nevyhnutné výrobné testy alebo na vedecké účely,</w:t>
            </w:r>
          </w:p>
          <w:p>
            <w:pPr>
              <w:pStyle w:val="PlainText"/>
              <w:numPr>
                <w:ilvl w:val="0"/>
                <w:numId w:val="40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na vedecký výskum,</w:t>
            </w:r>
          </w:p>
          <w:p>
            <w:pPr>
              <w:pStyle w:val="PlainText"/>
              <w:numPr>
                <w:ilvl w:val="0"/>
                <w:numId w:val="40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na medicínske účely v nemocniciach a lekárňach,</w:t>
            </w:r>
          </w:p>
          <w:p>
            <w:pPr>
              <w:pStyle w:val="PlainText"/>
              <w:numPr>
                <w:ilvl w:val="0"/>
                <w:numId w:val="40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vo výrobnom procese za predpokladu, že finálny produkt neobsahuje etanol,</w:t>
            </w:r>
          </w:p>
          <w:p>
            <w:pPr>
              <w:pStyle w:val="PlainText"/>
              <w:numPr>
                <w:ilvl w:val="0"/>
                <w:numId w:val="40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pri výrobe produktov, ktorých zložky nepodliehajú spotrebnej dani podľa tejto smernice.</w:t>
            </w:r>
          </w:p>
          <w:p>
            <w:pPr>
              <w:jc w:val="both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N</w:t>
            </w: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D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zákon č. 105/ 2004</w:t>
            </w:r>
            <w:r>
              <w:rPr>
                <w:rFonts w:ascii="Arial Narrow" w:hAnsi="Arial Narrow" w:cs="Times New Roman"/>
                <w:sz w:val="18"/>
              </w:rPr>
              <w:t xml:space="preserve"> a </w:t>
            </w:r>
            <w:r>
              <w:rPr>
                <w:rFonts w:ascii="Arial Narrow" w:hAnsi="Arial Narrow" w:cs="Times New Roman"/>
                <w:b/>
                <w:sz w:val="18"/>
              </w:rPr>
              <w:t xml:space="preserve">návrh  zákona </w:t>
            </w:r>
          </w:p>
          <w:p>
            <w:pPr>
              <w:rPr>
                <w:rFonts w:ascii="Arial Narrow" w:hAnsi="Arial Narrow" w:cs="Times New Roman"/>
                <w:b/>
                <w:sz w:val="18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zákon č. 105/ 2004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</w:rPr>
            </w:pPr>
          </w:p>
          <w:p>
            <w:pPr>
              <w:rPr>
                <w:rFonts w:ascii="Arial Narrow" w:hAnsi="Arial Narrow" w:cs="Times New Roman"/>
                <w:b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zákon č. 105/ 2004</w:t>
            </w:r>
            <w:r>
              <w:rPr>
                <w:rFonts w:ascii="Arial Narrow" w:hAnsi="Arial Narrow" w:cs="Times New Roman"/>
                <w:sz w:val="18"/>
              </w:rPr>
              <w:t xml:space="preserve"> a </w:t>
            </w:r>
            <w:r>
              <w:rPr>
                <w:rFonts w:ascii="Arial Narrow" w:hAnsi="Arial Narrow" w:cs="Times New Roman"/>
                <w:b/>
                <w:sz w:val="18"/>
              </w:rPr>
              <w:t xml:space="preserve">návrh  zákona </w:t>
            </w: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zákon č. 105/ 2004</w:t>
            </w:r>
            <w:r>
              <w:rPr>
                <w:rFonts w:ascii="Arial Narrow" w:hAnsi="Arial Narrow" w:cs="Times New Roman"/>
                <w:sz w:val="18"/>
              </w:rPr>
              <w:t xml:space="preserve"> </w:t>
            </w: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§</w:t>
            </w:r>
            <w:r>
              <w:rPr>
                <w:rFonts w:ascii="Arial Narrow" w:hAnsi="Arial Narrow" w:cs="Times New Roman"/>
                <w:bCs/>
                <w:sz w:val="18"/>
              </w:rPr>
              <w:t xml:space="preserve"> 7 ods.2</w:t>
            </w:r>
            <w:r>
              <w:rPr>
                <w:rFonts w:ascii="Arial Narrow" w:hAnsi="Arial Narrow" w:cs="Times New Roman"/>
                <w:b/>
                <w:bCs/>
                <w:sz w:val="18"/>
              </w:rPr>
              <w:t xml:space="preserve"> pís.a)</w:t>
            </w:r>
          </w:p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§ 7 ods.1 pís.e)</w:t>
            </w:r>
          </w:p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 xml:space="preserve">§ 7 ods.1 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</w:rPr>
              <w:t>pís.a)</w:t>
            </w:r>
            <w:r>
              <w:rPr>
                <w:rFonts w:ascii="Arial Narrow" w:hAnsi="Arial Narrow" w:cs="Times New Roman"/>
                <w:bCs/>
                <w:sz w:val="18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18"/>
              </w:rPr>
              <w:t>pís.b</w:t>
            </w:r>
            <w:r>
              <w:rPr>
                <w:rFonts w:ascii="Arial Narrow" w:hAnsi="Arial Narrow" w:cs="Times New Roman"/>
                <w:bCs/>
                <w:sz w:val="18"/>
              </w:rPr>
              <w:t xml:space="preserve">) 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 xml:space="preserve">pís.c) 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</w:rPr>
              <w:t>pís.d</w:t>
            </w:r>
            <w:r>
              <w:rPr>
                <w:rFonts w:ascii="Arial Narrow" w:hAnsi="Arial Narrow" w:cs="Times New Roman"/>
                <w:bCs/>
                <w:sz w:val="18"/>
              </w:rPr>
              <w:t>)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 xml:space="preserve">§ 7 ods.2 pís.c) 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pís.d)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</w:rPr>
              <w:t>pís.f)</w:t>
            </w: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noProof/>
                <w:sz w:val="18"/>
              </w:rPr>
            </w:pPr>
            <w:r>
              <w:rPr>
                <w:rFonts w:ascii="Arial Narrow" w:hAnsi="Arial Narrow" w:cs="Times New Roman"/>
                <w:b/>
                <w:noProof/>
                <w:sz w:val="18"/>
                <w:lang w:val="en-GB"/>
              </w:rPr>
              <w:t>Od dane je oslobodený aj lieh</w:t>
            </w:r>
          </w:p>
          <w:p>
            <w:pPr>
              <w:pStyle w:val="Zkladntext"/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sz w:val="18"/>
              </w:rPr>
            </w:pPr>
            <w:r>
              <w:rPr>
                <w:rFonts w:ascii="Arial Narrow" w:hAnsi="Arial Narrow" w:cs="Times New Roman"/>
                <w:b/>
                <w:sz w:val="18"/>
              </w:rPr>
              <w:t>všeobecne denaturovaný v súlade s týmto zákonom a osobitným predpisom,</w:t>
            </w:r>
            <w:r>
              <w:rPr>
                <w:rFonts w:ascii="Arial Narrow" w:hAnsi="Arial Narrow" w:cs="Times New Roman"/>
                <w:b/>
                <w:sz w:val="18"/>
                <w:vertAlign w:val="superscript"/>
              </w:rPr>
              <w:t>6)</w:t>
            </w:r>
            <w:r>
              <w:rPr>
                <w:rFonts w:ascii="Arial Narrow" w:hAnsi="Arial Narrow" w:cs="Times New Roman"/>
                <w:b/>
                <w:sz w:val="18"/>
              </w:rPr>
              <w:t xml:space="preserve"> ak je prepravovaný so zjednodušeným sprievodným dokumentom,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noProof/>
                <w:sz w:val="18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Lieh je oslobodený od dane, ak je určený na použitie</w:t>
            </w:r>
            <w:r>
              <w:rPr>
                <w:rFonts w:ascii="Arial Narrow" w:hAnsi="Arial Narrow" w:cs="Times New Roman"/>
                <w:b/>
                <w:noProof/>
                <w:sz w:val="18"/>
              </w:rPr>
              <w:t xml:space="preserve"> 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noProof/>
                <w:sz w:val="18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osobitne denaturovaný  na výrobu výrobkov alebo  na iný určený  účel použitia  v súlade s  týmto zákonom a  všeobecne záväzným     právnym predpisom, ktorý vydá ministerstvo podľa § 8 ods. 2,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Lieh je oslobodený od dane, ak je určený na použitie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/>
                <w:bCs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noProof/>
                <w:sz w:val="18"/>
                <w:lang w:val="en-GB"/>
              </w:rPr>
              <w:t>na   výrobu   octu   kódu  kombinovanej nomenklatúry 2209,</w:t>
            </w:r>
          </w:p>
          <w:p>
            <w:pPr>
              <w:pStyle w:val="BodyText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na výrobu a prípravu liekov,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 xml:space="preserve">5)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liečiv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 xml:space="preserve">5)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a pomocných látok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>5)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 osobami oprávnenými na ich výrobu a prípravu podľa osobitného predpisu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>5)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 a výživových 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>doplnkov,</w:t>
            </w:r>
            <w:r>
              <w:rPr>
                <w:rFonts w:ascii="Arial Narrow" w:hAnsi="Arial Narrow" w:cs="Times New Roman"/>
                <w:b/>
                <w:sz w:val="18"/>
                <w:szCs w:val="22"/>
                <w:vertAlign w:val="superscript"/>
              </w:rPr>
              <w:t>5a)</w:t>
            </w:r>
            <w:r>
              <w:rPr>
                <w:rFonts w:ascii="Arial Narrow" w:hAnsi="Arial Narrow" w:cs="Times New Roman"/>
                <w:b/>
                <w:sz w:val="18"/>
                <w:szCs w:val="22"/>
              </w:rPr>
              <w:t xml:space="preserve"> s výnimkou výživových doplnkov kódu kombinovanej nomenklatúry 2207 a 2208, ak tento zákon neustanovuje inak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na výrobu  aróm určených na aromatizovanie  potravín a nápojov     s obsahom alkoholu najviac 1,2% objemu,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na výrobu potravín, ak  obsah alkoholu neprekročí množstvo 8,5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 l a.  na  100  kg  výrobku  pre  čokoládové výrobky a množstvo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  5 l  a. na  100 kg  výrobku pre  ostatné potraviny  s výnimkou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  nápojov</w:t>
            </w:r>
            <w:r>
              <w:rPr>
                <w:rFonts w:ascii="Arial Narrow" w:hAnsi="Arial Narrow" w:cs="Times New Roman"/>
                <w:b w:val="0"/>
                <w:bCs/>
                <w:noProof/>
                <w:sz w:val="18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noProof/>
                <w:sz w:val="18"/>
              </w:rPr>
              <w:t>s obsahom alkoholu viac ako 1,2 % objemu</w:t>
            </w: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Od dane je oslobodený aj lieh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odobratý  ako  vzorka  na  účely  daňového  dozoru  alebo inej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   úradnej    kontroly,    úradnej    skúšky    alebo    úradného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   zisťovania, 7) v technologicky odôvodnenom množstve,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použitý v  daňovom sklade na vlastné  laboratórne skúšky alebo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   rozbory v  technologicky odôvodnenom množstve,  uznanom colným úradom,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>na   vedecké   účely</w:t>
            </w:r>
            <w:r>
              <w:rPr>
                <w:rFonts w:ascii="Arial Narrow" w:hAnsi="Arial Narrow" w:cs="Times New Roman"/>
                <w:b/>
                <w:noProof/>
                <w:sz w:val="18"/>
                <w:lang w:val="en-GB"/>
              </w:rPr>
              <w:t xml:space="preserve">, </w:t>
            </w:r>
            <w:r>
              <w:rPr>
                <w:rFonts w:ascii="Arial Narrow" w:hAnsi="Arial Narrow" w:cs="Times New Roman"/>
                <w:b/>
                <w:noProof/>
                <w:sz w:val="18"/>
              </w:rPr>
              <w:t xml:space="preserve"> </w:t>
            </w:r>
            <w:r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  <w:t xml:space="preserve"> výskumné   účely   alebo  na  použitie  v zdravotníctve, ak preukázateľne nie je možné použiť osobitne   denaturovaný lieh,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Ú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MF SR, Colné riaditeľstvo SR ,</w:t>
            </w:r>
          </w:p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colné úr</w:t>
            </w:r>
            <w:r>
              <w:rPr>
                <w:rFonts w:ascii="Arial Narrow" w:hAnsi="Arial Narrow" w:cs="Times New Roman"/>
                <w:sz w:val="18"/>
                <w:szCs w:val="22"/>
              </w:rPr>
              <w:t>ady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</w:p>
        </w:tc>
      </w:tr>
      <w:tr>
        <w:tblPrEx>
          <w:tblW w:w="1525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Čl. 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PlainText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1. Členské štáty musia uviesť do účinnosti zákony, iné právne predpisy a správne  opatrenia potrebné na splnenie podmienok tejto smernice, a to najneskôr do 31. decembra 1992. Musia o tom bezodkladne informovať Komisiu.</w:t>
            </w:r>
          </w:p>
          <w:p>
            <w:pPr>
              <w:pStyle w:val="PlainText"/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Opatrenia, ktoré prijmú členské štáty, musia obsahovať odkazy na túto smernicu alebo k nim musí byť takýto odkaz pridaný pri príležitosti ich oficiálneho vydania. Metódy uvádzania týchto odkazov stanovia členské štáty.</w:t>
            </w:r>
          </w:p>
          <w:p>
            <w:pPr>
              <w:numPr>
                <w:ilvl w:val="0"/>
                <w:numId w:val="38"/>
              </w:numPr>
              <w:tabs>
                <w:tab w:val="left" w:pos="360"/>
              </w:tabs>
              <w:jc w:val="both"/>
              <w:rPr>
                <w:rFonts w:ascii="Arial Narrow" w:hAnsi="Arial Narrow" w:cs="Times New Roman"/>
                <w:sz w:val="18"/>
                <w:szCs w:val="22"/>
              </w:rPr>
            </w:pPr>
            <w:r>
              <w:rPr>
                <w:rFonts w:ascii="Arial Narrow" w:hAnsi="Arial Narrow" w:cs="Times New Roman"/>
                <w:sz w:val="18"/>
                <w:szCs w:val="22"/>
              </w:rPr>
              <w:t>Členské štáty musia predložiť Komisii texty hlavných ustano</w:t>
            </w:r>
            <w:r>
              <w:rPr>
                <w:rFonts w:ascii="Arial Narrow" w:hAnsi="Arial Narrow" w:cs="Times New Roman"/>
                <w:sz w:val="18"/>
                <w:szCs w:val="22"/>
              </w:rPr>
              <w:t>vení národných zákonov, ktoré prijali v oblasti podliehajúcej tejto smernici.</w:t>
            </w:r>
          </w:p>
          <w:p>
            <w:pPr>
              <w:pStyle w:val="PlainText"/>
              <w:jc w:val="both"/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N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b/>
                <w:bCs/>
                <w:sz w:val="18"/>
              </w:rPr>
            </w:pPr>
            <w:r>
              <w:rPr>
                <w:rFonts w:ascii="Arial Narrow" w:hAnsi="Arial Narrow" w:cs="Times New Roman"/>
                <w:b/>
                <w:bCs/>
                <w:sz w:val="18"/>
              </w:rPr>
              <w:t xml:space="preserve">Návrh zákona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>Čl. III</w:t>
            </w: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pStyle w:val="BodyText3"/>
              <w:rPr>
                <w:rFonts w:ascii="Arial Narrow" w:hAnsi="Arial Narrow" w:cs="Times New Roman"/>
                <w:bCs/>
                <w:sz w:val="18"/>
                <w:szCs w:val="22"/>
              </w:rPr>
            </w:pPr>
          </w:p>
          <w:p>
            <w:pPr>
              <w:rPr>
                <w:rFonts w:ascii="Arial Narrow" w:hAnsi="Arial Narrow" w:cs="Times New Roman"/>
                <w:bCs/>
                <w:sz w:val="18"/>
              </w:rPr>
            </w:pPr>
            <w:r>
              <w:rPr>
                <w:rFonts w:ascii="Arial Narrow" w:hAnsi="Arial Narrow" w:cs="Times New Roman"/>
                <w:bCs/>
                <w:sz w:val="18"/>
                <w:szCs w:val="22"/>
              </w:rPr>
              <w:t xml:space="preserve">Príloha č. 1 bod 2.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Zkladntext"/>
              <w:tabs>
                <w:tab w:val="left" w:pos="360"/>
              </w:tabs>
              <w:spacing w:line="240" w:lineRule="atLeast"/>
              <w:jc w:val="both"/>
              <w:rPr>
                <w:rFonts w:ascii="Arial Narrow" w:hAnsi="Arial Narrow" w:cs="Times New Roman"/>
                <w:b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sz w:val="18"/>
                <w:szCs w:val="22"/>
              </w:rPr>
              <w:t>Tento zákon nadobúda účinnosť 1. júla 2006 okrem bodu 16, ktorý nadobúda účinnosť 1. októbra 2006 a bodu  95, ktorý nadobúda účinnosť 1. januára 2007.</w:t>
            </w:r>
          </w:p>
          <w:p>
            <w:pPr>
              <w:pStyle w:val="Zkladntext"/>
              <w:tabs>
                <w:tab w:val="left" w:pos="360"/>
              </w:tabs>
              <w:spacing w:line="240" w:lineRule="atLeast"/>
              <w:jc w:val="center"/>
              <w:rPr>
                <w:rFonts w:ascii="Arial Narrow" w:hAnsi="Arial Narrow" w:cs="Times New Roman"/>
                <w:b/>
                <w:sz w:val="18"/>
                <w:szCs w:val="22"/>
              </w:rPr>
            </w:pPr>
          </w:p>
          <w:p>
            <w:pPr>
              <w:tabs>
                <w:tab w:val="left" w:pos="360"/>
              </w:tabs>
              <w:jc w:val="center"/>
              <w:rPr>
                <w:rFonts w:ascii="Arial Narrow" w:hAnsi="Arial Narrow" w:cs="Times New Roman"/>
                <w:b/>
                <w:noProof/>
                <w:sz w:val="18"/>
                <w:szCs w:val="22"/>
              </w:rPr>
            </w:pPr>
            <w:r>
              <w:rPr>
                <w:rFonts w:ascii="Arial Narrow" w:hAnsi="Arial Narrow" w:cs="Times New Roman"/>
                <w:b/>
                <w:noProof/>
                <w:sz w:val="18"/>
                <w:szCs w:val="22"/>
              </w:rPr>
              <w:t>Zoznam preberaných právnych aktov Európskych spoločenstiev a Európskej únie</w:t>
            </w:r>
          </w:p>
          <w:p>
            <w:pPr>
              <w:tabs>
                <w:tab w:val="left" w:pos="360"/>
              </w:tabs>
              <w:jc w:val="both"/>
              <w:rPr>
                <w:rFonts w:ascii="Arial Narrow" w:hAnsi="Arial Narrow" w:cs="Times New Roman"/>
                <w:b w:val="0"/>
                <w:noProof/>
                <w:sz w:val="18"/>
                <w:lang w:val="en-GB"/>
              </w:rPr>
            </w:pPr>
            <w:r>
              <w:rPr>
                <w:rFonts w:ascii="Arial Narrow" w:hAnsi="Arial Narrow" w:cs="Times New Roman"/>
                <w:b/>
                <w:noProof/>
                <w:sz w:val="18"/>
              </w:rPr>
              <w:t>2. Smernica  Rady  92/83/EHS  z  19. 10. 1992  o zosúladení štruktúr spotrebných  daní z alkoholu  a alkoholických nápojov (Ú. v. ES L 316, 31.10.1992) v zne</w:t>
            </w:r>
            <w:r>
              <w:rPr>
                <w:rFonts w:ascii="Arial Narrow" w:hAnsi="Arial Narrow" w:cs="Times New Roman"/>
                <w:b/>
                <w:noProof/>
                <w:sz w:val="18"/>
              </w:rPr>
              <w:t>ní Aktu o podmienkach pristúpenia pripojeným k Zmluve o pristúpení Slovenskej republiky k Európskej únii (Ú. v. EÚ L 236, 23.09.2003).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BodyText"/>
              <w:rPr>
                <w:rFonts w:ascii="Arial Narrow" w:hAnsi="Arial Narrow" w:cs="Times New Roman"/>
                <w:sz w:val="18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</w:p>
          <w:p>
            <w:pPr>
              <w:rPr>
                <w:rFonts w:ascii="Arial Narrow" w:hAnsi="Arial Narrow" w:cs="Times New Roman"/>
                <w:sz w:val="18"/>
              </w:rPr>
            </w:pPr>
            <w:r>
              <w:rPr>
                <w:rFonts w:ascii="Arial Narrow" w:hAnsi="Arial Narrow" w:cs="Times New Roman"/>
                <w:sz w:val="18"/>
              </w:rPr>
              <w:t>SR informuje prostredníctvom notifikácie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ascii="Arial Narrow" w:hAnsi="Arial Narrow" w:cs="Times New Roman"/>
                <w:sz w:val="18"/>
              </w:rPr>
            </w:pPr>
          </w:p>
        </w:tc>
      </w:tr>
    </w:tbl>
    <w:p>
      <w:pPr>
        <w:rPr>
          <w:rFonts w:ascii="Arial Narrow" w:hAnsi="Arial Narrow" w:cs="Times New Roman"/>
          <w:sz w:val="20"/>
        </w:rPr>
      </w:pPr>
    </w:p>
    <w:sectPr>
      <w:footerReference w:type="even" r:id="rId4"/>
      <w:footerReference w:type="default" r:id="rId5"/>
      <w:pgSz w:w="16840" w:h="11907" w:orient="landscape" w:code="9"/>
      <w:pgMar w:top="1191" w:right="1191" w:bottom="1191" w:left="1191" w:header="397" w:footer="397" w:gutter="0"/>
      <w:pgNumType w:start="2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474"/>
    <w:multiLevelType w:val="hybridMultilevel"/>
    <w:tmpl w:val="129892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D02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805511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">
    <w:nsid w:val="0B92085E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4">
    <w:nsid w:val="0F7F27E1"/>
    <w:multiLevelType w:val="hybridMultilevel"/>
    <w:tmpl w:val="3E9AF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5D7870"/>
    <w:multiLevelType w:val="hybridMultilevel"/>
    <w:tmpl w:val="1726718C"/>
    <w:lvl w:ilvl="0">
      <w:start w:val="2"/>
      <w:numFmt w:val="lowerLetter"/>
      <w:lvlText w:val="%1)"/>
      <w:lvlJc w:val="left"/>
      <w:pPr>
        <w:tabs>
          <w:tab w:val="num" w:pos="1818"/>
        </w:tabs>
        <w:ind w:left="1818" w:hanging="111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5B7714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5E80A51"/>
    <w:multiLevelType w:val="hybrid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88739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>
    <w:nsid w:val="1F2B75E3"/>
    <w:multiLevelType w:val="singleLevel"/>
    <w:tmpl w:val="041B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24481AC7"/>
    <w:multiLevelType w:val="singleLevel"/>
    <w:tmpl w:val="DCE874A2"/>
    <w:lvl w:ilvl="0">
      <w:start w:val="1"/>
      <w:numFmt w:val="lowerLetter"/>
      <w:lvlText w:val="(%1)"/>
      <w:lvlJc w:val="left"/>
      <w:pPr>
        <w:tabs>
          <w:tab w:val="num" w:pos="405"/>
        </w:tabs>
        <w:ind w:left="405" w:hanging="405"/>
      </w:pPr>
    </w:lvl>
  </w:abstractNum>
  <w:abstractNum w:abstractNumId="11">
    <w:nsid w:val="25C11713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2">
    <w:nsid w:val="2C642803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13">
    <w:nsid w:val="2CAA277A"/>
    <w:multiLevelType w:val="multilevel"/>
    <w:tmpl w:val="5D90EFC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4">
    <w:nsid w:val="335E528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68E2080"/>
    <w:multiLevelType w:val="multilevel"/>
    <w:tmpl w:val="75688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D21F84"/>
    <w:multiLevelType w:val="multilevel"/>
    <w:tmpl w:val="6EE6C6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17">
    <w:nsid w:val="39621A1C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97C1365"/>
    <w:multiLevelType w:val="singleLevel"/>
    <w:tmpl w:val="8CA86D9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42AF7427"/>
    <w:multiLevelType w:val="multilevel"/>
    <w:tmpl w:val="E43689B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20">
    <w:nsid w:val="4A8B6F0E"/>
    <w:multiLevelType w:val="multilevel"/>
    <w:tmpl w:val="9B9C187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21">
    <w:nsid w:val="4AB53BF8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D6315C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EF73014"/>
    <w:multiLevelType w:val="hybridMultilevel"/>
    <w:tmpl w:val="0DA8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34204E"/>
    <w:multiLevelType w:val="multilevel"/>
    <w:tmpl w:val="CD747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A306F0"/>
    <w:multiLevelType w:val="singleLevel"/>
    <w:tmpl w:val="D25EFE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2EF69F1"/>
    <w:multiLevelType w:val="singleLevel"/>
    <w:tmpl w:val="041B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577735DD"/>
    <w:multiLevelType w:val="hybridMultilevel"/>
    <w:tmpl w:val="0AD858C6"/>
    <w:lvl w:ilvl="0">
      <w:start w:val="1"/>
      <w:numFmt w:val="lowerLetter"/>
      <w:lvlText w:val="%1)"/>
      <w:lvlJc w:val="left"/>
      <w:pPr>
        <w:tabs>
          <w:tab w:val="num" w:pos="1110"/>
        </w:tabs>
        <w:ind w:left="1110" w:hanging="690"/>
      </w:pPr>
    </w:lvl>
    <w:lvl w:ilvl="1">
      <w:start w:val="1"/>
      <w:numFmt w:val="lowerLetter"/>
      <w:lvlText w:val="(%2)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Letter"/>
      <w:lvlText w:val="(%3)"/>
      <w:lvlJc w:val="left"/>
      <w:pPr>
        <w:tabs>
          <w:tab w:val="num" w:pos="3300"/>
        </w:tabs>
        <w:ind w:left="3300" w:hanging="1260"/>
      </w:pPr>
    </w:lvl>
    <w:lvl w:ilvl="3">
      <w:start w:val="4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59000DA0"/>
    <w:multiLevelType w:val="multilevel"/>
    <w:tmpl w:val="CFB02E7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886CB8"/>
    <w:multiLevelType w:val="singleLevel"/>
    <w:tmpl w:val="47F2A718"/>
    <w:lvl w:ilvl="0">
      <w:start w:val="1"/>
      <w:numFmt w:val="decimal"/>
      <w:lvlText w:val="(%1)"/>
      <w:lvlJc w:val="left"/>
      <w:pPr>
        <w:tabs>
          <w:tab w:val="num" w:pos="941"/>
        </w:tabs>
        <w:ind w:left="941" w:hanging="375"/>
      </w:pPr>
    </w:lvl>
  </w:abstractNum>
  <w:abstractNum w:abstractNumId="30">
    <w:nsid w:val="5C015163"/>
    <w:multiLevelType w:val="singleLevel"/>
    <w:tmpl w:val="213EA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1">
    <w:nsid w:val="5FDF2804"/>
    <w:multiLevelType w:val="hybridMultilevel"/>
    <w:tmpl w:val="2A6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AA1045"/>
    <w:multiLevelType w:val="singleLevel"/>
    <w:tmpl w:val="D4147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426614B"/>
    <w:multiLevelType w:val="singleLevel"/>
    <w:tmpl w:val="002E4AC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4">
    <w:nsid w:val="658C6F86"/>
    <w:multiLevelType w:val="multilevel"/>
    <w:tmpl w:val="BA58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rtl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850" w:hanging="283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360" w:firstLine="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5">
    <w:nsid w:val="675867A1"/>
    <w:multiLevelType w:val="multilevel"/>
    <w:tmpl w:val="ACA22E7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abstractNum w:abstractNumId="36">
    <w:nsid w:val="68641F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69AF219D"/>
    <w:multiLevelType w:val="singleLevel"/>
    <w:tmpl w:val="7434769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</w:abstractNum>
  <w:abstractNum w:abstractNumId="38">
    <w:nsid w:val="6E7F5C4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817ED8"/>
    <w:multiLevelType w:val="singleLevel"/>
    <w:tmpl w:val="60C03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A50422"/>
    <w:multiLevelType w:val="multilevel"/>
    <w:tmpl w:val="64D228CE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</w:lvl>
    <w:lvl w:ilvl="1">
      <w:start w:val="0"/>
      <w:numFmt w:val="decimal"/>
      <w:lvlJc w:val="left"/>
      <w:pPr>
        <w:ind w:left="0"/>
      </w:pPr>
    </w:lvl>
    <w:lvl w:ilvl="2">
      <w:start w:val="0"/>
      <w:numFmt w:val="decimal"/>
      <w:lvlJc w:val="left"/>
      <w:pPr>
        <w:ind w:left="0"/>
      </w:pPr>
    </w:lvl>
    <w:lvl w:ilvl="3">
      <w:start w:val="0"/>
      <w:numFmt w:val="decimal"/>
      <w:lvlJc w:val="left"/>
      <w:pPr>
        <w:ind w:left="0"/>
      </w:pPr>
    </w:lvl>
    <w:lvl w:ilvl="4">
      <w:start w:val="0"/>
      <w:numFmt w:val="decimal"/>
      <w:lvlJc w:val="left"/>
      <w:pPr>
        <w:ind w:left="0"/>
      </w:pPr>
    </w:lvl>
    <w:lvl w:ilvl="5">
      <w:start w:val="0"/>
      <w:numFmt w:val="decimal"/>
      <w:lvlJc w:val="left"/>
      <w:pPr>
        <w:ind w:left="0"/>
      </w:pPr>
    </w:lvl>
    <w:lvl w:ilvl="6">
      <w:start w:val="0"/>
      <w:numFmt w:val="decimal"/>
      <w:lvlJc w:val="left"/>
      <w:pPr>
        <w:ind w:left="0"/>
      </w:pPr>
    </w:lvl>
    <w:lvl w:ilvl="7">
      <w:start w:val="0"/>
      <w:numFmt w:val="decimal"/>
      <w:lvlJc w:val="left"/>
      <w:pPr>
        <w:ind w:left="0"/>
      </w:pPr>
    </w:lvl>
    <w:lvl w:ilvl="8">
      <w:start w:val="0"/>
      <w:numFmt w:val="decimal"/>
      <w:lvlJc w:val="left"/>
      <w:pPr>
        <w:ind w:left="0"/>
      </w:pPr>
    </w:lvl>
  </w:abstractNum>
  <w:num w:numId="1">
    <w:abstractNumId w:val="18"/>
  </w:num>
  <w:num w:numId="2">
    <w:abstractNumId w:val="1"/>
  </w:num>
  <w:num w:numId="3">
    <w:abstractNumId w:val="17"/>
  </w:num>
  <w:num w:numId="4">
    <w:abstractNumId w:val="10"/>
  </w:num>
  <w:num w:numId="5">
    <w:abstractNumId w:val="33"/>
  </w:num>
  <w:num w:numId="6">
    <w:abstractNumId w:val="21"/>
  </w:num>
  <w:num w:numId="7">
    <w:abstractNumId w:val="8"/>
  </w:num>
  <w:num w:numId="8">
    <w:abstractNumId w:val="32"/>
  </w:num>
  <w:num w:numId="9">
    <w:abstractNumId w:val="12"/>
  </w:num>
  <w:num w:numId="10">
    <w:abstractNumId w:val="37"/>
  </w:num>
  <w:num w:numId="11">
    <w:abstractNumId w:val="39"/>
  </w:num>
  <w:num w:numId="12">
    <w:abstractNumId w:val="3"/>
  </w:num>
  <w:num w:numId="13">
    <w:abstractNumId w:val="25"/>
  </w:num>
  <w:num w:numId="14">
    <w:abstractNumId w:val="22"/>
  </w:num>
  <w:num w:numId="15">
    <w:abstractNumId w:val="6"/>
  </w:num>
  <w:num w:numId="16">
    <w:abstractNumId w:val="24"/>
  </w:num>
  <w:num w:numId="17">
    <w:abstractNumId w:val="35"/>
  </w:num>
  <w:num w:numId="18">
    <w:abstractNumId w:val="20"/>
  </w:num>
  <w:num w:numId="19">
    <w:abstractNumId w:val="16"/>
  </w:num>
  <w:num w:numId="20">
    <w:abstractNumId w:val="13"/>
  </w:num>
  <w:num w:numId="21">
    <w:abstractNumId w:val="2"/>
  </w:num>
  <w:num w:numId="22">
    <w:abstractNumId w:val="40"/>
  </w:num>
  <w:num w:numId="23">
    <w:abstractNumId w:val="11"/>
  </w:num>
  <w:num w:numId="24">
    <w:abstractNumId w:val="19"/>
  </w:num>
  <w:num w:numId="25">
    <w:abstractNumId w:val="23"/>
  </w:num>
  <w:num w:numId="26">
    <w:abstractNumId w:val="5"/>
  </w:num>
  <w:num w:numId="27">
    <w:abstractNumId w:val="31"/>
  </w:num>
  <w:num w:numId="28">
    <w:abstractNumId w:val="36"/>
  </w:num>
  <w:num w:numId="29">
    <w:abstractNumId w:val="7"/>
  </w:num>
  <w:num w:numId="30">
    <w:abstractNumId w:val="14"/>
  </w:num>
  <w:num w:numId="31">
    <w:abstractNumId w:val="4"/>
  </w:num>
  <w:num w:numId="32">
    <w:abstractNumId w:val="27"/>
  </w:num>
  <w:num w:numId="33">
    <w:abstractNumId w:val="28"/>
  </w:num>
  <w:num w:numId="34">
    <w:abstractNumId w:val="29"/>
  </w:num>
  <w:num w:numId="35">
    <w:abstractNumId w:val="15"/>
  </w:num>
  <w:num w:numId="36">
    <w:abstractNumId w:val="0"/>
  </w:num>
  <w:num w:numId="37">
    <w:abstractNumId w:val="30"/>
  </w:num>
  <w:num w:numId="38">
    <w:abstractNumId w:val="38"/>
  </w:num>
  <w:num w:numId="39">
    <w:abstractNumId w:val="26"/>
  </w:num>
  <w:num w:numId="40">
    <w:abstractNumId w:val="9"/>
  </w:num>
  <w:num w:numId="41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gutterAtTop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noProof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noProof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360"/>
      </w:tabs>
      <w:ind w:right="-285"/>
      <w:jc w:val="lef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noProof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pPr>
      <w:overflowPunct w:val="0"/>
      <w:autoSpaceDE/>
      <w:autoSpaceDN/>
      <w:jc w:val="left"/>
      <w:textAlignment w:val="baseline"/>
    </w:pPr>
    <w:rPr>
      <w:noProof/>
      <w:sz w:val="20"/>
      <w:lang w:val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2">
    <w:name w:val="Body Text 2"/>
    <w:basedOn w:val="Normal"/>
    <w:pPr>
      <w:overflowPunct w:val="0"/>
      <w:autoSpaceDE/>
      <w:autoSpaceDN/>
      <w:spacing w:line="360" w:lineRule="auto"/>
      <w:ind w:firstLine="708"/>
      <w:jc w:val="both"/>
      <w:textAlignment w:val="baseline"/>
    </w:pPr>
    <w:rPr>
      <w:noProof/>
    </w:rPr>
  </w:style>
  <w:style w:type="paragraph" w:styleId="BodyText3">
    <w:name w:val="Body Text 3"/>
    <w:basedOn w:val="Normal"/>
    <w:pPr>
      <w:jc w:val="left"/>
    </w:pPr>
    <w:rPr>
      <w:noProof/>
      <w:sz w:val="20"/>
    </w:rPr>
  </w:style>
  <w:style w:type="paragraph" w:styleId="BodyTextIndent">
    <w:name w:val="Body Text Indent"/>
    <w:basedOn w:val="Normal"/>
    <w:pPr>
      <w:spacing w:after="120"/>
      <w:ind w:left="284" w:hanging="284"/>
      <w:jc w:val="both"/>
    </w:pPr>
    <w:rPr>
      <w:noProof/>
      <w:lang w:val="en-GB"/>
    </w:rPr>
  </w:style>
  <w:style w:type="paragraph" w:styleId="BodyTextIndent3">
    <w:name w:val="Body Text Indent 3"/>
    <w:basedOn w:val="Normal"/>
    <w:pPr>
      <w:spacing w:after="120"/>
      <w:ind w:left="709"/>
      <w:jc w:val="both"/>
    </w:pPr>
    <w:rPr>
      <w:noProof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  <w:rtl w:val="0"/>
    </w:rPr>
  </w:style>
  <w:style w:type="paragraph" w:styleId="Title">
    <w:name w:val="Title"/>
    <w:basedOn w:val="Normal"/>
    <w:uiPriority w:val="10"/>
    <w:qFormat/>
    <w:pPr>
      <w:spacing w:after="120"/>
      <w:jc w:val="center"/>
    </w:pPr>
    <w:rPr>
      <w:b/>
      <w:noProof/>
      <w:lang w:val="en-GB"/>
    </w:rPr>
  </w:style>
  <w:style w:type="paragraph" w:styleId="BodyTextIndent2">
    <w:name w:val="Body Text Indent 2"/>
    <w:basedOn w:val="Normal"/>
    <w:pPr>
      <w:ind w:firstLine="708"/>
      <w:jc w:val="both"/>
    </w:pPr>
  </w:style>
  <w:style w:type="paragraph" w:customStyle="1" w:styleId="Point1">
    <w:name w:val="Point 1"/>
    <w:basedOn w:val="Normal"/>
    <w:pPr>
      <w:spacing w:before="120" w:after="120"/>
      <w:ind w:left="1417" w:hanging="567"/>
      <w:jc w:val="both"/>
    </w:pPr>
    <w:rPr>
      <w:szCs w:val="24"/>
      <w:lang w:val="en-GB" w:eastAsia="ko-KR"/>
    </w:rPr>
  </w:style>
  <w:style w:type="paragraph" w:customStyle="1" w:styleId="Text1">
    <w:name w:val="Text 1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2">
    <w:name w:val="Text 2"/>
    <w:basedOn w:val="Normal"/>
    <w:pPr>
      <w:spacing w:before="120" w:after="120"/>
      <w:ind w:left="850"/>
      <w:jc w:val="both"/>
    </w:pPr>
    <w:rPr>
      <w:szCs w:val="24"/>
      <w:lang w:val="en-GB" w:eastAsia="ko-KR"/>
    </w:rPr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customStyle="1" w:styleId="N-textsodrkami">
    <w:name w:val="N-text s odrážkami"/>
    <w:basedOn w:val="Normal"/>
    <w:pPr>
      <w:tabs>
        <w:tab w:val="left" w:pos="284"/>
      </w:tabs>
      <w:spacing w:after="120"/>
      <w:ind w:left="284"/>
      <w:jc w:val="both"/>
    </w:pPr>
  </w:style>
  <w:style w:type="paragraph" w:customStyle="1" w:styleId="Zkladntext">
    <w:name w:val="Základní text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0"/>
      <w:rtl w:val="0"/>
      <w:lang w:val="sk-SK" w:bidi="ar-SA"/>
    </w:rPr>
  </w:style>
  <w:style w:type="paragraph" w:customStyle="1" w:styleId="NumPar1">
    <w:name w:val="NumPar 1"/>
    <w:basedOn w:val="Normal"/>
    <w:next w:val="Normal"/>
    <w:pPr>
      <w:numPr>
        <w:ilvl w:val="0"/>
        <w:numId w:val="57"/>
      </w:numPr>
      <w:tabs>
        <w:tab w:val="left" w:pos="720"/>
      </w:tabs>
      <w:spacing w:before="120" w:after="120"/>
      <w:ind w:left="720" w:hanging="360"/>
      <w:jc w:val="both"/>
    </w:pPr>
    <w:rPr>
      <w:szCs w:val="24"/>
      <w:lang w:val="en-GB" w:eastAsia="ko-KR"/>
    </w:rPr>
  </w:style>
  <w:style w:type="paragraph" w:styleId="PlainText">
    <w:name w:val="Plain Text"/>
    <w:basedOn w:val="Normal"/>
    <w:pPr>
      <w:jc w:val="left"/>
    </w:pPr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921</Words>
  <Characters>5255</Characters>
  <Application>Microsoft Office Word</Application>
  <DocSecurity>0</DocSecurity>
  <Lines>0</Lines>
  <Paragraphs>0</Paragraphs>
  <ScaleCrop>false</ScaleCrop>
  <Company>Ministry of Finance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TABUĹKA ZHODY</dc:title>
  <dc:creator>Zamecnikova Petra</dc:creator>
  <cp:lastModifiedBy>jingeliova</cp:lastModifiedBy>
  <cp:revision>2</cp:revision>
  <cp:lastPrinted>2005-08-02T09:45:00Z</cp:lastPrinted>
  <dcterms:created xsi:type="dcterms:W3CDTF">2006-02-22T11:57:00Z</dcterms:created>
  <dcterms:modified xsi:type="dcterms:W3CDTF">2006-02-22T11:57:00Z</dcterms:modified>
</cp:coreProperties>
</file>