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cs="Times New Roman"/>
        </w:rPr>
      </w:pPr>
      <w:r>
        <w:rPr>
          <w:rFonts w:cs="Times New Roman"/>
        </w:rPr>
        <w:t>DOLOŽKA ZLUČITEĽNOSTI</w:t>
      </w:r>
    </w:p>
    <w:p>
      <w:pPr>
        <w:pStyle w:val="BodyText"/>
        <w:pBdr>
          <w:bottom w:val="single" w:sz="12" w:space="1" w:color="auto"/>
        </w:pBdr>
        <w:jc w:val="center"/>
        <w:rPr>
          <w:rFonts w:cs="Times New Roman"/>
        </w:rPr>
      </w:pPr>
      <w:r>
        <w:rPr>
          <w:rFonts w:cs="Times New Roman"/>
        </w:rPr>
        <w:t xml:space="preserve">k návrhu zákona, ktorým sa mení a dopĺňa zákon č. 105/2004 Z. z. o spotrebnej dani z liehu a o zmene a doplnení zákona č. 467/2002 Z. z. o výrobe a uvádzaní liehu na trh v znení zákona č. 211/2003 Z. z. v znení neskorších predpisov </w:t>
      </w:r>
    </w:p>
    <w:p>
      <w:pPr>
        <w:pStyle w:val="BodyText"/>
        <w:pBdr>
          <w:bottom w:val="single" w:sz="12" w:space="1" w:color="auto"/>
        </w:pBdr>
        <w:jc w:val="center"/>
        <w:rPr>
          <w:rFonts w:cs="Times New Roman"/>
        </w:rPr>
      </w:pPr>
      <w:r>
        <w:rPr>
          <w:rFonts w:cs="Times New Roman"/>
        </w:rPr>
        <w:t xml:space="preserve"> s právom Európskych spoločenstiev a právom Európskej únie</w:t>
      </w:r>
    </w:p>
    <w:p>
      <w:pPr>
        <w:pStyle w:val="BodyText"/>
        <w:rPr>
          <w:rFonts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Zkladntext0"/>
        <w:spacing w:after="120"/>
        <w:rPr>
          <w:rFonts w:ascii="Arial Narrow" w:hAnsi="Arial Narrow" w:cs="Times New Roman"/>
          <w:b/>
          <w:bCs/>
          <w:iCs/>
          <w:sz w:val="22"/>
          <w:szCs w:val="24"/>
        </w:rPr>
      </w:pPr>
      <w:r>
        <w:rPr>
          <w:rFonts w:ascii="Arial Narrow" w:hAnsi="Arial Narrow" w:cs="Times New Roman"/>
          <w:b/>
          <w:bCs/>
          <w:iCs/>
          <w:sz w:val="22"/>
          <w:szCs w:val="24"/>
        </w:rPr>
        <w:t xml:space="preserve">1.  Predkladateľ zákona: </w:t>
      </w:r>
    </w:p>
    <w:p>
      <w:pPr>
        <w:pStyle w:val="Zkladntext0"/>
        <w:spacing w:after="120"/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Ministerstvo financií Slovenskej republiky.</w:t>
      </w:r>
    </w:p>
    <w:p>
      <w:pPr>
        <w:pStyle w:val="Zkladntext0"/>
        <w:jc w:val="both"/>
        <w:rPr>
          <w:rFonts w:ascii="Arial Narrow" w:hAnsi="Arial Narrow" w:cs="Times New Roman"/>
          <w:sz w:val="22"/>
          <w:szCs w:val="24"/>
        </w:rPr>
      </w:pPr>
    </w:p>
    <w:p>
      <w:pPr>
        <w:pStyle w:val="Zkladntext0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Arial Narrow" w:hAnsi="Arial Narrow" w:cs="Times New Roman"/>
          <w:b/>
          <w:bCs/>
          <w:iCs/>
          <w:sz w:val="22"/>
        </w:rPr>
      </w:pPr>
      <w:r>
        <w:rPr>
          <w:rFonts w:ascii="Arial Narrow" w:hAnsi="Arial Narrow" w:cs="Times New Roman"/>
          <w:b/>
          <w:bCs/>
          <w:iCs/>
          <w:sz w:val="22"/>
        </w:rPr>
        <w:t xml:space="preserve">Názov návrhu zákona: </w:t>
      </w:r>
    </w:p>
    <w:p>
      <w:pPr>
        <w:pStyle w:val="BodyText"/>
        <w:spacing w:after="120"/>
        <w:rPr>
          <w:rFonts w:cs="Times New Roman"/>
        </w:rPr>
      </w:pPr>
      <w:r>
        <w:rPr>
          <w:rFonts w:cs="Times New Roman"/>
        </w:rPr>
        <w:t>Návrh zákona, ktorým sa mení a dopĺňa zákon č. 105/2004 Z. z. o spotrebnej dani z liehu a o zmene a doplnení zákona č. 467/2002 Z. z. o výrobe a uvádzaní liehu na trh v znení zákona č. 211/2003 Z. z. v znení neskorších predpisov.</w:t>
      </w:r>
    </w:p>
    <w:p>
      <w:pPr>
        <w:pStyle w:val="BodyText"/>
        <w:rPr>
          <w:rFonts w:cs="Times New Roman"/>
        </w:rPr>
      </w:pPr>
    </w:p>
    <w:p>
      <w:pPr>
        <w:spacing w:after="120"/>
        <w:jc w:val="both"/>
        <w:rPr>
          <w:rFonts w:ascii="Arial Narrow" w:hAnsi="Arial Narrow" w:cs="Times New Roman"/>
          <w:iCs/>
          <w:sz w:val="22"/>
          <w:szCs w:val="22"/>
        </w:rPr>
      </w:pPr>
      <w:r>
        <w:rPr>
          <w:rFonts w:ascii="Arial Narrow" w:hAnsi="Arial Narrow" w:cs="Times New Roman"/>
          <w:b/>
          <w:iCs/>
          <w:sz w:val="22"/>
          <w:szCs w:val="22"/>
        </w:rPr>
        <w:t xml:space="preserve">3. </w:t>
        <w:tab/>
        <w:t>Problematika návrhu zákona :</w:t>
      </w:r>
      <w:r>
        <w:rPr>
          <w:rFonts w:ascii="Arial Narrow" w:hAnsi="Arial Narrow" w:cs="Times New Roman"/>
          <w:iCs/>
          <w:sz w:val="22"/>
          <w:szCs w:val="22"/>
        </w:rPr>
        <w:t xml:space="preserve"> </w:t>
      </w:r>
    </w:p>
    <w:p>
      <w:pPr>
        <w:numPr>
          <w:ilvl w:val="0"/>
          <w:numId w:val="2"/>
        </w:numPr>
        <w:tabs>
          <w:tab w:val="left" w:pos="720"/>
          <w:tab w:val="left" w:pos="900"/>
        </w:tabs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je upravená v práve Európskych spoločenstiev:</w:t>
      </w:r>
    </w:p>
    <w:p>
      <w:pPr>
        <w:spacing w:after="12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Primárnom :</w:t>
      </w:r>
    </w:p>
    <w:p>
      <w:pPr>
        <w:pStyle w:val="Zkladntext0"/>
        <w:numPr>
          <w:ilvl w:val="0"/>
          <w:numId w:val="3"/>
        </w:numPr>
        <w:tabs>
          <w:tab w:val="left" w:pos="567"/>
          <w:tab w:val="left" w:pos="1004"/>
        </w:tabs>
        <w:spacing w:after="120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2"/>
        </w:rPr>
        <w:t>v </w:t>
      </w:r>
      <w:r>
        <w:rPr>
          <w:rFonts w:ascii="Arial Narrow" w:hAnsi="Arial Narrow" w:cs="Times New Roman"/>
          <w:sz w:val="22"/>
          <w:szCs w:val="24"/>
        </w:rPr>
        <w:t xml:space="preserve">čl. 90 až 93 Zmluvy o založení ES </w:t>
      </w:r>
      <w:r>
        <w:rPr>
          <w:rFonts w:ascii="Arial Narrow" w:hAnsi="Arial Narrow" w:cs="Times New Roman"/>
          <w:sz w:val="22"/>
          <w:szCs w:val="22"/>
        </w:rPr>
        <w:t>v platnom znení</w:t>
      </w:r>
      <w:r>
        <w:rPr>
          <w:rFonts w:ascii="Arial Narrow" w:hAnsi="Arial Narrow" w:cs="Times New Roman"/>
          <w:sz w:val="22"/>
          <w:szCs w:val="24"/>
        </w:rPr>
        <w:t>,</w:t>
      </w:r>
    </w:p>
    <w:p>
      <w:pPr>
        <w:spacing w:after="12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Sekundárnom: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Arial Narrow" w:hAnsi="Arial Narrow" w:cs="Times New Roman"/>
          <w:sz w:val="22"/>
          <w:szCs w:val="22"/>
        </w:rPr>
        <w:t xml:space="preserve">v smernici Rady č. 92/12/EHS z 25. februára 1992 </w:t>
      </w:r>
      <w:r>
        <w:rPr>
          <w:rFonts w:ascii="Arial Narrow" w:hAnsi="Arial Narrow" w:cs="Times New Roman"/>
          <w:sz w:val="22"/>
          <w:szCs w:val="22"/>
        </w:rPr>
        <w:t xml:space="preserve">o všeobecných systémoch pre výrobky podliehajúce spotrebnej dani a o vlastníctve, pohybe a monitorovaní takýchto výrobkov </w:t>
      </w:r>
      <w:r>
        <w:rPr>
          <w:rFonts w:ascii="Arial Narrow" w:hAnsi="Arial Narrow" w:cs="Times New Roman"/>
          <w:sz w:val="22"/>
          <w:szCs w:val="22"/>
        </w:rPr>
        <w:t>v platnom znení</w:t>
      </w:r>
      <w:r>
        <w:rPr>
          <w:rFonts w:ascii="Arial Narrow" w:hAnsi="Arial Narrow" w:cs="Times New Roman"/>
          <w:sz w:val="22"/>
        </w:rPr>
        <w:t xml:space="preserve"> ( Ú.v. ES L 076 z 23.03.1992),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v smernici Rady č. 92/83/EHS  z 19. októbra 1992</w:t>
      </w:r>
      <w:r>
        <w:rPr>
          <w:rFonts w:ascii="Arial Narrow" w:hAnsi="Arial Narrow" w:cs="Times New Roman"/>
          <w:sz w:val="22"/>
          <w:szCs w:val="22"/>
        </w:rPr>
        <w:t xml:space="preserve"> o zosúladení štruktúr spotrebných daní pre etanol a alkoholické nápoje </w:t>
      </w:r>
      <w:r>
        <w:rPr>
          <w:rFonts w:ascii="Arial Narrow" w:hAnsi="Arial Narrow" w:cs="Times New Roman"/>
          <w:sz w:val="22"/>
        </w:rPr>
        <w:t>v platnom znení</w:t>
      </w:r>
      <w:r>
        <w:rPr>
          <w:rFonts w:ascii="Arial Narrow" w:hAnsi="Arial Narrow" w:cs="Times New Roman"/>
          <w:sz w:val="22"/>
          <w:szCs w:val="22"/>
        </w:rPr>
        <w:t xml:space="preserve"> ( Ú.v. ES  L 316 z 31.12. 1992)</w:t>
      </w:r>
      <w:r>
        <w:rPr>
          <w:rFonts w:ascii="Arial Narrow" w:hAnsi="Arial Narrow" w:cs="Times New Roman"/>
          <w:sz w:val="22"/>
        </w:rPr>
        <w:t>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v smernici Rady č. 92/84/EHS z 19. októbra 1992 </w:t>
      </w:r>
      <w:r>
        <w:rPr>
          <w:rFonts w:ascii="Arial Narrow" w:hAnsi="Arial Narrow" w:cs="Times New Roman"/>
          <w:sz w:val="22"/>
          <w:szCs w:val="22"/>
        </w:rPr>
        <w:t>o aproximácii  sadzieb spotrebnej dane na alkoh</w:t>
      </w:r>
      <w:r>
        <w:rPr>
          <w:rFonts w:ascii="Arial Narrow" w:hAnsi="Arial Narrow" w:cs="Times New Roman"/>
          <w:sz w:val="22"/>
          <w:szCs w:val="22"/>
        </w:rPr>
        <w:t>ol a alkoholické nápoje</w:t>
      </w:r>
      <w:r>
        <w:rPr>
          <w:rFonts w:ascii="Arial Narrow" w:hAnsi="Arial Narrow" w:cs="Times New Roman"/>
          <w:sz w:val="22"/>
        </w:rPr>
        <w:t xml:space="preserve"> v platnom znení ( Ú.v. ES L 316 z 31.10.1992),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v smernici Rady 69/169/EHS z 28. mája 1969 </w:t>
      </w:r>
      <w:r>
        <w:rPr>
          <w:rFonts w:ascii="Arial Narrow" w:hAnsi="Arial Narrow" w:cs="Times New Roman"/>
          <w:sz w:val="22"/>
          <w:szCs w:val="22"/>
        </w:rPr>
        <w:t>o harmonizácii ustanovení zákonov, iných právnych predpisov a správnych  opatrení týkajúcich sa oslobodenia od dane z obratu a od spotrebnej dane pre dovoz v  medzinárodnom cestovnom ruchu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Times New Roman"/>
          <w:sz w:val="22"/>
        </w:rPr>
        <w:t>v platnom znení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 Narrow" w:hAnsi="Arial Narrow" w:cs="Times New Roman"/>
          <w:sz w:val="22"/>
        </w:rPr>
        <w:t>(</w:t>
      </w:r>
      <w:r>
        <w:rPr>
          <w:rFonts w:ascii="Arial Narrow" w:hAnsi="Arial Narrow" w:cs="Times New Roman"/>
          <w:sz w:val="22"/>
          <w:szCs w:val="22"/>
        </w:rPr>
        <w:t xml:space="preserve">Ú.v. ES </w:t>
      </w:r>
      <w:r>
        <w:rPr>
          <w:rFonts w:ascii="Arial Narrow" w:hAnsi="Arial Narrow" w:cs="Times New Roman"/>
          <w:sz w:val="22"/>
        </w:rPr>
        <w:t>L 133 z 04.06.1969 ),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Style w:val="Emphasis"/>
          <w:rFonts w:ascii="Arial Narrow" w:hAnsi="Arial Narrow" w:cs="Times New Roman"/>
          <w:i w:val="0"/>
          <w:iCs w:val="0"/>
          <w:sz w:val="22"/>
        </w:rPr>
      </w:pPr>
      <w:r>
        <w:rPr>
          <w:rFonts w:ascii="Arial Narrow" w:hAnsi="Arial Narrow" w:cs="Times New Roman"/>
          <w:sz w:val="22"/>
          <w:szCs w:val="22"/>
        </w:rPr>
        <w:t>v nariadení Rady (EHS) č. 918/83 z 28. marca 1983 ustanovujúcom systém spoločenstva pre oslobodenie od cla v platnom znení (Ú. v. ES L 105</w:t>
      </w:r>
      <w:r>
        <w:rPr>
          <w:rFonts w:ascii="Arial Narrow" w:hAnsi="Arial Narrow" w:cs="Times New Roman"/>
          <w:i/>
          <w:sz w:val="22"/>
          <w:szCs w:val="22"/>
        </w:rPr>
        <w:t xml:space="preserve">,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23.04.1983),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Style w:val="Strong"/>
          <w:rFonts w:ascii="Arial Narrow" w:hAnsi="Arial Narrow" w:cs="Tahoma"/>
          <w:b w:val="0"/>
          <w:sz w:val="22"/>
          <w:szCs w:val="22"/>
        </w:rPr>
        <w:t>v nariadení Rady (ES) č. 2073/2004 zo 16. novembra 2004 o správnej spolupráci v oblasti spotrebných dan</w:t>
      </w:r>
      <w:r>
        <w:rPr>
          <w:rStyle w:val="Strong"/>
          <w:rFonts w:ascii="Arial Narrow" w:hAnsi="Arial Narrow" w:cs="Tahoma"/>
          <w:b w:val="0"/>
          <w:sz w:val="22"/>
          <w:szCs w:val="22"/>
        </w:rPr>
        <w:t xml:space="preserve">í </w:t>
      </w:r>
      <w:r>
        <w:rPr>
          <w:rFonts w:ascii="Arial Narrow" w:hAnsi="Arial Narrow" w:cs="Times New Roman"/>
          <w:sz w:val="22"/>
          <w:szCs w:val="22"/>
        </w:rPr>
        <w:t>(Ú. v. EÚ L 359, 04.12.2004),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szCs w:val="22"/>
        </w:rPr>
        <w:t>v nariadení Komisie (ES) č. 3199/93 z 22. novembra 1993 o vzájomnom uznávaní postupov úplného denaturovania etanolu na účely výnimky zo spotrebnej dane  v platnom znení (Ú. v. ES L 288, 23.11.1993),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szCs w:val="22"/>
        </w:rPr>
        <w:t>v nariadení Komisie (ES) č. 1291/2000 z 9. júna 2000, ktorým sa stanovujú podrobné pravidlá uplatňovania systému dovozných a vývozných licencií a certifikátov s vopred stanovenou sadzbou náhrady pre poľnohospodá</w:t>
      </w:r>
      <w:r>
        <w:rPr>
          <w:rFonts w:ascii="Arial Narrow" w:hAnsi="Arial Narrow" w:cs="Times New Roman"/>
          <w:sz w:val="22"/>
          <w:szCs w:val="22"/>
        </w:rPr>
        <w:t>r</w:t>
      </w:r>
      <w:r>
        <w:rPr>
          <w:rFonts w:ascii="Arial Narrow" w:hAnsi="Arial Narrow" w:cs="Times New Roman"/>
          <w:sz w:val="22"/>
          <w:szCs w:val="22"/>
        </w:rPr>
        <w:t>ske výrobky v platnom znení (Ú. v. ES L 152, 24.06.2000)</w:t>
      </w:r>
      <w:r>
        <w:rPr>
          <w:rFonts w:ascii="Arial Narrow" w:hAnsi="Arial Narrow" w:cs="Times New Roman"/>
          <w:sz w:val="22"/>
        </w:rPr>
        <w:t>.</w:t>
      </w:r>
    </w:p>
    <w:p>
      <w:pPr>
        <w:pStyle w:val="BodyText"/>
        <w:spacing w:before="120"/>
        <w:ind w:left="301"/>
        <w:rPr>
          <w:rFonts w:cs="Times New Roman"/>
        </w:rPr>
      </w:pPr>
    </w:p>
    <w:p>
      <w:pPr>
        <w:pStyle w:val="BodyText"/>
        <w:numPr>
          <w:ilvl w:val="0"/>
          <w:numId w:val="2"/>
        </w:numPr>
        <w:tabs>
          <w:tab w:val="left" w:pos="284"/>
          <w:tab w:val="left" w:pos="900"/>
        </w:tabs>
        <w:rPr>
          <w:rFonts w:cs="Times New Roman"/>
        </w:rPr>
      </w:pPr>
      <w:r>
        <w:rPr>
          <w:rFonts w:cs="Times New Roman"/>
        </w:rPr>
        <w:t>nie je upr</w:t>
      </w:r>
      <w:r>
        <w:rPr>
          <w:rFonts w:cs="Times New Roman"/>
        </w:rPr>
        <w:t>avená v práve Európskej únie.</w:t>
      </w:r>
    </w:p>
    <w:p>
      <w:pPr>
        <w:pStyle w:val="BodyText"/>
        <w:tabs>
          <w:tab w:val="left" w:pos="567"/>
        </w:tabs>
        <w:ind w:left="284"/>
        <w:rPr>
          <w:rFonts w:cs="Times New Roman"/>
        </w:rPr>
      </w:pPr>
    </w:p>
    <w:p>
      <w:pPr>
        <w:pStyle w:val="Zkladntext"/>
        <w:numPr>
          <w:ilvl w:val="0"/>
          <w:numId w:val="2"/>
        </w:numPr>
        <w:tabs>
          <w:tab w:val="left" w:pos="284"/>
          <w:tab w:val="left" w:pos="90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je obsiahnutá v judikatúre Súdneho dvora Európskych spoločenstiev alebo Súdu prvého stupňa Európskych spoločenstiev:</w:t>
      </w:r>
    </w:p>
    <w:p>
      <w:pPr>
        <w:pStyle w:val="BodyText"/>
        <w:ind w:left="284"/>
        <w:rPr>
          <w:rFonts w:cs="Times New Roman"/>
        </w:rPr>
      </w:pPr>
    </w:p>
    <w:p>
      <w:pPr>
        <w:spacing w:before="120"/>
        <w:ind w:left="284"/>
        <w:jc w:val="both"/>
        <w:rPr>
          <w:rFonts w:ascii="Arial Narrow" w:hAnsi="Arial Narrow" w:cs="Times New Roman"/>
          <w:sz w:val="22"/>
          <w:szCs w:val="22"/>
        </w:rPr>
      </w:pPr>
    </w:p>
    <w:p>
      <w:pPr>
        <w:spacing w:before="120"/>
        <w:ind w:left="284"/>
        <w:jc w:val="both"/>
        <w:rPr>
          <w:rFonts w:ascii="Arial Narrow" w:hAnsi="Arial Narrow" w:cs="Times New Roman"/>
          <w:sz w:val="22"/>
          <w:szCs w:val="22"/>
        </w:rPr>
      </w:pP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rozhodnutí Súdneho dvora Európskych spoločenstiev vo veci C - 147</w:t>
      </w:r>
      <w:r>
        <w:rPr>
          <w:rFonts w:ascii="Arial Narrow" w:hAnsi="Arial Narrow" w:cs="Times New Roman"/>
          <w:sz w:val="22"/>
          <w:szCs w:val="22"/>
          <w:lang w:val="et-EE"/>
        </w:rPr>
        <w:t>/2001</w:t>
      </w:r>
      <w:r>
        <w:rPr>
          <w:rFonts w:ascii="Arial Narrow" w:hAnsi="Arial Narrow" w:cs="Times New Roman"/>
          <w:sz w:val="22"/>
          <w:szCs w:val="22"/>
        </w:rPr>
        <w:t xml:space="preserve"> , </w:t>
      </w:r>
      <w:r>
        <w:rPr>
          <w:rFonts w:ascii="Arial Narrow" w:hAnsi="Arial Narrow" w:cs="Times New Roman"/>
          <w:bCs/>
          <w:sz w:val="22"/>
          <w:szCs w:val="22"/>
        </w:rPr>
        <w:t>Weber's Wine World Handels-Gmb</w:t>
      </w:r>
      <w:r>
        <w:rPr>
          <w:rFonts w:ascii="Arial Narrow" w:hAnsi="Arial Narrow" w:cs="Times New Roman"/>
          <w:bCs/>
          <w:sz w:val="22"/>
          <w:szCs w:val="22"/>
        </w:rPr>
        <w:t xml:space="preserve">H, Ernestine Rathgeber, Karl Schlosser, Beta-Leasing GmbH </w:t>
      </w:r>
      <w:r>
        <w:rPr>
          <w:rFonts w:ascii="Arial Narrow" w:hAnsi="Arial Narrow" w:cs="Times New Roman"/>
          <w:sz w:val="22"/>
          <w:szCs w:val="22"/>
        </w:rPr>
        <w:t xml:space="preserve">v. </w:t>
      </w:r>
      <w:r>
        <w:rPr>
          <w:rFonts w:ascii="Arial Narrow" w:hAnsi="Arial Narrow" w:cs="Times New Roman"/>
          <w:bCs/>
          <w:sz w:val="22"/>
          <w:szCs w:val="22"/>
        </w:rPr>
        <w:t>Abgabenberufungskommission Wien</w:t>
      </w:r>
      <w:r>
        <w:rPr>
          <w:rFonts w:ascii="Arial Narrow" w:hAnsi="Arial Narrow" w:cs="Times New Roman"/>
          <w:sz w:val="22"/>
          <w:szCs w:val="22"/>
        </w:rPr>
        <w:t xml:space="preserve">,  rok  2003, Zb.roz. ESD (I-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 xml:space="preserve">11365 </w:t>
      </w:r>
      <w:r>
        <w:rPr>
          <w:rFonts w:ascii="Arial Narrow" w:hAnsi="Arial Narrow" w:cs="Times New Roman"/>
          <w:i/>
          <w:sz w:val="22"/>
          <w:szCs w:val="22"/>
        </w:rPr>
        <w:t>)</w:t>
      </w:r>
      <w:r>
        <w:rPr>
          <w:rFonts w:ascii="Arial Narrow" w:hAnsi="Arial Narrow" w:cs="Times New Roman"/>
          <w:sz w:val="22"/>
          <w:szCs w:val="22"/>
        </w:rPr>
        <w:t>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 rozhodnutí Súdneho dvora Európskych spoločenstiev vo veci C – 395/2000, </w:t>
      </w:r>
      <w:r>
        <w:rPr>
          <w:rFonts w:ascii="Arial Narrow" w:hAnsi="Arial Narrow" w:cs="Times New Roman"/>
          <w:bCs/>
          <w:sz w:val="22"/>
          <w:szCs w:val="22"/>
        </w:rPr>
        <w:t>Distillerie Fratelli Cipriani SpA v. Ministero dell</w:t>
      </w:r>
      <w:r>
        <w:rPr>
          <w:rFonts w:ascii="Arial Narrow" w:hAnsi="Arial Narrow" w:cs="Times New Roman"/>
          <w:bCs/>
          <w:sz w:val="22"/>
          <w:szCs w:val="22"/>
        </w:rPr>
        <w:t xml:space="preserve">e Finanze, </w:t>
      </w:r>
      <w:r>
        <w:rPr>
          <w:rFonts w:ascii="Arial Narrow" w:hAnsi="Arial Narrow" w:cs="Times New Roman"/>
          <w:sz w:val="22"/>
          <w:szCs w:val="22"/>
        </w:rPr>
        <w:t xml:space="preserve">rok 2002, Zb.roz. ESD (I-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11877),</w:t>
      </w:r>
    </w:p>
    <w:p>
      <w:pPr>
        <w:numPr>
          <w:ilvl w:val="0"/>
          <w:numId w:val="3"/>
        </w:numPr>
        <w:tabs>
          <w:tab w:val="left" w:pos="567"/>
          <w:tab w:val="left" w:pos="1004"/>
        </w:tabs>
        <w:spacing w:before="120"/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 rozhodnutí Súdneho dvora Európskych spoločenstiev vo veci C – 475/2001, Európska komisia v. Grécka republika, rok 2004, Zb.roz. ESD (I-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08923),</w:t>
      </w:r>
    </w:p>
    <w:p>
      <w:pPr>
        <w:pStyle w:val="NormalWeb"/>
        <w:numPr>
          <w:ilvl w:val="0"/>
          <w:numId w:val="5"/>
        </w:numPr>
        <w:tabs>
          <w:tab w:val="left" w:pos="567"/>
          <w:tab w:val="left" w:pos="1004"/>
        </w:tabs>
        <w:spacing w:before="120" w:beforeAutospacing="0" w:after="120" w:afterAutospacing="0"/>
        <w:jc w:val="both"/>
        <w:rPr>
          <w:rFonts w:ascii="Arial Narrow" w:hAnsi="Arial Narrow" w:cs="Times New Roman"/>
          <w:bCs/>
          <w:i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v rozhodnutí Súdneho dvora Európskych spoločenstiev vo veci C – 3</w:t>
      </w:r>
      <w:r>
        <w:rPr>
          <w:rFonts w:ascii="Arial Narrow" w:hAnsi="Arial Narrow" w:cs="Times New Roman"/>
          <w:bCs/>
          <w:sz w:val="22"/>
          <w:szCs w:val="22"/>
        </w:rPr>
        <w:t xml:space="preserve">25/99, </w:t>
      </w:r>
      <w:r>
        <w:rPr>
          <w:rFonts w:ascii="Arial Narrow" w:hAnsi="Arial Narrow" w:cs="Times New Roman"/>
          <w:bCs/>
          <w:color w:val="000000"/>
          <w:sz w:val="22"/>
          <w:szCs w:val="20"/>
        </w:rPr>
        <w:t>Van de Water v. Staatssecretaris van Financiën</w:t>
      </w:r>
      <w:r>
        <w:rPr>
          <w:rFonts w:ascii="Arial Narrow" w:hAnsi="Arial Narrow" w:cs="Times New Roman"/>
          <w:bCs/>
          <w:sz w:val="22"/>
          <w:szCs w:val="22"/>
        </w:rPr>
        <w:t>,  rok  2001, Zb.roz. ESD (</w:t>
      </w:r>
      <w:r>
        <w:rPr>
          <w:rStyle w:val="Emphasis"/>
          <w:rFonts w:ascii="Arial Narrow" w:hAnsi="Arial Narrow" w:cs="Tahoma"/>
          <w:bCs/>
          <w:i w:val="0"/>
          <w:iCs w:val="0"/>
          <w:color w:val="000000"/>
          <w:sz w:val="22"/>
          <w:lang w:val="en"/>
        </w:rPr>
        <w:t>I- 02729)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.</w:t>
      </w:r>
    </w:p>
    <w:p>
      <w:pPr>
        <w:pStyle w:val="BodyText"/>
        <w:rPr>
          <w:rFonts w:cs="Times New Roman"/>
        </w:rPr>
      </w:pPr>
    </w:p>
    <w:p>
      <w:pPr>
        <w:pStyle w:val="Zkladntext0"/>
        <w:numPr>
          <w:ilvl w:val="0"/>
          <w:numId w:val="4"/>
        </w:numPr>
        <w:tabs>
          <w:tab w:val="left" w:pos="360"/>
        </w:tabs>
        <w:spacing w:before="120"/>
        <w:jc w:val="both"/>
        <w:rPr>
          <w:rFonts w:ascii="Arial Narrow" w:hAnsi="Arial Narrow" w:cs="Times New Roman"/>
          <w:b/>
          <w:bCs/>
          <w:iCs/>
          <w:sz w:val="22"/>
          <w:szCs w:val="24"/>
        </w:rPr>
      </w:pPr>
      <w:r>
        <w:rPr>
          <w:rFonts w:ascii="Arial Narrow" w:hAnsi="Arial Narrow" w:cs="Times New Roman"/>
          <w:b/>
          <w:bCs/>
          <w:iCs/>
          <w:sz w:val="22"/>
        </w:rPr>
        <w:t xml:space="preserve">Záväzky Slovenskej republiky vo vzťahu k Európskym spoločenstvám a Európskej </w:t>
      </w:r>
      <w:r>
        <w:rPr>
          <w:rFonts w:ascii="Arial Narrow" w:hAnsi="Arial Narrow" w:cs="Times New Roman"/>
          <w:b/>
          <w:bCs/>
          <w:iCs/>
          <w:sz w:val="22"/>
          <w:szCs w:val="24"/>
        </w:rPr>
        <w:t>únii:</w:t>
      </w:r>
    </w:p>
    <w:p>
      <w:pPr>
        <w:pStyle w:val="BodyText"/>
        <w:ind w:left="300"/>
        <w:rPr>
          <w:rFonts w:cs="Times New Roman"/>
        </w:rPr>
      </w:pPr>
    </w:p>
    <w:p>
      <w:pPr>
        <w:pStyle w:val="Zkladntext"/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a) </w:t>
        <w:tab/>
        <w:t xml:space="preserve"> Z Aktu o podmienkach pristúpenia pripojenom k Zmluve o pristúpení Slovenskej republiky k Európskej únii nevyplývajú pre SR žiadne záväzky.</w:t>
      </w:r>
    </w:p>
    <w:p>
      <w:pPr>
        <w:pStyle w:val="Zkladntext"/>
        <w:spacing w:after="120"/>
        <w:ind w:firstLine="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b) </w:t>
        <w:tab/>
        <w:t xml:space="preserve"> Podľa Aktu o podmienkach pristúpenia pripojenom k Zmluve o pristúpení Slovenskej republiky k Európskej únii nepožiadala SR o žiadne prechodné obdobie.</w:t>
      </w:r>
    </w:p>
    <w:p>
      <w:pPr>
        <w:pStyle w:val="Zkladntext"/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c)</w:t>
        <w:tab/>
        <w:t xml:space="preserve">  Bezpredmetné. </w:t>
      </w:r>
    </w:p>
    <w:p>
      <w:pPr>
        <w:pStyle w:val="Zkladntext"/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d)</w:t>
        <w:tab/>
        <w:t xml:space="preserve">  Proti SR nebolo začaté konanie o porušení Zmluvy o založení Európskych spoločenstiev podľa čl. 226 až 228 Zmluvy o založení Európskych spoločenstiev v platnom znení.</w:t>
      </w:r>
    </w:p>
    <w:p>
      <w:pPr>
        <w:pStyle w:val="Zkladntext"/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e)</w:t>
        <w:tab/>
        <w:t xml:space="preserve">  Do zákona č. 105/2004 Z. z. o spotrebnej dani z liehu a o zmene a doplnení zákona č. 467/2002 Z. z. o výrobe a uvádzaní liehu na trh v znení zákona č. 211/2003 Z. z. v znení neskorších predpisov boli úplne prebraté sme</w:t>
      </w:r>
      <w:r>
        <w:rPr>
          <w:rFonts w:ascii="Arial Narrow" w:hAnsi="Arial Narrow" w:cs="Times New Roman"/>
          <w:sz w:val="22"/>
          <w:szCs w:val="22"/>
        </w:rPr>
        <w:t>r</w:t>
      </w:r>
      <w:r>
        <w:rPr>
          <w:rFonts w:ascii="Arial Narrow" w:hAnsi="Arial Narrow" w:cs="Times New Roman"/>
          <w:sz w:val="22"/>
          <w:szCs w:val="22"/>
        </w:rPr>
        <w:t>nice 92/12/ES a 69/169/EHS.</w:t>
      </w:r>
    </w:p>
    <w:p>
      <w:pPr>
        <w:pStyle w:val="Zkladntext"/>
        <w:spacing w:after="12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 zákona </w:t>
      </w:r>
      <w:r>
        <w:rPr>
          <w:rFonts w:ascii="Arial Narrow" w:hAnsi="Arial Narrow" w:cs="Times New Roman"/>
          <w:sz w:val="22"/>
        </w:rPr>
        <w:t xml:space="preserve">č. </w:t>
      </w:r>
      <w:r>
        <w:rPr>
          <w:rFonts w:ascii="Arial Narrow" w:hAnsi="Arial Narrow" w:cs="Times New Roman"/>
          <w:sz w:val="22"/>
          <w:szCs w:val="22"/>
        </w:rPr>
        <w:t>105/2004 Z. z. o spotrebnej dani z liehu a o zmene a doplnení zákona č. 467/2002 Z. z. o výrobe a uvádzaní liehu na trh v znení zákona č. 211/2003 Z. z. v znení neskorších predpisov v znení neskorších predpisov boli úplne prebraté smernice 92/83EHS a 92/84/EHS.</w:t>
      </w:r>
    </w:p>
    <w:p>
      <w:pPr>
        <w:pStyle w:val="Zkladntext0"/>
        <w:spacing w:before="120"/>
        <w:ind w:firstLine="11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5.  Stupeň zlučiteľnosti návrhu zákona s právom Európskych spoločenstiev a právom Euró</w:t>
      </w:r>
      <w:r>
        <w:rPr>
          <w:rFonts w:ascii="Arial Narrow" w:hAnsi="Arial Narrow" w:cs="Times New Roman"/>
          <w:b/>
          <w:sz w:val="22"/>
          <w:szCs w:val="22"/>
        </w:rPr>
        <w:t>pskej únie:</w:t>
      </w:r>
    </w:p>
    <w:p>
      <w:pPr>
        <w:pStyle w:val="Zkladntext0"/>
        <w:spacing w:before="120"/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- úplný .</w:t>
      </w:r>
    </w:p>
    <w:p>
      <w:pPr>
        <w:pStyle w:val="dka"/>
        <w:spacing w:before="120"/>
        <w:jc w:val="both"/>
        <w:rPr>
          <w:rFonts w:ascii="Arial Narrow" w:hAnsi="Arial Narrow" w:cs="Times New Roman"/>
          <w:b/>
          <w:bCs/>
          <w:sz w:val="22"/>
          <w:szCs w:val="24"/>
        </w:rPr>
      </w:pPr>
      <w:r>
        <w:rPr>
          <w:rFonts w:ascii="Arial Narrow" w:hAnsi="Arial Narrow" w:cs="Times New Roman"/>
          <w:b/>
          <w:bCs/>
          <w:sz w:val="22"/>
          <w:szCs w:val="24"/>
        </w:rPr>
        <w:t>6.  Gestor (spolupracujúce rezorty):</w:t>
      </w:r>
    </w:p>
    <w:p>
      <w:pPr>
        <w:pStyle w:val="dka"/>
        <w:spacing w:before="120"/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Ministerstvo financií Slovenskej republiky.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page" w:x="10418" w:y="-43"/>
      <w:rPr>
        <w:rStyle w:val="PageNumber"/>
        <w:rFonts w:ascii="Times New Roman" w:hAnsi="Times New Roman" w:cs="Times New Roman"/>
        <w:sz w:val="16"/>
      </w:rPr>
    </w:pP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68F"/>
    <w:multiLevelType w:val="singleLevel"/>
    <w:tmpl w:val="B52CD540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22D912F1"/>
    <w:multiLevelType w:val="hybridMultilevel"/>
    <w:tmpl w:val="76040C4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2">
    <w:nsid w:val="31C50285"/>
    <w:multiLevelType w:val="hybridMultilevel"/>
    <w:tmpl w:val="919A3CA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  <w:rtl w:val="0"/>
      </w:rPr>
    </w:lvl>
  </w:abstractNum>
  <w:abstractNum w:abstractNumId="3">
    <w:nsid w:val="6949582A"/>
    <w:multiLevelType w:val="hybridMultilevel"/>
    <w:tmpl w:val="004A6B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BodyText">
    <w:name w:val="Body Text"/>
    <w:aliases w:val="Základný text Char Char"/>
    <w:basedOn w:val="Normal"/>
    <w:pPr>
      <w:jc w:val="left"/>
    </w:pPr>
    <w:rPr>
      <w:rFonts w:ascii="Arial Narrow" w:hAnsi="Arial Narrow"/>
      <w:sz w:val="22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 Narrow" w:hAnsi="Arial Narrow"/>
      <w:b/>
      <w:bCs/>
      <w:sz w:val="22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Zkladntext0">
    <w:name w:val="Zkladn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dka">
    <w:name w:val="dk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character" w:styleId="Emphasis">
    <w:name w:val="Emphasis"/>
    <w:basedOn w:val="DefaultParagraphFont"/>
    <w:uiPriority w:val="20"/>
    <w:qFormat/>
    <w:rPr>
      <w:i/>
      <w:iCs/>
      <w:rtl w:val="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658</Words>
  <Characters>3752</Characters>
  <Application>Microsoft Office Word</Application>
  <DocSecurity>0</DocSecurity>
  <Lines>0</Lines>
  <Paragraphs>0</Paragraphs>
  <ScaleCrop>false</ScaleCrop>
  <Company>MFSR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jingeliova</dc:creator>
  <cp:lastModifiedBy>jingeliova</cp:lastModifiedBy>
  <cp:revision>2</cp:revision>
  <dcterms:created xsi:type="dcterms:W3CDTF">2006-02-22T12:22:00Z</dcterms:created>
  <dcterms:modified xsi:type="dcterms:W3CDTF">2006-02-22T12:22:00Z</dcterms:modified>
</cp:coreProperties>
</file>