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7"/>
        <w:ind w:firstLine="0"/>
        <w:rPr>
          <w:rFonts w:cs="Times New Roman"/>
        </w:rPr>
      </w:pPr>
    </w:p>
    <w:p>
      <w:pPr>
        <w:pStyle w:val="Heading7"/>
        <w:ind w:firstLine="0"/>
        <w:rPr>
          <w:rFonts w:cs="Times New Roman"/>
        </w:rPr>
      </w:pPr>
      <w:r>
        <w:rPr>
          <w:rFonts w:cs="Times New Roman"/>
        </w:rPr>
        <w:t xml:space="preserve">II. Osobitná časť </w:t>
      </w:r>
    </w:p>
    <w:p>
      <w:pPr>
        <w:rPr>
          <w:rFonts w:ascii="Times New Roman" w:hAnsi="Times New Roman" w:cs="Times New Roman"/>
        </w:rPr>
      </w:pPr>
    </w:p>
    <w:p>
      <w:pPr>
        <w:pStyle w:val="Heading7"/>
        <w:ind w:firstLine="0"/>
        <w:rPr>
          <w:rFonts w:cs="Times New Roman"/>
        </w:rPr>
      </w:pPr>
      <w:r>
        <w:rPr>
          <w:rFonts w:cs="Times New Roman"/>
        </w:rPr>
        <w:t>K Čl. I</w:t>
      </w:r>
    </w:p>
    <w:p>
      <w:pPr>
        <w:pStyle w:val="Zkladntext"/>
        <w:autoSpaceDE/>
        <w:autoSpaceDN/>
        <w:jc w:val="both"/>
        <w:rPr>
          <w:rFonts w:ascii="Arial Narrow" w:hAnsi="Arial Narrow" w:cs="Times New Roman"/>
          <w:bCs/>
          <w:sz w:val="22"/>
        </w:rPr>
      </w:pPr>
    </w:p>
    <w:p>
      <w:pPr>
        <w:pStyle w:val="Zkladntext"/>
        <w:autoSpaceDE/>
        <w:autoSpaceDN/>
        <w:jc w:val="both"/>
        <w:rPr>
          <w:rFonts w:ascii="Arial Narrow" w:hAnsi="Arial Narrow" w:cs="Times New Roman"/>
          <w:b/>
          <w:sz w:val="22"/>
        </w:rPr>
      </w:pPr>
      <w:r>
        <w:rPr>
          <w:rFonts w:ascii="Arial Narrow" w:hAnsi="Arial Narrow" w:cs="Times New Roman"/>
          <w:b/>
          <w:sz w:val="22"/>
        </w:rPr>
        <w:t>K bodu 1</w:t>
      </w:r>
    </w:p>
    <w:p>
      <w:pPr>
        <w:pStyle w:val="Zkladntext"/>
        <w:autoSpaceDE/>
        <w:autoSpaceDN/>
        <w:ind w:firstLine="284"/>
        <w:jc w:val="both"/>
        <w:rPr>
          <w:rFonts w:ascii="Arial Narrow" w:hAnsi="Arial Narrow" w:cs="Times New Roman"/>
          <w:bCs/>
          <w:sz w:val="22"/>
        </w:rPr>
      </w:pPr>
      <w:r>
        <w:rPr>
          <w:rFonts w:ascii="Arial Narrow" w:hAnsi="Arial Narrow" w:cs="Times New Roman"/>
          <w:bCs/>
          <w:sz w:val="22"/>
        </w:rPr>
        <w:t>Na zabezpečenie úplnej zhody návrhu zákona s právom ES/EÚ bolo potrebné upraviť definíciu pojmu územie Európskej únie.</w:t>
      </w:r>
    </w:p>
    <w:p>
      <w:pPr>
        <w:pStyle w:val="Zkladntext"/>
        <w:autoSpaceDE/>
        <w:autoSpaceDN/>
        <w:jc w:val="both"/>
        <w:rPr>
          <w:rFonts w:ascii="Arial Narrow" w:hAnsi="Arial Narrow" w:cs="Times New Roman"/>
          <w:bCs/>
          <w:sz w:val="22"/>
        </w:rPr>
      </w:pPr>
    </w:p>
    <w:p>
      <w:pPr>
        <w:pStyle w:val="Zkladntext"/>
        <w:autoSpaceDE/>
        <w:autoSpaceDN/>
        <w:jc w:val="both"/>
        <w:rPr>
          <w:rFonts w:ascii="Arial Narrow" w:hAnsi="Arial Narrow" w:cs="Times New Roman"/>
          <w:b/>
          <w:sz w:val="22"/>
        </w:rPr>
      </w:pPr>
      <w:r>
        <w:rPr>
          <w:rFonts w:ascii="Arial Narrow" w:hAnsi="Arial Narrow" w:cs="Times New Roman"/>
          <w:b/>
          <w:sz w:val="22"/>
        </w:rPr>
        <w:t>K bodu 2</w:t>
      </w:r>
    </w:p>
    <w:p>
      <w:pPr>
        <w:pStyle w:val="Zkladntext"/>
        <w:autoSpaceDE/>
        <w:autoSpaceDN/>
        <w:ind w:left="360"/>
        <w:jc w:val="both"/>
        <w:rPr>
          <w:rFonts w:ascii="Arial Narrow" w:hAnsi="Arial Narrow" w:cs="Times New Roman"/>
          <w:bCs/>
          <w:sz w:val="22"/>
        </w:rPr>
      </w:pPr>
      <w:r>
        <w:rPr>
          <w:rFonts w:ascii="Arial Narrow" w:hAnsi="Arial Narrow" w:cs="Times New Roman"/>
          <w:bCs/>
          <w:sz w:val="22"/>
        </w:rPr>
        <w:t xml:space="preserve">Na  účely  definície  personálne  prepojených  osôb    sa   upresňuje   pojem   rozhodujúci  vplyv,   pričom  pri </w:t>
      </w:r>
    </w:p>
    <w:p>
      <w:pPr>
        <w:pStyle w:val="Zkladntext"/>
        <w:autoSpaceDE/>
        <w:autoSpaceDN/>
        <w:jc w:val="both"/>
        <w:rPr>
          <w:rFonts w:ascii="Arial Narrow" w:hAnsi="Arial Narrow" w:cs="Times New Roman"/>
          <w:bCs/>
          <w:sz w:val="22"/>
        </w:rPr>
      </w:pPr>
      <w:r>
        <w:rPr>
          <w:rFonts w:ascii="Arial Narrow" w:hAnsi="Arial Narrow" w:cs="Times New Roman"/>
          <w:bCs/>
          <w:sz w:val="22"/>
        </w:rPr>
        <w:t>posudzovaní rozhodujúceho vplyvu je potrebné vychádzať z obsahu spoločenskej zmluvy, stanov, ostatných zmlúv, dohôd a akýchkoľvek právne relevantných dojednaní a skutočností, ktoré je potrebné posudzovať jednotlivo aj vo vzájomne</w:t>
      </w:r>
      <w:r>
        <w:rPr>
          <w:rFonts w:ascii="Arial Narrow" w:hAnsi="Arial Narrow" w:cs="Times New Roman"/>
          <w:bCs/>
          <w:sz w:val="22"/>
        </w:rPr>
        <w:t xml:space="preserve">j súvislosti.  </w:t>
      </w:r>
    </w:p>
    <w:p>
      <w:pPr>
        <w:pStyle w:val="Zkladntext"/>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3</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sz w:val="22"/>
        </w:rPr>
        <w:tab/>
      </w:r>
      <w:r>
        <w:rPr>
          <w:rFonts w:ascii="Arial Narrow" w:hAnsi="Arial Narrow" w:cs="Times New Roman"/>
          <w:bCs/>
          <w:sz w:val="22"/>
        </w:rPr>
        <w:t>Ustanovenie sa upresňuje tak, aby b</w:t>
      </w:r>
      <w:r>
        <w:rPr>
          <w:rFonts w:ascii="Arial Narrow" w:hAnsi="Arial Narrow" w:cs="Times New Roman"/>
          <w:sz w:val="22"/>
        </w:rPr>
        <w:t>olo zrejmé, že v liehovarníckom závode na pestovateľské pálenie ovocia možno v zmysle výnimky, podľa ktorej je Slovenská republika oprávnená uplatňovať zníženú sadzbu spotrebnej dane len na lieh vyrábaný v liehovare na pestovateľské pálenie ovocia, ktorý je určený len na vlastnú spotrebu pre pestovateľa a jeho domácnosť na daňovom území.</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4 až  6</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V nadväznosti na čl. 27 smernice Rady 92/83/EHS o zosúladení štruktúr spo</w:t>
      </w:r>
      <w:r>
        <w:rPr>
          <w:rFonts w:ascii="Arial Narrow" w:hAnsi="Arial Narrow" w:cs="Times New Roman"/>
          <w:sz w:val="22"/>
        </w:rPr>
        <w:t>t</w:t>
      </w:r>
      <w:r>
        <w:rPr>
          <w:rFonts w:ascii="Arial Narrow" w:hAnsi="Arial Narrow" w:cs="Times New Roman"/>
          <w:sz w:val="22"/>
        </w:rPr>
        <w:t>rebných daní z alkoholu a alkoholických nápojov  sa upresňujú oslobodenia od spotrebnej dane z liehu, ak je lieh použitý na výrobu liekov, potravín, nápojov a na analytické účely pri stanovení rôznych látok v biologickom materiáli chromatografickými metódami alebo spektrofo</w:t>
      </w:r>
      <w:r>
        <w:rPr>
          <w:rFonts w:ascii="Arial Narrow" w:hAnsi="Arial Narrow" w:cs="Times New Roman"/>
          <w:sz w:val="22"/>
        </w:rPr>
        <w:t xml:space="preserve">tometrickými metódami.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V § 7 ods. 1 zákona sa písmeno h) vypúšťa z dôvodu duplicity, nakoľko</w:t>
      </w:r>
      <w:r>
        <w:rPr>
          <w:rFonts w:ascii="Arial Narrow" w:hAnsi="Arial Narrow" w:cs="Times New Roman"/>
          <w:b/>
          <w:bCs/>
          <w:sz w:val="22"/>
        </w:rPr>
        <w:t xml:space="preserve"> </w:t>
      </w:r>
      <w:r>
        <w:rPr>
          <w:rFonts w:ascii="Arial Narrow" w:hAnsi="Arial Narrow" w:cs="Times New Roman"/>
          <w:sz w:val="22"/>
        </w:rPr>
        <w:t xml:space="preserve">na výrobu minerálnych olejov možno použiť len lieh denaturovaný, ktorý je oslobodený od spotrebnej dane podľa § 7 ods. 1 písm. e).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8</w:t>
      </w:r>
    </w:p>
    <w:p>
      <w:pPr>
        <w:pStyle w:val="BodyTextIndent3"/>
        <w:spacing w:line="240" w:lineRule="auto"/>
        <w:ind w:firstLine="284"/>
        <w:rPr>
          <w:rFonts w:cs="Times New Roman"/>
        </w:rPr>
      </w:pPr>
      <w:r>
        <w:rPr>
          <w:rFonts w:cs="Times New Roman"/>
        </w:rPr>
        <w:t xml:space="preserve">Ustanovenie sa navrhuje upraviť z  dôvodu, že denaturačné prostriedky na všeobecnú denaturáciu liehu pre jednotlivé členské štáty EÚ ustanovuje nariadenie Komisie (ES) č. 3199/93 z 22. novembra 1993 o vzájomnom uznávaní postupov úplnej denaturácie etanolu na účely výnimky zo spotrebnej dane v znení neskorších zmien a doplnkov. Citované nariadenie bolo po vstupe nových členských štátov do EÚ novelizované nariadením Komisie (ES) č. 1309/2005 z 10. augusta 2005, ktorým sa mení a dopĺňa nariadenie Komisie (ES) č. 3199/93, v ktorom sa ustanovujú denaturačné prostriedky na všeobecnú denaturáciu liehu povolené pre Slovenskú republiku. </w:t>
      </w:r>
    </w:p>
    <w:p>
      <w:pPr>
        <w:pStyle w:val="BodyTextIndent3"/>
        <w:spacing w:line="240" w:lineRule="auto"/>
        <w:ind w:firstLine="284"/>
        <w:rPr>
          <w:rFonts w:cs="Times New Roman"/>
        </w:rPr>
      </w:pPr>
      <w:r>
        <w:rPr>
          <w:rFonts w:cs="Times New Roman"/>
        </w:rPr>
        <w:t>Zároveň sa upresňuje ustanovenie týkajúce sa oslobodenia od spotrebnej dane z liehu, ktorý je obsiahnutý vo výrobkoch vyrobených z liehu oslobodeného od dane v užívateľskom podniku, vo výrobkoch obsahujúcich lieh, oslobodený od spotrebnej dane podľa predpisov jednotlivých členských štátov (napr. kozmetických výrobkov, čistiacich prostriedkov,  potravín, liekov, liečivých prípravkov a pod.), ako aj vo vedľajších produktoch alebo odpadoch pri výrobe, pričom tento lieh nie je vhodný na priamu ľudskú spotrebu a na výrobu potravín.</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9</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Ustanovenie sa upravuje v súlade s osobitnými predpismi  tak, aby bolo zrejmé, že členský štát je povinný oslobodiť straty liehu uznané správcom dane iného členského štátu, pričom nemusí byť splnená podmienka, že tieto straty liehu nesmú byť vyššie,  ako  sú  normy  strát  ustanovené  vo  výnose  Ministerstva  pôdohospodárstva  SR  z  12.  januára  2005 č. 3301/2004-100, o normách strát liehu v liehovarníckych závodoch a u ostatných spracovateľov liehu pre jednotlivé druhy strát a uplatnenie  týchto  strát  liehu  na  účely  oslobodenia  od  spotrebnej  dane  z liehu z toho dôvodu, že predmetný výnos upravuje výšku noriem strát liehu len na daňovom území.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10</w:t>
      </w:r>
    </w:p>
    <w:p>
      <w:pPr>
        <w:pStyle w:val="Zkladntext"/>
        <w:tabs>
          <w:tab w:val="left" w:pos="360"/>
        </w:tabs>
        <w:jc w:val="both"/>
        <w:rPr>
          <w:rFonts w:ascii="Arial Narrow" w:hAnsi="Arial Narrow" w:cs="Times New Roman"/>
          <w:sz w:val="22"/>
        </w:rPr>
      </w:pPr>
      <w:r>
        <w:rPr>
          <w:rFonts w:ascii="Times New Roman" w:hAnsi="Times New Roman" w:cs="Times New Roman"/>
        </w:rPr>
        <w:t xml:space="preserve"> </w:t>
        <w:tab/>
      </w:r>
      <w:r>
        <w:rPr>
          <w:rFonts w:ascii="Arial Narrow" w:hAnsi="Arial Narrow" w:cs="Times New Roman"/>
          <w:sz w:val="22"/>
        </w:rPr>
        <w:t>Ustanovenie sa upresňuje vo väzbe na potrebu transpozície smernice Rady č. 69/169/EHS o harmonizácii ustanovení zákonov, iných právnych predpisov a správnych  opatrení týkajúcich sa oslobodenia o</w:t>
      </w:r>
      <w:r>
        <w:rPr>
          <w:rFonts w:ascii="Arial Narrow" w:hAnsi="Arial Narrow" w:cs="Times New Roman"/>
          <w:sz w:val="22"/>
        </w:rPr>
        <w:t xml:space="preserve">d dane z obratu </w:t>
      </w:r>
    </w:p>
    <w:p>
      <w:pPr>
        <w:pStyle w:val="Zkladntext"/>
        <w:tabs>
          <w:tab w:val="left" w:pos="360"/>
        </w:tabs>
        <w:jc w:val="both"/>
        <w:rPr>
          <w:rFonts w:ascii="Arial Narrow" w:hAnsi="Arial Narrow" w:cs="Times New Roman"/>
          <w:sz w:val="22"/>
        </w:rPr>
      </w:pPr>
    </w:p>
    <w:p>
      <w:pPr>
        <w:pStyle w:val="Zkladntext"/>
        <w:tabs>
          <w:tab w:val="left" w:pos="360"/>
        </w:tabs>
        <w:jc w:val="both"/>
        <w:rPr>
          <w:rFonts w:ascii="Arial Narrow" w:hAnsi="Arial Narrow" w:cs="Times New Roman"/>
          <w:sz w:val="22"/>
        </w:rPr>
      </w:pPr>
      <w:r>
        <w:rPr>
          <w:rFonts w:ascii="Arial Narrow" w:hAnsi="Arial Narrow" w:cs="Times New Roman"/>
          <w:sz w:val="22"/>
        </w:rPr>
        <w:t>a od spotrebnej dane pre dovoz v  medzinárodnom cestovnom ruchu kde je od spotrebnej dane z liehu oslobodený aj lieh nachádzajúci sa v batožine cestujúceho z územia tretích štátov určený výlučne na vlastnú spotrebu cestujúcim maximálne v ustanovenom množstve.</w:t>
      </w:r>
    </w:p>
    <w:p>
      <w:pPr>
        <w:pStyle w:val="Zkladntext"/>
        <w:tabs>
          <w:tab w:val="left" w:pos="360"/>
        </w:tabs>
        <w:jc w:val="both"/>
        <w:rPr>
          <w:rFonts w:ascii="Arial Narrow" w:hAnsi="Arial Narrow" w:cs="Times New Roman"/>
          <w:b/>
          <w:bCs/>
          <w:sz w:val="22"/>
        </w:rPr>
      </w:pPr>
    </w:p>
    <w:p>
      <w:pPr>
        <w:pStyle w:val="Zkladntext"/>
        <w:tabs>
          <w:tab w:val="left" w:pos="360"/>
        </w:tabs>
        <w:jc w:val="both"/>
        <w:rPr>
          <w:rFonts w:ascii="Arial Narrow" w:hAnsi="Arial Narrow" w:cs="Times New Roman"/>
          <w:b/>
          <w:bCs/>
          <w:sz w:val="22"/>
        </w:rPr>
      </w:pPr>
      <w:r>
        <w:rPr>
          <w:rFonts w:ascii="Arial Narrow" w:hAnsi="Arial Narrow" w:cs="Times New Roman"/>
          <w:b/>
          <w:bCs/>
          <w:sz w:val="22"/>
        </w:rPr>
        <w:t>K bodu 11</w:t>
      </w:r>
    </w:p>
    <w:p>
      <w:pPr>
        <w:pStyle w:val="Zkladntext"/>
        <w:tabs>
          <w:tab w:val="left" w:pos="360"/>
        </w:tabs>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 xml:space="preserve"> V nadväznosti na uvedené v bode 8 bolo potrebné upraviť splnomocňovacie ustanovenie na vydanie všeobecne záväzného právneho predpisu upravujúceho podmienky na denaturáciu liehu, pričom všeobecné poži</w:t>
      </w:r>
      <w:r>
        <w:rPr>
          <w:rFonts w:ascii="Arial Narrow" w:hAnsi="Arial Narrow" w:cs="Times New Roman"/>
          <w:sz w:val="22"/>
        </w:rPr>
        <w:t>a</w:t>
      </w:r>
      <w:r>
        <w:rPr>
          <w:rFonts w:ascii="Arial Narrow" w:hAnsi="Arial Narrow" w:cs="Times New Roman"/>
          <w:sz w:val="22"/>
        </w:rPr>
        <w:t>davky na denaturáciu liehu a na označovanie denaturovaného liehu sa vzťahujú ako na lieh všeobecne denat</w:t>
      </w:r>
      <w:r>
        <w:rPr>
          <w:rFonts w:ascii="Arial Narrow" w:hAnsi="Arial Narrow" w:cs="Times New Roman"/>
          <w:sz w:val="22"/>
        </w:rPr>
        <w:t>u</w:t>
      </w:r>
      <w:r>
        <w:rPr>
          <w:rFonts w:ascii="Arial Narrow" w:hAnsi="Arial Narrow" w:cs="Times New Roman"/>
          <w:sz w:val="22"/>
        </w:rPr>
        <w:t>rovaný, tak aj na lieh osobitne denaturovaný, pričom predmetný všeobecne záväzný právny predpis ustanovuje len povolené denaturačné prostriedky na osobitnú denaturáciu lieh</w:t>
      </w:r>
      <w:r>
        <w:rPr>
          <w:rFonts w:ascii="Arial Narrow" w:hAnsi="Arial Narrow" w:cs="Times New Roman"/>
          <w:sz w:val="22"/>
        </w:rPr>
        <w:t>u.</w:t>
      </w:r>
    </w:p>
    <w:p>
      <w:pPr>
        <w:pStyle w:val="BodyTextIndent"/>
        <w:ind w:firstLine="0"/>
        <w:rPr>
          <w:rFonts w:cs="Times New Roman"/>
        </w:rPr>
      </w:pPr>
      <w:r>
        <w:rPr>
          <w:rFonts w:cs="Times New Roman"/>
        </w:rPr>
        <w:t xml:space="preserve"> </w:t>
      </w:r>
    </w:p>
    <w:p>
      <w:pPr>
        <w:pStyle w:val="BodyTextIndent"/>
        <w:ind w:firstLine="0"/>
        <w:rPr>
          <w:rFonts w:cs="Times New Roman"/>
          <w:b/>
          <w:bCs/>
        </w:rPr>
      </w:pPr>
      <w:r>
        <w:rPr>
          <w:rFonts w:cs="Times New Roman"/>
          <w:b/>
          <w:bCs/>
        </w:rPr>
        <w:t>K bodu 12</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 Úpravou § 8 ods. 6 sa presnejšie vymedzuje zákaz používania osobitne denaturovaného liehu oslobodeného od dane na iné účely ako ustanovuje všeobecne záväzný predpis a ako je uvedené v odbernom poukaze.</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13 a 14</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Upresňuje sa definícia spotrebiteľského balenia liehu a ustanovenie týkajúce sa uvádzania spotrebiteľského balenia liehu do daňového voľného obehu na daňovom území označeného kontrolnou známkou, ak zákon neustanovuje inak.</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15</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Upresňujú sa podmienky na označenie spotrebiteľského balenia liehu vo vzťahu k identifikácii odberateľa kontrolnej známky.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K bodu 16</w:t>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sz w:val="22"/>
        </w:rPr>
        <w:tab/>
        <w:t>Vo väzbe na skúsenosti z praxe sa upresňujú podmienky na vydanie povolenia na tlač kontrolných známok. Zároveň sa ustanovuje, za účelom umožnenia kontroly tlače kontrolných známok správcom dane, aby  právnická osoba alebo fyzická osoba, ktorá chce vyhotovovať kontrolné známky mala prevádzku na ich tlač umiestnenú na daňovom území.</w:t>
      </w:r>
    </w:p>
    <w:p>
      <w:pPr>
        <w:pStyle w:val="BodyTextIndent"/>
        <w:ind w:firstLine="284"/>
        <w:rPr>
          <w:rFonts w:cs="Times New Roman"/>
        </w:rPr>
      </w:pPr>
      <w:r>
        <w:rPr>
          <w:rFonts w:cs="Times New Roman"/>
        </w:rPr>
        <w:t xml:space="preserve">Zároveň sa upravuje ustanovenie tak, aby tlačiareň nebola povinná pred každou distribúciou kontrolných známok predložiť Colnému riaditeľstvu SR výtlačok kontrolnej známky (specimen) vtedy, ak sa mení len dátum vyhotovenia kontrolnej známky. </w:t>
      </w:r>
    </w:p>
    <w:p>
      <w:pPr>
        <w:pStyle w:val="BodyTextIndent"/>
        <w:ind w:firstLine="284"/>
        <w:rPr>
          <w:rFonts w:cs="Times New Roman"/>
        </w:rPr>
      </w:pPr>
      <w:r>
        <w:rPr>
          <w:rFonts w:cs="Times New Roman"/>
        </w:rPr>
        <w:t xml:space="preserve">Zároveň sa ustanovuje, že tlačiareň môže distribuovať kontrolné známky až keď obdrží súhlasné stanovisko Colného riaditeľstva SR o tom, že predložený vzorový výtlačok kontrolnej známky (specimen) spĺňa náležitosti zákona č. 105/2004 Z. z. a vyhlášky MF SR č. 206/2004 Z. z., ktorou sa ustanovujú podrobnosti o vyhotovení kontrolných známok na označovanie spotrebiteľského balenia liehu a o grafických prvkoch a údajoch na kontrolnej známke.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17</w:t>
      </w:r>
    </w:p>
    <w:p>
      <w:pPr>
        <w:pStyle w:val="BodyTextIndent"/>
        <w:ind w:firstLine="284"/>
        <w:rPr>
          <w:rFonts w:cs="Times New Roman"/>
        </w:rPr>
      </w:pPr>
      <w:r>
        <w:rPr>
          <w:rFonts w:cs="Times New Roman"/>
        </w:rPr>
        <w:t>Z dôvodu zjednodušenia administratívnej náročnosti sa upresňujú náležitosti žiadosti o pridelenie registračného odberného čísla na účely odberu kontrolnýc</w:t>
      </w:r>
      <w:r>
        <w:rPr>
          <w:rFonts w:cs="Times New Roman"/>
        </w:rPr>
        <w:t>h známok.</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18</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Vzhľadom k tomu, že problematiku povolení na dovoz upravuje právny predpis Európskej únie bolo potrebné upraviť predmetnú citáciu.</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19</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Zjednodušuje sa zloženie zábezpeky na daň pri dovoze spotrebiteľského balenia liehu tak, že zábezpeku na daň  je dovozca spotrebiteľského balenia liehu povinný zložiť pred dovozom spotrebiteľského balenia, a to vo výške dane pripadajúcej na množstvo liehu, ktoré chce uviesť do daňového voľného obehu.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20</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Úpravou sa umožňuje aby v prípade, ak odberateľ kontrolnej známky označuje spotrebiteľské balenie liehu </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u inej právnickej osoby alebo fyzickej osoby, mohol tieto odovzdať aj prepravcovi kontrolných známok, ktorý ich doručí právnickej osoby alebo fyzickej osobe, ktorá označuje spotrebiteľské balenie liehu.</w:t>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sz w:val="22"/>
        </w:rPr>
        <w:tab/>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21</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 xml:space="preserve">Upresňuje sa povinnosť odberateľa kontrolnej známky, ktorý je povinný poškodené alebo z iného dôvodu nepoužiteľné kontrolné známky odovzdať colnému úradu s výnimkou kontrolných známok zničených v technologickom zariadení slúžiacom na nalepovanie kontrolných známok do takej miery, že tieto fyzicky nemožno odovzdať colnému úradu.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22</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Ak sa na spotrebiteľské balenie liehu nalepujú kontrolné známky v inom členskom štáte a správca dane podľa právnych predpisov tohto členského štátu nie je povinný zabezpečiť prítomnosť správcu dane pri nalepovaní kontrolných známok, je potrebné upraviť predmetné ustanovenie tak, aby sa potvrdenie príslušného orgánu správcu dane nevyžadovalo v prípadoch, ak boli známky poškodené v dôsledku</w:t>
      </w:r>
      <w:r>
        <w:rPr>
          <w:rFonts w:ascii="Arial Narrow" w:hAnsi="Arial Narrow" w:cs="Times New Roman"/>
          <w:sz w:val="22"/>
        </w:rPr>
        <w:t xml:space="preserve"> technologickej poruchy.</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23</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Na základe poznatkov z praxe správcov dane i daňových subjektov sa upresňuje spôsob zúčtovania s colným úradom odberu kontrolných známok a použitia prevzatých kontrolných známok.</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K bodom 24 a 25</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Ustanovenia bolo potrebné upraviť tak, aby sa na lieh určený na použitie v zdravotníctve, na spotrebiteľské balenie liehu prepravované na daňové územie na súkromné účely  a na spotrebiteľské balenie liehu dodávané na daňové územie v rámci zásielkového obchodu nevzťahovala povinnosť toto spotrebiteľské balenie liehu označovať kontrolnou známkou.</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26</w:t>
        <w:tab/>
      </w:r>
    </w:p>
    <w:p>
      <w:pPr>
        <w:pStyle w:val="Zkladntext"/>
        <w:tabs>
          <w:tab w:val="left" w:pos="360"/>
        </w:tabs>
        <w:autoSpaceDE/>
        <w:autoSpaceDN/>
        <w:jc w:val="both"/>
        <w:rPr>
          <w:rFonts w:ascii="Arial Narrow" w:hAnsi="Arial Narrow" w:cs="Tms Rmn"/>
          <w:sz w:val="22"/>
        </w:rPr>
      </w:pPr>
      <w:r>
        <w:rPr>
          <w:rFonts w:ascii="Arial Narrow" w:hAnsi="Arial Narrow" w:cs="Times New Roman"/>
          <w:sz w:val="22"/>
        </w:rPr>
        <w:tab/>
        <w:t>Ustanovenie sa navrhuje upraviť tak, že bez povolenia colného úradu je zakázaný aj predaj liehu zo spotrebiteľského balenia liehu, a to za cenu nižšiu ako je súčet dane zodpovedajúcej objemu a objemovej koncentrácii liehu v spotrebiteľskom balení liehu a  sumy 25 Sk. Zároveň sa upresňuje postup p</w:t>
      </w:r>
      <w:r>
        <w:rPr>
          <w:rFonts w:ascii="Arial Narrow" w:hAnsi="Arial Narrow" w:cs="Tms Rmn"/>
          <w:sz w:val="22"/>
        </w:rPr>
        <w:t xml:space="preserve">ri výpočte ceny spotrebiteľského balenia liehu podľa tohto zákona.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27 a 28</w:t>
      </w:r>
    </w:p>
    <w:p>
      <w:pPr>
        <w:pStyle w:val="Zkladntext"/>
        <w:tabs>
          <w:tab w:val="left" w:pos="360"/>
        </w:tabs>
        <w:autoSpaceDE/>
        <w:autoSpaceDN/>
        <w:jc w:val="both"/>
        <w:rPr>
          <w:rFonts w:ascii="Arial Narrow" w:hAnsi="Arial Narrow" w:cs="Times New Roman"/>
          <w:iCs/>
          <w:sz w:val="22"/>
        </w:rPr>
      </w:pPr>
      <w:r>
        <w:rPr>
          <w:rFonts w:ascii="Arial Narrow" w:hAnsi="Arial Narrow" w:cs="Times New Roman"/>
          <w:b/>
          <w:bCs/>
          <w:sz w:val="22"/>
        </w:rPr>
        <w:tab/>
      </w:r>
      <w:r>
        <w:rPr>
          <w:rFonts w:ascii="Arial Narrow" w:hAnsi="Arial Narrow" w:cs="Times New Roman"/>
          <w:sz w:val="22"/>
        </w:rPr>
        <w:t>Poznatky z praxe si vyžadujú upresniť</w:t>
      </w:r>
      <w:r>
        <w:rPr>
          <w:rFonts w:ascii="Arial Narrow" w:hAnsi="Arial Narrow" w:cs="Times New Roman"/>
          <w:b/>
          <w:bCs/>
          <w:sz w:val="22"/>
        </w:rPr>
        <w:t xml:space="preserve"> </w:t>
      </w:r>
      <w:r>
        <w:rPr>
          <w:rFonts w:ascii="Arial Narrow" w:hAnsi="Arial Narrow" w:cs="Times New Roman"/>
          <w:sz w:val="22"/>
        </w:rPr>
        <w:t xml:space="preserve">ustanovenie § 10 tak, aby bolo zrejmé, v ktorých prípadoch je možné v daňovom voľnom obehu označiť spotrebiteľské balenie liehu kontrolnou známkou. Spotrebiteľské balenie liehu v daňovom voľnom obehu môže byť </w:t>
      </w:r>
      <w:r>
        <w:rPr>
          <w:rFonts w:ascii="Arial Narrow" w:hAnsi="Arial Narrow" w:cs="Times New Roman"/>
          <w:iCs/>
          <w:sz w:val="22"/>
        </w:rPr>
        <w:t>prevzaté späť na sklad a môže byť v odôvodnených prípad</w:t>
      </w:r>
      <w:r>
        <w:rPr>
          <w:rFonts w:ascii="Arial Narrow" w:hAnsi="Arial Narrow" w:cs="Times New Roman"/>
          <w:iCs/>
          <w:sz w:val="22"/>
        </w:rPr>
        <w:t xml:space="preserve">och </w:t>
      </w:r>
      <w:r>
        <w:rPr>
          <w:rFonts w:ascii="Arial Narrow" w:hAnsi="Arial Narrow" w:cs="Times New Roman"/>
          <w:sz w:val="22"/>
        </w:rPr>
        <w:t xml:space="preserve">označené novou kontrolnou známkou len na základe </w:t>
      </w:r>
      <w:r>
        <w:rPr>
          <w:rFonts w:ascii="Arial Narrow" w:hAnsi="Arial Narrow" w:cs="Times New Roman"/>
          <w:iCs/>
          <w:sz w:val="22"/>
        </w:rPr>
        <w:t>súhlasu colného úradu a za prítomnosti zamestnanca colného úradu. Uvedené sa nevzťahuje na oprávneného príjemcu, ktorý v prípade, ak prijal neoznačené spotrebiteľské balenie liehu z iného členského štátu v pozastavení dane, môže označiť toto spotrebiteľské balenie liehu kontrolnou známkou pred predajom alebo iným vydaním na daňovom území, pričom nie je povinný žiadať colný úrad o povolenie.</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29</w:t>
      </w:r>
    </w:p>
    <w:p>
      <w:pPr>
        <w:pStyle w:val="BodyTextIndent2"/>
        <w:spacing w:before="0"/>
        <w:ind w:firstLine="284"/>
        <w:rPr>
          <w:rFonts w:cs="Times New Roman"/>
        </w:rPr>
      </w:pPr>
      <w:r>
        <w:rPr>
          <w:rFonts w:cs="Times New Roman"/>
        </w:rPr>
        <w:t>Na základe podnetu z praxe sa upresňuje definícia užívateľského podniku a vytvára sa evidencia užívateľských podnikov.</w:t>
      </w:r>
    </w:p>
    <w:p>
      <w:pPr>
        <w:jc w:val="both"/>
        <w:rPr>
          <w:rFonts w:ascii="Arial Narrow" w:hAnsi="Arial Narrow" w:cs="Times New Roman"/>
          <w:sz w:val="22"/>
        </w:rPr>
      </w:pPr>
    </w:p>
    <w:p>
      <w:pPr>
        <w:pStyle w:val="Heading2"/>
        <w:spacing w:before="0" w:line="240" w:lineRule="auto"/>
        <w:ind w:firstLine="0"/>
        <w:rPr>
          <w:rFonts w:ascii="Arial Narrow" w:hAnsi="Arial Narrow" w:cs="Times New Roman"/>
          <w:sz w:val="22"/>
        </w:rPr>
      </w:pPr>
      <w:r>
        <w:rPr>
          <w:rFonts w:ascii="Arial Narrow" w:hAnsi="Arial Narrow" w:cs="Times New Roman"/>
          <w:sz w:val="22"/>
        </w:rPr>
        <w:t xml:space="preserve">K bodom 30, 31 a 36 </w:t>
      </w:r>
    </w:p>
    <w:p>
      <w:pPr>
        <w:pStyle w:val="BodyTextIndent2"/>
        <w:spacing w:before="0"/>
        <w:ind w:firstLine="284"/>
        <w:rPr>
          <w:rFonts w:cs="Times New Roman"/>
        </w:rPr>
      </w:pPr>
      <w:r>
        <w:rPr>
          <w:rFonts w:cs="Times New Roman"/>
        </w:rPr>
        <w:t>Ide o úpravu ustanovení § 11 v nadväznosti na vytvorenie evidencie užívateľských podnikov podľa bodu 29.</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 xml:space="preserve">K bodom 32 a 34 </w:t>
        <w:tab/>
      </w:r>
    </w:p>
    <w:p>
      <w:pPr>
        <w:pStyle w:val="BodyTextIndent2"/>
        <w:spacing w:before="0"/>
        <w:ind w:firstLine="180"/>
        <w:rPr>
          <w:rFonts w:cs="Times New Roman"/>
        </w:rPr>
      </w:pPr>
      <w:r>
        <w:rPr>
          <w:rFonts w:cs="Times New Roman"/>
        </w:rPr>
        <w:t xml:space="preserve"> Na základe poznatkov z praxe daňových subjektov a colných úradov s cieľom zjednotiť spôsob uplatňovania týchto ustanovení zákona sa upresňujú podmienky na vydanie povolenia na odber liehu oslobodeného od dane tak, že na preukázanie neexistencie pohľadávok colného úradu alebo daňového úradu po lehote splatnosti voči personálne prepojeným osobám alebo majetkovo prepojeným osobám so žiadateľom je potrebné priložiť zoznam personálne prepojených osôb alebo majetkovo prepojených osôb so žiadateľom. Zároveň sa upravuje povinnosť žiadateľa o vydanie povolenia na odber liehu oslobodeného od dane tak, že k žiadosti o vydanie povolenia na odber liehu oslobodeného do dane je povinný priložiť aj čestné vyhlásenie o tom, že colný úrad ani daňový úrad </w:t>
      </w:r>
    </w:p>
    <w:p>
      <w:pPr>
        <w:pStyle w:val="BodyTextIndent2"/>
        <w:spacing w:before="0"/>
        <w:ind w:firstLine="0"/>
        <w:rPr>
          <w:rFonts w:cs="Times New Roman"/>
        </w:rPr>
      </w:pPr>
      <w:r>
        <w:rPr>
          <w:rFonts w:cs="Times New Roman"/>
        </w:rPr>
        <w:t xml:space="preserve">nemá voči osobe, ktorá zanikla ani voči osobe, ktorá nezanikla a bola by sa považovala za osobu personálne prepojenú alebo majetkovo prepojenú so žiadateľom, pohľadávky na dani.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33</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Upresňuje sa povinnosť zložiť zábezpeku na daň na množstvo liehu, ktorý nie je denaturovaný, a ktorý žiadateľ používa alebo predpokladá použiť na účely oslobodené od spotrebnej dane.</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35, 37 a 38</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Úpravou sa upresnili podmienky na vydanie odberného poukazu, na odňatie odberného poukazu v prípade, keď sankcie ani výzvy nevedú u subjektu k náprave, ako aj na vyradenie užívateľského podniku z evidencie užívateľských podnikov.</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39</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Úprava nadväzuje na nové znenie § 47 upravujúceho pokuty.</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40</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Úpravou sa upresňuje ustanovenie tak, že užívateľský podnik, ktorý vo výrobnom procese získava lieh regeneráciou z liehových roztokov a liehových odpadov, je povinný toto množstvo získaného liehu merať kontrolným liehovým meradlom aj v prípade, ak sa tento lieh získava iným technologickým postupom ako je rektifikácia a destilácia, napríklad pomocou molekulových sít, pričom prietok liehu umožňuje použiť kontrolné liehové meradlo.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41</w:t>
      </w:r>
    </w:p>
    <w:p>
      <w:pPr>
        <w:pStyle w:val="Zkladntext"/>
        <w:tabs>
          <w:tab w:val="left" w:pos="360"/>
        </w:tabs>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Doplnenie nového ustanovenia si vyžiadali skúsenosti z praxe pri uplatňovaní</w:t>
      </w:r>
      <w:r>
        <w:rPr>
          <w:rFonts w:ascii="Arial Narrow" w:hAnsi="Arial Narrow" w:cs="Times New Roman"/>
          <w:b/>
          <w:bCs/>
          <w:sz w:val="22"/>
        </w:rPr>
        <w:t xml:space="preserve"> </w:t>
      </w:r>
      <w:r>
        <w:rPr>
          <w:rFonts w:ascii="Arial Narrow" w:hAnsi="Arial Narrow" w:cs="Times New Roman"/>
          <w:sz w:val="22"/>
        </w:rPr>
        <w:t>čl. 27 (1) (e) smernice Rady 92/83/EHS o zosúladení štruktúr spotrebných daní z alkoholu a alkoholických nápojov v znení neskorších zmien a doplnkov, pričom sa upresňuje oslobodenie aróm s obsahom liehu na aromatizáciu potravín alebo nápojov s obsahom alkoholu neprevyšujúcim 1,2 % objemu. Ustanovuje sa, aby každá právnická osoba alebo fyzická osoba, ktorá chce používať, prijímať alebo vydávať arómy oslobodené od dane, bola povinná požiadať colný úrad o zaradenie do evidencie podnikov, ktoré používajú, prijímajú alebo vydávajú arómy oslobodené od dane. Zároveň sú právnické osoby alebo fyzické osoby, ktoré boli zaradené do evidencie podnikov, ktoré používajú, prijímajú alebo vydávajú arómy oslobodené od dane viesť evidenciu, z ktorej by bolo zrejmé použitie, príjem alebo výdaj aróm na účely uplatnenia oslobodenia od dane v súlade so zákonom.</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42 a 43</w:t>
      </w:r>
    </w:p>
    <w:p>
      <w:pPr>
        <w:pStyle w:val="BodyTextIndent2"/>
        <w:spacing w:before="0"/>
        <w:ind w:firstLine="284"/>
        <w:rPr>
          <w:rFonts w:cs="Times New Roman"/>
        </w:rPr>
      </w:pPr>
      <w:r>
        <w:rPr>
          <w:rFonts w:cs="Times New Roman"/>
        </w:rPr>
        <w:t>Z dôvodu jednoznačnosti uplatňovania tohto ustanovenia sa upresňuje definícia vzniku daňovej povinnosti v iných, ako v štandardných prípadoch, t. j. v prípadoch uvedených v § 12 ods. 1 písm. a) až e).</w:t>
      </w:r>
    </w:p>
    <w:p>
      <w:pPr>
        <w:jc w:val="both"/>
        <w:rPr>
          <w:rFonts w:ascii="Arial Narrow" w:hAnsi="Arial Narrow" w:cs="Times New Roman"/>
          <w:b/>
          <w:sz w:val="22"/>
        </w:rPr>
      </w:pPr>
    </w:p>
    <w:p>
      <w:pPr>
        <w:jc w:val="both"/>
        <w:rPr>
          <w:rFonts w:ascii="Arial Narrow" w:hAnsi="Arial Narrow" w:cs="Times New Roman"/>
          <w:b/>
          <w:sz w:val="22"/>
        </w:rPr>
      </w:pPr>
      <w:r>
        <w:rPr>
          <w:rFonts w:ascii="Arial Narrow" w:hAnsi="Arial Narrow" w:cs="Times New Roman"/>
          <w:b/>
          <w:sz w:val="22"/>
        </w:rPr>
        <w:t>K bodu 44</w:t>
      </w:r>
    </w:p>
    <w:p>
      <w:pPr>
        <w:pStyle w:val="BodyTextIndent3"/>
        <w:tabs>
          <w:tab w:val="left" w:pos="0"/>
        </w:tabs>
        <w:spacing w:line="240" w:lineRule="auto"/>
        <w:rPr>
          <w:rFonts w:cs="Times New Roman"/>
        </w:rPr>
      </w:pPr>
      <w:r>
        <w:rPr>
          <w:rFonts w:cs="Times New Roman"/>
        </w:rPr>
        <w:t xml:space="preserve">Pre správne určenie vzniku daňovej povinnosti bolo potrebné vydefinovať vznik daňovej povinnosti v širších súvislostiach ako je v prípade držby obsiahnuté v občianskoprávnej úprave. V nadväznosti na uvedené, daňová povinnosť vzniká dňom zistenia liehu, ktorý sa nachádza alebo nachádzal u právnickej osoby alebo fyzickej osoby, ak táto nevie preukázať pôvod alebo spôsob ich nadobudnutia v súlade so zákonom o spotrebnej dani z liehu, a to bez ohľadu na to, či nakladá alebo nakladala s liehom ako vlastným. </w:t>
      </w:r>
    </w:p>
    <w:p>
      <w:pPr>
        <w:jc w:val="both"/>
        <w:rPr>
          <w:rFonts w:ascii="Arial Narrow" w:hAnsi="Arial Narrow" w:cs="Times New Roman"/>
          <w:sz w:val="22"/>
        </w:rPr>
      </w:pPr>
    </w:p>
    <w:p>
      <w:pPr>
        <w:pStyle w:val="Heading6"/>
        <w:tabs>
          <w:tab w:val="clear" w:pos="0"/>
        </w:tabs>
        <w:rPr>
          <w:rFonts w:cs="Times New Roman"/>
        </w:rPr>
      </w:pPr>
      <w:r>
        <w:rPr>
          <w:rFonts w:cs="Times New Roman"/>
        </w:rPr>
        <w:t>K bodom 45 a 46</w:t>
      </w:r>
    </w:p>
    <w:p>
      <w:pPr>
        <w:pStyle w:val="BodyTextIndent2"/>
        <w:spacing w:before="0"/>
        <w:ind w:firstLine="284"/>
        <w:rPr>
          <w:rFonts w:cs="Times New Roman"/>
        </w:rPr>
      </w:pPr>
      <w:r>
        <w:rPr>
          <w:rFonts w:cs="Times New Roman"/>
        </w:rPr>
        <w:t xml:space="preserve">Vzhľadom na úpravy ustanovení týkajúcich sa vzniku daňovej povinnosti uvedené v bodoch 42 a 43 bolo potrebné vykonať rovnaké úpravy ustanovení v § 13 týkajúcich sa daňového dlžníka. </w:t>
      </w:r>
    </w:p>
    <w:p>
      <w:pPr>
        <w:jc w:val="both"/>
        <w:rPr>
          <w:rFonts w:ascii="Arial Narrow" w:hAnsi="Arial Narrow" w:cs="Times New Roman"/>
          <w:b/>
          <w:sz w:val="22"/>
        </w:rPr>
      </w:pPr>
    </w:p>
    <w:p>
      <w:pPr>
        <w:jc w:val="both"/>
        <w:rPr>
          <w:rFonts w:ascii="Arial Narrow" w:hAnsi="Arial Narrow" w:cs="Times New Roman"/>
          <w:b/>
          <w:sz w:val="22"/>
        </w:rPr>
      </w:pPr>
      <w:r>
        <w:rPr>
          <w:rFonts w:ascii="Arial Narrow" w:hAnsi="Arial Narrow" w:cs="Times New Roman"/>
          <w:b/>
          <w:sz w:val="22"/>
        </w:rPr>
        <w:t>K bodu 47</w:t>
      </w:r>
    </w:p>
    <w:p>
      <w:pPr>
        <w:pStyle w:val="Zkladntext"/>
        <w:tabs>
          <w:tab w:val="left" w:pos="360"/>
        </w:tabs>
        <w:autoSpaceDE/>
        <w:autoSpaceDN/>
        <w:jc w:val="both"/>
        <w:rPr>
          <w:rFonts w:ascii="Arial Narrow" w:hAnsi="Arial Narrow" w:cs="Times New Roman"/>
          <w:iCs/>
          <w:sz w:val="22"/>
        </w:rPr>
      </w:pPr>
      <w:r>
        <w:rPr>
          <w:rFonts w:ascii="Arial Narrow" w:hAnsi="Arial Narrow" w:cs="Times New Roman"/>
          <w:b/>
          <w:sz w:val="22"/>
        </w:rPr>
        <w:tab/>
      </w:r>
      <w:r>
        <w:rPr>
          <w:rFonts w:ascii="Arial Narrow" w:hAnsi="Arial Narrow" w:cs="Times New Roman"/>
          <w:bCs/>
          <w:sz w:val="22"/>
        </w:rPr>
        <w:t>Ustanovenie sa upresňuje v nadväznosti na znenie § 12 ods. 1 písm. f) ako aj z dôvodu, že p</w:t>
      </w:r>
      <w:r>
        <w:rPr>
          <w:rFonts w:ascii="Arial Narrow" w:hAnsi="Arial Narrow" w:cs="Times New Roman"/>
          <w:bCs/>
          <w:iCs/>
          <w:sz w:val="22"/>
        </w:rPr>
        <w:t>rávnické</w:t>
      </w:r>
      <w:r>
        <w:rPr>
          <w:rFonts w:ascii="Arial Narrow" w:hAnsi="Arial Narrow" w:cs="Times New Roman"/>
          <w:iCs/>
          <w:sz w:val="22"/>
        </w:rPr>
        <w:t xml:space="preserve"> osoby alebo fyzické osoby, ktoré sú oprávnené nakupovať lieh oslobodený od dane podľa § 7 ods.1, a to na základe poukazu na odber liehu oslobodeného od dane vydaného podľa  § 11 a tento lieh počas výroby niektorých výrobkov, napríklad liekov regenerujú, nie sú daňovými dlžníkmi.  </w:t>
      </w:r>
    </w:p>
    <w:p>
      <w:pPr>
        <w:tabs>
          <w:tab w:val="left" w:pos="360"/>
        </w:tabs>
        <w:jc w:val="both"/>
        <w:rPr>
          <w:rFonts w:ascii="Arial Narrow" w:hAnsi="Arial Narrow" w:cs="Times New Roman"/>
          <w:bCs/>
          <w:sz w:val="22"/>
        </w:rPr>
      </w:pPr>
    </w:p>
    <w:p>
      <w:pPr>
        <w:jc w:val="both"/>
        <w:rPr>
          <w:rFonts w:ascii="Arial Narrow" w:hAnsi="Arial Narrow" w:cs="Times New Roman"/>
          <w:b/>
          <w:sz w:val="22"/>
        </w:rPr>
      </w:pPr>
      <w:r>
        <w:rPr>
          <w:rFonts w:ascii="Arial Narrow" w:hAnsi="Arial Narrow" w:cs="Times New Roman"/>
          <w:b/>
          <w:sz w:val="22"/>
        </w:rPr>
        <w:t>K bodu 48</w:t>
      </w:r>
    </w:p>
    <w:p>
      <w:pPr>
        <w:pStyle w:val="BodyTextIndent2"/>
        <w:spacing w:before="0"/>
        <w:ind w:firstLine="284"/>
        <w:rPr>
          <w:rFonts w:cs="Times New Roman"/>
        </w:rPr>
      </w:pPr>
      <w:r>
        <w:rPr>
          <w:rFonts w:cs="Times New Roman"/>
        </w:rPr>
        <w:t>Úprava daňového dlžníka podľa § 13 ods. 2 písm. a) nadväzuje na úpravu uvedenú v bode 44.</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49</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Ustanovenie sa vypúšťa</w:t>
      </w:r>
      <w:r>
        <w:rPr>
          <w:rFonts w:ascii="Arial Narrow" w:hAnsi="Arial Narrow" w:cs="Times New Roman"/>
          <w:b/>
          <w:bCs/>
          <w:sz w:val="22"/>
        </w:rPr>
        <w:t xml:space="preserve"> </w:t>
      </w:r>
      <w:r>
        <w:rPr>
          <w:rFonts w:ascii="Arial Narrow" w:hAnsi="Arial Narrow" w:cs="Times New Roman"/>
          <w:sz w:val="22"/>
        </w:rPr>
        <w:t>z toho dôvodu, že v súlade s § 48 ods. 1 je colný úrad povinný ničiť lieh, ktorého vlastníkom sa stal štát podľa osobitného predpisu a vzhľadom k tejto skutočnosti je uvedené ustanovenie nadbytočné.</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50</w:t>
      </w:r>
    </w:p>
    <w:p>
      <w:pPr>
        <w:pStyle w:val="BodyTextIndent2"/>
        <w:spacing w:before="0"/>
        <w:ind w:firstLine="284"/>
        <w:rPr>
          <w:rFonts w:cs="Times New Roman"/>
        </w:rPr>
      </w:pPr>
      <w:r>
        <w:rPr>
          <w:rFonts w:cs="Times New Roman"/>
        </w:rPr>
        <w:t>Touto úpravou sa doplnil režim na podanie daňového priznania a splatnosť dane pre prevádzkovateľa tranzitného daňového skladu a prevádzkovateľa daňového skladu pre zahraničných zástupcov.</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bodom 51 a 52</w:t>
      </w:r>
    </w:p>
    <w:p>
      <w:pPr>
        <w:pStyle w:val="BodyTextIndent2"/>
        <w:spacing w:before="0"/>
        <w:ind w:firstLine="284"/>
        <w:rPr>
          <w:rFonts w:cs="Times New Roman"/>
        </w:rPr>
      </w:pPr>
      <w:r>
        <w:rPr>
          <w:rFonts w:cs="Times New Roman"/>
        </w:rPr>
        <w:t>Tieto technické úpravy boli vykonané v nadväznosti na úpravy uvedené v bodoch 42 a 45, týkajúce sa vzniku daňovej povinnosti.</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53</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V nadväznosti na čl. 22 (2) (d) smernice Rady č. 92/12/EHS o všeobecných systémoch pre výrobky podliehajúce spotrebnej dani a o vlastníctve, pohybe a monitorovaní takýchto výrobkov sa upresňujú podmienky na vrátenie dane pre právnické osoby alebo fyzické osoby, ktoré v rámci podnikania dodali spotrebiteľské balenie liehu právnickej osobe alebo fyzickej osobe na podnikateľské účely na územie iného členského štátu. Právnická osoba alebo fyzická osoba je povinná, v prípade ak bola na tomto spotrebiteľskom balení liehu nalepená kontrolná známka, k žiadosti o vrátenie dane priložiť aj úradný záznam o zničení týchto kontrolných známok.</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54</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Ustanovenie sa upravuje tak, aby sa pozastavenie dane uplatnilo nielen na lieh, ktorý sa stal vlastníctvom štátu, ale aj na lieh, ktorý colný úrad zabezpečí s výnimkou preukázateľne zdaneného liehu. Uvedené sa navrhuje upraviť z dôvodu, aby colný úrad, v prípade ak nie je možné na mieste spoľahlivo lieh zabezpečiť, mohol tento zabezpečený lieh previezť na iné vhodné miesto v režime pozastavenia dane a  skladovať ho v po</w:t>
      </w:r>
      <w:r>
        <w:rPr>
          <w:rFonts w:ascii="Arial Narrow" w:hAnsi="Arial Narrow" w:cs="Times New Roman"/>
          <w:sz w:val="22"/>
        </w:rPr>
        <w:t xml:space="preserve">zastavení dane.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55</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 xml:space="preserve">Ide o technické úpravy ustanovenia v nadväznosti na nové znenie § 22.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56</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Ustanovenie sa upravuje tak, aby bolo zrejmé, že prijímať, vydávať, vyrábať alebo spracúvať lieh v daňovom sklade, ktorým je podnik na výrobu liehu a sklad liehu možno len</w:t>
      </w:r>
      <w:r>
        <w:rPr>
          <w:rFonts w:ascii="Arial Narrow" w:hAnsi="Arial Narrow" w:cs="Times New Roman"/>
          <w:sz w:val="22"/>
        </w:rPr>
        <w:t xml:space="preserve"> za prítomnosti zamestnanca colného úradu. Colný úrad je povinný zabezpečiť nepretržitú prítomnosť zamestnanca colného úradu v daňovom sklade. V sklade liehu, ktorého prevádzkovateľom je Správa štátnych hmotných rezerv sa prítomnosť zamestnanca colného úradu vyžaduje len pri príjme alebo výdaji liehu.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57</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Definícia podniku na výrobu liehu, ktorý získava lieh regeneráciou sa dopĺňa aj o získavanie liehu regeneráciou z liehových roztokov.</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58</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Upresňujú sa podmienky na registráciu prevádzkovateľa liehovarníckeho závodu na pestovateľské pálenie ovocia, týkajúce sa konkurzu.</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 xml:space="preserve">K bodu 59 </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 xml:space="preserve">Upresňujú sa oznamovacie povinnosti prevádzkovateľa liehovarníckeho závodu na pestovateľské pálenie </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 xml:space="preserve">ovocia tak, </w:t>
      </w:r>
      <w:r>
        <w:rPr>
          <w:rFonts w:ascii="Arial Narrow" w:hAnsi="Arial Narrow" w:cs="Times New Roman"/>
          <w:sz w:val="22"/>
          <w:szCs w:val="22"/>
        </w:rPr>
        <w:t>aby  dátum výroby liehu pre pestovateľa bolo možné oznámiť colnému úradu aj telefonicky.</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60</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Pre prevádzkovateľa liehovarníckeho závodu na pestovateľské pálenie ovocia</w:t>
      </w:r>
      <w:r>
        <w:rPr>
          <w:rFonts w:ascii="Arial Narrow" w:hAnsi="Arial Narrow" w:cs="Times New Roman"/>
          <w:b/>
          <w:bCs/>
          <w:sz w:val="22"/>
        </w:rPr>
        <w:t xml:space="preserve"> </w:t>
      </w:r>
      <w:r>
        <w:rPr>
          <w:rFonts w:ascii="Arial Narrow" w:hAnsi="Arial Narrow" w:cs="Times New Roman"/>
          <w:sz w:val="22"/>
        </w:rPr>
        <w:t>sa ustanovuje povinnosť oznámiť colnému úradu zmenu dátumu výroby liehu pre pestovateľa v liehovarníckom závode na pestovateľské pálenie ovocia. Zmenu dátumu výroby liehu oznamuje prevádzkovateľ liehovarníckeho závodu na pestovateľské pálenie ovocia bezodkladne, a to písomne, elektronicky, faxom alebo telefonicky.</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61</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Pre pestovateľa sa ustanovuje lehota na prevzatie liehu vyrobeného v liehovarníckom závode na pestovateľské pálenie ovocia a oznamovacia povinnosť pre prevádzkovateľa liehovarníckeho závodu na pestovateľské pálenie ovocia v prípade, ak v tejto lehote neprevzal vyrobený lieh. Lieh, ktorý nebol prevzatý pestovateľom ničí colný úrad alebo sa ničí pod jeho dozorom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62</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 xml:space="preserve"> </w:t>
        <w:tab/>
        <w:t xml:space="preserve">Upresňuje sa definícia vzniku daňovej povinnosti v liehovarníckom závode na pestovateľské pálenie, pričom daňová povinnosť vzniká dňom vyrobenia liehu v liehovarníckom závode na pestovateľské pálenie ovocia. Zároveň sa ustanovuje, že v liehovarníckom závode na pestovateľské pálenie ovocia môže byť vyrobený lieh len na základe žiadosti o výrobu destilátu, ku ktorej pestovateľ priloží zoznam členov domácnosti. </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w:t>
      </w:r>
      <w:r>
        <w:rPr>
          <w:rFonts w:ascii="Arial Narrow" w:hAnsi="Arial Narrow" w:cs="Times New Roman"/>
          <w:b/>
          <w:bCs/>
          <w:sz w:val="22"/>
        </w:rPr>
        <w:t>du 63</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 xml:space="preserve"> V nadväznosti na vyššie uvedené úpravy týkajúce sa vzniku daňovej povinnosti bolo potrebné upresniť náležitosti daňového priznania, ktoré podáva prevádzkovateľ liehovarníckeho závodu na pestovateľské pálenie ovocia, v ktorom okrem iného uvádza aj množstvo liehu, ktoré nebolo prevzaté pestovateľom a bolo resp. nebolo zničené colným úradom alebo pod jeho dozorom.</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64</w:t>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sz w:val="22"/>
        </w:rPr>
        <w:tab/>
        <w:t>Ustanovuje sa možnosť vrátiť daň prevádzkovateľovi liehovarníckeho závodu na pestovateľské pálenie ovocia v prípade, ak zaplatil daň z liehu, ktorý nebol prevzatý pestovateľom a ktorý bol zničený colným úradom  alebo pod jeho dozorom až po podaní daňového priznania za zdaňovacie obdobie, v ktorom bol lieh vyrobený. Prevádzkovateľ liehovarníckeho závodu na pestovateľské pálenie ovocia vrátenie dane uplatní v daňovom priznaní, a to za zdaňovacie obdobie, v ktorom boli splnené všetky podmienky na vrátenie dane.</w:t>
      </w:r>
    </w:p>
    <w:p>
      <w:pPr>
        <w:pStyle w:val="Zkladntext"/>
        <w:tabs>
          <w:tab w:val="left" w:pos="360"/>
        </w:tabs>
        <w:autoSpaceDE/>
        <w:autoSpaceDN/>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Ustanovuje sa, aby sa daňovým dlžníkom stal pestovateľ, a to v prípade, ak colný úrad zistí, že údaje uvedené v žiadosti o vý</w:t>
      </w:r>
      <w:r>
        <w:rPr>
          <w:rFonts w:ascii="Arial Narrow" w:hAnsi="Arial Narrow" w:cs="Times New Roman"/>
          <w:sz w:val="22"/>
        </w:rPr>
        <w:t>robu destilátu sú nepravdivé a vyrobený lieh bol zdanený nesprávnou sadzbou spotrebnej dane.</w:t>
      </w:r>
    </w:p>
    <w:p>
      <w:pPr>
        <w:pStyle w:val="Zkladntext"/>
        <w:tabs>
          <w:tab w:val="left" w:pos="360"/>
        </w:tabs>
        <w:autoSpaceDE/>
        <w:autoSpaceDN/>
        <w:jc w:val="both"/>
        <w:rPr>
          <w:rFonts w:ascii="Arial Narrow" w:hAnsi="Arial Narrow" w:cs="Times New Roman"/>
          <w:b/>
          <w:sz w:val="22"/>
        </w:rPr>
      </w:pPr>
    </w:p>
    <w:p>
      <w:pPr>
        <w:pStyle w:val="Zkladntext"/>
        <w:autoSpaceDE/>
        <w:autoSpaceDN/>
        <w:jc w:val="both"/>
        <w:rPr>
          <w:rFonts w:ascii="Arial Narrow" w:hAnsi="Arial Narrow" w:cs="Times New Roman"/>
          <w:b/>
          <w:bCs/>
          <w:sz w:val="22"/>
        </w:rPr>
      </w:pPr>
      <w:r>
        <w:rPr>
          <w:rFonts w:ascii="Arial Narrow" w:hAnsi="Arial Narrow" w:cs="Times New Roman"/>
          <w:b/>
          <w:bCs/>
          <w:sz w:val="22"/>
        </w:rPr>
        <w:t>K bodu 65</w:t>
      </w:r>
    </w:p>
    <w:p>
      <w:pPr>
        <w:pStyle w:val="Zkladntext"/>
        <w:autoSpaceDE/>
        <w:autoSpaceDN/>
        <w:ind w:firstLine="284"/>
        <w:jc w:val="both"/>
        <w:rPr>
          <w:rFonts w:ascii="Arial Narrow" w:hAnsi="Arial Narrow" w:cs="Times New Roman"/>
          <w:sz w:val="22"/>
        </w:rPr>
      </w:pPr>
      <w:r>
        <w:rPr>
          <w:rFonts w:ascii="Arial Narrow" w:hAnsi="Arial Narrow" w:cs="Times New Roman"/>
          <w:sz w:val="22"/>
        </w:rPr>
        <w:t>Ustanovuje sa, aby bolo možné v liehovarníckom závode na pestovateľské pálenie ovocia v odôvodnených prípadoch, napríklad v prípade ak vyrobený lieh má menej kvalitné organoleptické vlastnosti (nie je však znehodnotený tak, že by nebol vhodný na priamu ľudskú spotrebu), pričom možno opätovnou rektifikáciu tieto nedostatky liehu odstrániť. Opätovnú rektifikáciu liehu možno vykonať len na základe súhlasu colného úradu. Opätovne rektifikovať lieh môže len ten prevádzkovateľ liehovarníckeho závodu na pestovateľské pálenie ovocia, ktorý ho vyrobil. V prípade opätovnej rektifikácie daňová povinnosť vzniká dňom, kedy bol lieh opätovne rektifikovaný.</w:t>
      </w:r>
    </w:p>
    <w:p>
      <w:pPr>
        <w:pStyle w:val="Zkladntext"/>
        <w:autoSpaceDE/>
        <w:autoSpaceDN/>
        <w:jc w:val="both"/>
        <w:rPr>
          <w:rFonts w:ascii="Arial Narrow" w:hAnsi="Arial Narrow" w:cs="Times New Roman"/>
          <w:sz w:val="22"/>
        </w:rPr>
      </w:pPr>
      <w:r>
        <w:rPr>
          <w:rFonts w:ascii="Arial Narrow" w:hAnsi="Arial Narrow" w:cs="Times New Roman"/>
          <w:sz w:val="22"/>
        </w:rPr>
        <w:t xml:space="preserve"> </w:t>
      </w:r>
    </w:p>
    <w:p>
      <w:pPr>
        <w:pStyle w:val="Zkladntext"/>
        <w:autoSpaceDE/>
        <w:autoSpaceDN/>
        <w:jc w:val="both"/>
        <w:rPr>
          <w:rFonts w:ascii="Arial Narrow" w:hAnsi="Arial Narrow" w:cs="Times New Roman"/>
          <w:b/>
          <w:bCs/>
          <w:sz w:val="22"/>
        </w:rPr>
      </w:pPr>
      <w:r>
        <w:rPr>
          <w:rFonts w:ascii="Arial Narrow" w:hAnsi="Arial Narrow" w:cs="Times New Roman"/>
          <w:b/>
          <w:bCs/>
          <w:sz w:val="22"/>
        </w:rPr>
        <w:t>K bodu 66</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r>
      <w:r>
        <w:rPr>
          <w:rFonts w:ascii="Arial Narrow" w:hAnsi="Arial Narrow" w:cs="Times New Roman"/>
          <w:sz w:val="22"/>
        </w:rPr>
        <w:t>Ide o legislatívno - technickú úpravu.</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67</w:t>
      </w:r>
    </w:p>
    <w:p>
      <w:pPr>
        <w:pStyle w:val="Zkladntext"/>
        <w:autoSpaceDE/>
        <w:autoSpaceDN/>
        <w:ind w:firstLine="284"/>
        <w:jc w:val="both"/>
        <w:rPr>
          <w:rFonts w:ascii="Arial Narrow" w:hAnsi="Arial Narrow" w:cs="Times New Roman"/>
          <w:sz w:val="22"/>
        </w:rPr>
      </w:pPr>
      <w:r>
        <w:rPr>
          <w:rFonts w:ascii="Arial Narrow" w:hAnsi="Arial Narrow" w:cs="Times New Roman"/>
          <w:sz w:val="22"/>
        </w:rPr>
        <w:t>V súlade s doteraz platným zákonom sa skladom liehu rozumie liehovarnícky závod nachádzajúci sa na daňovom území, ktorý má povolenie na prevádzkovanie daňového skladu vydané colným úradom a súčasne aj povolenie na výrobu liehu a spracovanie liehu a jeho uvádzanie na trh vydané Ministerstvom pôdohospodárstva SR. V sklade liehu sa v rámci podnikania prijíma, spracováva, denaturuje, skladuje alebo odosiela lieh vyrobený v podniku na výrobu liehu, pričom každý takýto sklad liehu musí mať zriadený aj samostatný sklad liehu, na ktorý Ministerstvo pôdohospodárstva SR vydalo povolenie na výrobu liehu a spracovanie liehu a jeho uvádzanie na trh. Vzhľadom na to, že Európska komisia upozornila Slovenskú republiku na skutočnosť, že platný zákon o spotrebnej dani z liehu je potrebné zosúladiť  s ustanoveniami čl. 90 Zmluvy o ES a čl. 13 smernice Rady 92/12/EHS o všeobecnom systéme, držbe, preprave a kontrole tovarov podliehajúcich spotrebnej dani, bolo potrebné ustanoviť ako daňový sklad, taký sklad liehu, v ktorom možno v pozastavení dane lieh, prijímať, skladovať a odosielať. Zároveň sa ustanovujú aj ďalšie typy daňových skladov, a to sklad liehu, v ktorom sa lieh používa na výrobu aróm, macerátov a extraktov. V nadväznosti na uvedené sa upresňujú podmienky na prevádzkovanie daňového skladu, ktorým je sklad liehu.</w:t>
      </w:r>
    </w:p>
    <w:p>
      <w:pPr>
        <w:tabs>
          <w:tab w:val="left" w:pos="360"/>
        </w:tabs>
        <w:jc w:val="both"/>
        <w:rPr>
          <w:rFonts w:ascii="Arial Narrow" w:hAnsi="Arial Narrow" w:cs="Times New Roman"/>
          <w:b/>
          <w:bCs/>
          <w:sz w:val="22"/>
        </w:rPr>
      </w:pPr>
    </w:p>
    <w:p>
      <w:pPr>
        <w:pStyle w:val="Heading6"/>
        <w:tabs>
          <w:tab w:val="clear" w:pos="0"/>
          <w:tab w:val="left" w:pos="360"/>
        </w:tabs>
        <w:rPr>
          <w:rFonts w:cs="Times New Roman"/>
          <w:bCs/>
          <w:lang w:val="en-GB"/>
        </w:rPr>
      </w:pPr>
    </w:p>
    <w:p>
      <w:pPr>
        <w:pStyle w:val="Heading6"/>
        <w:tabs>
          <w:tab w:val="clear" w:pos="0"/>
          <w:tab w:val="left" w:pos="360"/>
        </w:tabs>
        <w:rPr>
          <w:rFonts w:cs="Times New Roman"/>
          <w:bCs/>
          <w:lang w:val="en-GB"/>
        </w:rPr>
      </w:pPr>
      <w:r>
        <w:rPr>
          <w:rFonts w:cs="Times New Roman"/>
          <w:bCs/>
          <w:lang w:val="en-GB"/>
        </w:rPr>
        <w:t>K bodom 68 až 71</w:t>
      </w:r>
    </w:p>
    <w:p>
      <w:pPr>
        <w:pStyle w:val="Zkladntext"/>
        <w:autoSpaceDE/>
        <w:autoSpaceDN/>
        <w:ind w:firstLine="284"/>
        <w:jc w:val="both"/>
        <w:rPr>
          <w:rFonts w:ascii="Arial Narrow" w:hAnsi="Arial Narrow" w:cs="Times New Roman"/>
          <w:sz w:val="22"/>
        </w:rPr>
      </w:pPr>
      <w:r>
        <w:rPr>
          <w:rFonts w:ascii="Arial Narrow" w:hAnsi="Arial Narrow" w:cs="Times New Roman"/>
          <w:sz w:val="22"/>
        </w:rPr>
        <w:t xml:space="preserve">V nadväznosti na uvedené v predchádzajúcom bode sa upravujú podmienky na prevádzkovanie daňového </w:t>
      </w:r>
    </w:p>
    <w:p>
      <w:pPr>
        <w:pStyle w:val="Zkladntext"/>
        <w:autoSpaceDE/>
        <w:autoSpaceDN/>
        <w:jc w:val="both"/>
        <w:rPr>
          <w:rFonts w:ascii="Arial Narrow" w:hAnsi="Arial Narrow" w:cs="Times New Roman"/>
          <w:sz w:val="22"/>
        </w:rPr>
      </w:pPr>
      <w:r>
        <w:rPr>
          <w:rFonts w:ascii="Arial Narrow" w:hAnsi="Arial Narrow" w:cs="Times New Roman"/>
          <w:sz w:val="22"/>
        </w:rPr>
        <w:t xml:space="preserve">skladu, ktorým je sklad liehu. </w:t>
      </w:r>
    </w:p>
    <w:p>
      <w:pPr>
        <w:pStyle w:val="Zkladntext"/>
        <w:autoSpaceDE/>
        <w:autoSpaceDN/>
        <w:ind w:firstLine="360"/>
        <w:jc w:val="both"/>
        <w:rPr>
          <w:rFonts w:ascii="Arial Narrow" w:hAnsi="Arial Narrow" w:cs="Times New Roman"/>
          <w:sz w:val="22"/>
        </w:rPr>
      </w:pPr>
      <w:r>
        <w:rPr>
          <w:rFonts w:ascii="Arial Narrow" w:hAnsi="Arial Narrow" w:cs="Times New Roman"/>
          <w:sz w:val="22"/>
        </w:rPr>
        <w:t xml:space="preserve">Na základe poznatkov z praxe daňových subjektov a colných úradov s cieľom zjednotiť spôsob uplatňovania </w:t>
      </w:r>
    </w:p>
    <w:p>
      <w:pPr>
        <w:pStyle w:val="Zkladntext"/>
        <w:autoSpaceDE/>
        <w:autoSpaceDN/>
        <w:jc w:val="both"/>
        <w:rPr>
          <w:rFonts w:ascii="Arial Narrow" w:hAnsi="Arial Narrow" w:cs="Times New Roman"/>
          <w:sz w:val="22"/>
        </w:rPr>
      </w:pPr>
      <w:r>
        <w:rPr>
          <w:rFonts w:ascii="Arial Narrow" w:hAnsi="Arial Narrow" w:cs="Times New Roman"/>
          <w:sz w:val="22"/>
        </w:rPr>
        <w:t>týchto ustanovení zákona sa upravuje povinnosť žiadateľa o vydanie povolenia na prevádzkovanie daňového skladu tak, že je povinný k žiadosti o vydanie povolenia priložiť aj čestné vyhlásenie o tom, že colný úrad ani daňový úrad nemá voči osobe, ktorá zanikla ani voči osobe, ktorá nezanikla a bola by sa považovala za osobu personálne prepojenú alebo majetkovo prepojenú so žiadateľom, pohľadávky na dani. Zároveň sa upresňujú podmienky na vydanie povolenia na prevádzkovanie daňového skladu týkajúca sa konkurzu.</w:t>
      </w:r>
    </w:p>
    <w:p>
      <w:pPr>
        <w:pStyle w:val="Footer"/>
        <w:tabs>
          <w:tab w:val="left" w:pos="360"/>
          <w:tab w:val="clear" w:pos="4536"/>
          <w:tab w:val="clear" w:pos="9072"/>
        </w:tabs>
        <w:rPr>
          <w:rFonts w:ascii="Times New Roman" w:hAnsi="Times New Roman" w:cs="Times New Roman"/>
        </w:rPr>
      </w:pPr>
    </w:p>
    <w:p>
      <w:pPr>
        <w:pStyle w:val="Heading3"/>
        <w:ind w:firstLine="0"/>
        <w:rPr>
          <w:rFonts w:cs="Times New Roman"/>
        </w:rPr>
      </w:pPr>
      <w:r>
        <w:rPr>
          <w:rFonts w:cs="Times New Roman"/>
        </w:rPr>
        <w:t>K bodu 72</w:t>
      </w:r>
    </w:p>
    <w:p>
      <w:pPr>
        <w:pStyle w:val="Zkladntext"/>
        <w:autoSpaceDE/>
        <w:autoSpaceDN/>
        <w:ind w:firstLine="284"/>
        <w:jc w:val="both"/>
        <w:rPr>
          <w:rFonts w:ascii="Arial Narrow" w:hAnsi="Arial Narrow" w:cs="Times New Roman"/>
          <w:sz w:val="22"/>
        </w:rPr>
      </w:pPr>
      <w:r>
        <w:rPr>
          <w:rFonts w:ascii="Arial Narrow" w:hAnsi="Arial Narrow" w:cs="Times New Roman"/>
          <w:sz w:val="22"/>
        </w:rPr>
        <w:t>Upresňuje sa ustanovenie tak, aby bolo zrejmé, že v prípade zániku povolenia na prevádzkovanie daňového skladu z dôvodu úmrtia fyzickej osoby, ktorá je prevádzkovateľom daňového skladu vykoná inventarizáciu zásob liehu dedič alebo súdom ustanovený správca dedičstva, pričom lehotu na podanie daňového priznania a na zaplatenie dane určí colný úrad.</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73</w:t>
      </w: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ab/>
        <w:t>V ustanovení § 24 ods. 6 písm. a) sa upresňuje pri žiadosti o zníženie zloženej zábezpeky na daň, ak zložená zábezpeka na daň je vyššia o viac ako 20 % než daň pripadajúca na množstvo liehu uvedeného do daňového voľného obehu za predchádzajúci kalendárny mesiac ide o banku, ktorá vystavila bankovú zá</w:t>
      </w:r>
      <w:r>
        <w:rPr>
          <w:rFonts w:ascii="Arial Narrow" w:hAnsi="Arial Narrow" w:cs="Times New Roman"/>
          <w:sz w:val="22"/>
        </w:rPr>
        <w:t>ruku.</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74</w:t>
      </w:r>
    </w:p>
    <w:p>
      <w:pPr>
        <w:pStyle w:val="BodyTextIndent2"/>
        <w:spacing w:before="0"/>
        <w:rPr>
          <w:rFonts w:cs="Times New Roman"/>
        </w:rPr>
      </w:pPr>
      <w:r>
        <w:rPr>
          <w:rFonts w:cs="Times New Roman"/>
        </w:rPr>
        <w:t>Úpravu ustanovenia § 24 ods. 9 písm. b) si vyžiadali poznatky z praxe pri aplikácii zákona, kedy nie je možné preukázať plnenie peňažných záväzkov prevádzkovateľa daňového skladu iných ako vyplývajúcich zo zákona alebo iných daňových alebo</w:t>
      </w:r>
      <w:r>
        <w:rPr>
          <w:rFonts w:cs="Times New Roman"/>
        </w:rPr>
        <w:t xml:space="preserve"> colných predpisov a z predpisov upravujúcich povinné poistné odvody.</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75</w:t>
      </w:r>
    </w:p>
    <w:p>
      <w:pPr>
        <w:pStyle w:val="BodyTextIndent2"/>
        <w:spacing w:before="0"/>
        <w:ind w:firstLine="284"/>
        <w:rPr>
          <w:rFonts w:cs="Times New Roman"/>
        </w:rPr>
      </w:pPr>
      <w:r>
        <w:rPr>
          <w:rFonts w:cs="Times New Roman"/>
        </w:rPr>
        <w:t>Keďže v praxi výnimočne dochádza k neštandartným prípadom prepravy liehu v pozastavení dane alebo  liehu oslobodeného od dane podľa § 7 ods. 1, doplnením predmetného ustanovenia sa umožňuje colnému úradu v odôvodnených prípadoch povoliť daňovému subjektu, na základe písomnej žiadosti, iný spôsob prepravy liehu v pozastavení dane a liehu oslobodeného do dane podľa § 7 ods. 1, ako je uvedený v tomto ustanovení, napr. keď odberateľ neprijme dodávku alebo časť dodávky a táto musí byť prepravená späť k dodávateľovi.</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76</w:t>
      </w:r>
    </w:p>
    <w:p>
      <w:pPr>
        <w:pStyle w:val="BodyText"/>
        <w:ind w:left="3" w:firstLine="1"/>
        <w:jc w:val="both"/>
        <w:rPr>
          <w:rFonts w:cs="Times New Roman"/>
          <w:szCs w:val="22"/>
        </w:rPr>
      </w:pPr>
      <w:r>
        <w:rPr>
          <w:rFonts w:cs="Times New Roman"/>
          <w:szCs w:val="22"/>
        </w:rPr>
        <w:t xml:space="preserve">      Preprava liehu, ktorý je na daňovom území prepravovaný v pozastavení dane musí byť vždy uskutočňovaná so sprievodným dokumentom. Navrhovaným znením sa upresňuje ukončenie prepravy liehu prepravovaného v pozastavení dane na daňovom území, pričom za deň ukončenia prepravy liehu sa považuje deň prevzatia liehu, ktorý príjemca (odberateľ) vyznačil na treťom diele sprievodného dokumentu. Potvrdený tretí diel sprievodného dokumentu príjemcom (odberateľom) a colným úradom miestne príslušným pre príjemcu (odberateľa) zároveň slúži ako doklad preukazujúci ukončenie prepravy liehu na daňovom území. Doterajšia aplikácia ustanovení o preprave liehu si vyžiadala doplnenie povinnosti dodávateľa (odosielateľa) liehu</w:t>
      </w:r>
      <w:r>
        <w:rPr>
          <w:rFonts w:cs="Times New Roman"/>
        </w:rPr>
        <w:t xml:space="preserve"> o zaslanie kópie prvého dielu sprievodného dokumentu colnému úradu</w:t>
      </w:r>
      <w:r>
        <w:rPr>
          <w:rFonts w:cs="Times New Roman"/>
          <w:szCs w:val="22"/>
        </w:rPr>
        <w:t xml:space="preserve"> pred začatím </w:t>
      </w:r>
      <w:r>
        <w:rPr>
          <w:rFonts w:cs="Times New Roman"/>
        </w:rPr>
        <w:t>prepravy liehu v pozastavení dane alebo oslobodeného od dane</w:t>
      </w:r>
      <w:r>
        <w:rPr>
          <w:rFonts w:cs="Times New Roman"/>
          <w:szCs w:val="22"/>
        </w:rPr>
        <w:t xml:space="preserve">. Uvedené ustanovenie zabezpečuje informovanie colného úradu o začiatku prepravy liehu, a to na účely správneho určenia zábezpeky na daň na prepravu liehu. </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 xml:space="preserve">K bodu 77 </w:t>
      </w:r>
    </w:p>
    <w:p>
      <w:pPr>
        <w:pStyle w:val="BodyTextIndent2"/>
        <w:spacing w:before="0"/>
        <w:ind w:firstLine="284"/>
        <w:rPr>
          <w:rFonts w:cs="Times New Roman"/>
          <w:bCs/>
        </w:rPr>
      </w:pPr>
      <w:r>
        <w:rPr>
          <w:rFonts w:cs="Times New Roman"/>
          <w:bCs/>
        </w:rPr>
        <w:t>Úprava ustanovenia nadväzuje na úpravu v bode 76.</w:t>
      </w:r>
    </w:p>
    <w:p>
      <w:pPr>
        <w:pStyle w:val="Zkladntext"/>
        <w:tabs>
          <w:tab w:val="left" w:pos="360"/>
        </w:tabs>
        <w:autoSpaceDE/>
        <w:autoSpaceDN/>
        <w:jc w:val="both"/>
        <w:rPr>
          <w:rFonts w:ascii="Arial Narrow" w:hAnsi="Arial Narrow" w:cs="Times New Roman"/>
          <w:b/>
          <w:bCs/>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bodu 78</w:t>
      </w:r>
    </w:p>
    <w:p>
      <w:pPr>
        <w:pStyle w:val="BodyTextIndent2"/>
        <w:spacing w:before="0"/>
        <w:ind w:firstLine="284"/>
        <w:rPr>
          <w:rFonts w:cs="Times New Roman"/>
          <w:b/>
        </w:rPr>
      </w:pPr>
      <w:r>
        <w:rPr>
          <w:rFonts w:cs="Times New Roman"/>
        </w:rPr>
        <w:t>Dopĺňa sa možnosť prepravovať lieh v pozastavení dane z daňového skladu na daňovom území slovenskými zástupcami alebo ozbrojenými silami Slovenskej republiky na územie štátov, ktoré sú stranami Severoatlantickej zmluvy. Preprava tohto liehu sa musí uskutočniť so sprievodným dokumentom a doložiť osvedčením o oslobodení od spotrebnej dane z liehu.</w:t>
      </w:r>
    </w:p>
    <w:p>
      <w:pPr>
        <w:pStyle w:val="Zkladntext"/>
        <w:tabs>
          <w:tab w:val="left" w:pos="360"/>
        </w:tabs>
        <w:autoSpaceDE/>
        <w:autoSpaceDN/>
        <w:jc w:val="both"/>
        <w:rPr>
          <w:rFonts w:ascii="Arial Narrow" w:hAnsi="Arial Narrow" w:cs="Times New Roman"/>
          <w:sz w:val="22"/>
        </w:rPr>
      </w:pP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
          <w:bCs/>
          <w:sz w:val="22"/>
        </w:rPr>
        <w:t>K b</w:t>
      </w:r>
      <w:r>
        <w:rPr>
          <w:rFonts w:ascii="Arial Narrow" w:hAnsi="Arial Narrow" w:cs="Times New Roman"/>
          <w:b/>
          <w:bCs/>
          <w:sz w:val="22"/>
        </w:rPr>
        <w:t>odom 79 a 80</w:t>
      </w:r>
    </w:p>
    <w:p>
      <w:pPr>
        <w:pStyle w:val="Zkladntext"/>
        <w:tabs>
          <w:tab w:val="left" w:pos="360"/>
        </w:tabs>
        <w:autoSpaceDE/>
        <w:autoSpaceDN/>
        <w:jc w:val="both"/>
        <w:rPr>
          <w:rFonts w:ascii="Arial Narrow" w:hAnsi="Arial Narrow" w:cs="Times New Roman"/>
          <w:sz w:val="22"/>
          <w:szCs w:val="22"/>
        </w:rPr>
      </w:pPr>
      <w:r>
        <w:rPr>
          <w:rFonts w:ascii="Times New Roman" w:hAnsi="Times New Roman" w:cs="Times New Roman"/>
          <w:szCs w:val="22"/>
        </w:rPr>
        <w:tab/>
      </w:r>
      <w:r>
        <w:rPr>
          <w:rFonts w:ascii="Arial Narrow" w:hAnsi="Arial Narrow" w:cs="Times New Roman"/>
          <w:sz w:val="22"/>
          <w:szCs w:val="22"/>
        </w:rPr>
        <w:t xml:space="preserve">Navrhovaným znením sa upresňuje ukončenie prepravy liehu prepravovaného v pozastavení dane na území </w:t>
      </w:r>
    </w:p>
    <w:p>
      <w:pPr>
        <w:pStyle w:val="Zkladntext"/>
        <w:tabs>
          <w:tab w:val="left" w:pos="360"/>
        </w:tabs>
        <w:autoSpaceDE/>
        <w:autoSpaceDN/>
        <w:jc w:val="both"/>
        <w:rPr>
          <w:rFonts w:ascii="Arial Narrow" w:hAnsi="Arial Narrow" w:cs="Times New Roman"/>
          <w:sz w:val="22"/>
          <w:szCs w:val="22"/>
        </w:rPr>
      </w:pPr>
    </w:p>
    <w:p>
      <w:pPr>
        <w:pStyle w:val="Zkladntext"/>
        <w:tabs>
          <w:tab w:val="left" w:pos="360"/>
        </w:tabs>
        <w:autoSpaceDE/>
        <w:autoSpaceDN/>
        <w:jc w:val="both"/>
        <w:rPr>
          <w:rFonts w:ascii="Arial Narrow" w:hAnsi="Arial Narrow" w:cs="Times New Roman"/>
          <w:sz w:val="22"/>
        </w:rPr>
      </w:pPr>
      <w:r>
        <w:rPr>
          <w:rFonts w:ascii="Arial Narrow" w:hAnsi="Arial Narrow" w:cs="Times New Roman"/>
          <w:sz w:val="22"/>
        </w:rPr>
        <w:t>únie, pričom za deň ukončenia prepravy liehu sa považuje deň prevzatia liehu, ktorý príjemca (odberateľ)  vyznačil na treťom diele sprievodného dokumentu. Potvrdený tretí diel sprievodného dokumentu príjemcom (odberateľom) zároveň slúži ako doklad preukazujúci ukončenie prepravy liehu na území únie.</w:t>
      </w:r>
    </w:p>
    <w:p>
      <w:pPr>
        <w:pStyle w:val="BodyText"/>
        <w:ind w:left="5" w:firstLine="325"/>
        <w:jc w:val="both"/>
        <w:rPr>
          <w:rFonts w:cs="Times New Roman"/>
          <w:b/>
        </w:rPr>
      </w:pPr>
      <w:r>
        <w:rPr>
          <w:rFonts w:cs="Times New Roman"/>
          <w:szCs w:val="22"/>
        </w:rPr>
        <w:t xml:space="preserve">Pre dodávateľa (odosielateľa) liehu sa ustanovuje povinnosť zaslať, </w:t>
      </w:r>
      <w:r>
        <w:rPr>
          <w:rFonts w:cs="Times New Roman"/>
        </w:rPr>
        <w:t xml:space="preserve">pred začatím prepravy liehu v pozastavení dane na územie iného členského štátu, kópiu prvého dielu sprievodného dokumentu nielen colnému riaditeľstvu ale aj colnému úradu príslušnému pre </w:t>
      </w:r>
      <w:r>
        <w:rPr>
          <w:rFonts w:cs="Times New Roman"/>
          <w:szCs w:val="22"/>
        </w:rPr>
        <w:t>dodávateľa (odosielateľa).</w:t>
      </w:r>
    </w:p>
    <w:p>
      <w:pPr>
        <w:pStyle w:val="BodyText"/>
        <w:ind w:left="2" w:firstLine="328"/>
        <w:jc w:val="both"/>
        <w:rPr>
          <w:rFonts w:cs="Times New Roman"/>
          <w:szCs w:val="22"/>
        </w:rPr>
      </w:pPr>
      <w:r>
        <w:rPr>
          <w:rFonts w:cs="Times New Roman"/>
          <w:bCs/>
        </w:rPr>
        <w:t>Zároveň sa upresňuje</w:t>
      </w:r>
      <w:r>
        <w:rPr>
          <w:rFonts w:cs="Times New Roman"/>
          <w:szCs w:val="22"/>
        </w:rPr>
        <w:t xml:space="preserve"> ukončenie prepravy liehu prepravovaného v pozastavení dane na území únie, pričom za deň ukončenia prepravy liehu prepravovaného v pozastavení dane sa považuje deň, ktorý príjemca (odberateľ) vyznačil na treťom diele sprievodného dokumentu. Touto úpravou sa zároveň upresňuje, kedy nie je potrebné vyžadovať potvrdenie správcu dane iného členského štátu o ukončení prepravy liehu, nakoľko nie je povinnosťou správcu dane vo všetkých členských štátoch potvrdzovať tretí diel sprievodného dokumentu. </w:t>
      </w:r>
    </w:p>
    <w:p>
      <w:pPr>
        <w:pStyle w:val="BodyText"/>
        <w:ind w:left="2" w:firstLine="358"/>
        <w:jc w:val="both"/>
        <w:rPr>
          <w:rFonts w:cs="Times New Roman"/>
        </w:rPr>
      </w:pPr>
      <w:r>
        <w:rPr>
          <w:rFonts w:cs="Times New Roman"/>
          <w:szCs w:val="22"/>
        </w:rPr>
        <w:t>Súčasne sa upresňuje, že v prípade prepravy liehu v pozastaven</w:t>
      </w:r>
      <w:r>
        <w:rPr>
          <w:rFonts w:cs="Times New Roman"/>
          <w:szCs w:val="22"/>
        </w:rPr>
        <w:t xml:space="preserve">í dane, ktorý je prepravovaný z </w:t>
      </w:r>
      <w:r>
        <w:rPr>
          <w:rFonts w:cs="Times New Roman"/>
        </w:rPr>
        <w:t>daňového skladu na daňovom území slovenskými zástupcami alebo ozbrojenými silami Slovenskej republiky na územie štátov, ktoré sú stranami Severoatlantickej zmluvy sa nevyžaduje zloženie zábezpeky na daň.</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bodom 81 až  84</w:t>
      </w:r>
    </w:p>
    <w:p>
      <w:pPr>
        <w:pStyle w:val="BodyTextIndent2"/>
        <w:spacing w:before="0"/>
        <w:ind w:firstLine="284"/>
        <w:rPr>
          <w:rFonts w:cs="Times New Roman"/>
        </w:rPr>
      </w:pPr>
      <w:r>
        <w:rPr>
          <w:rFonts w:cs="Times New Roman"/>
        </w:rPr>
        <w:t>Úpravy ustanovení § 27 oprávnený príjemca si vyžiadali poznatky z praxe a sú zamerané na  rozlíšenie dvoch kategórií oprávnených príjemcov, a to na oprávneného príjemcu, ktorý opakovane prijíma lieh z iného čle</w:t>
      </w:r>
      <w:r>
        <w:rPr>
          <w:rFonts w:cs="Times New Roman"/>
        </w:rPr>
        <w:t>n</w:t>
      </w:r>
      <w:r>
        <w:rPr>
          <w:rFonts w:cs="Times New Roman"/>
        </w:rPr>
        <w:t>ského štátu v pozastavení dane a oprávneného príjemcu, ktorý prijíma lieh z iného členského štátu v pozastavení dane príležitostne. Presnejšie sa vymedzujú podmienky pre obe kategórie oprávnených príjemcov na vydanie povolenia prijímať lieh z iného členského štátu v pozastavení dane ako aj podmienky na odňatie povolenia prijímať lieh z iného členského štátu v pozastavení dane, podmienky na zloženie zábezpeky na daň tak, aby bolo zrejmé, že od zloženia zábezpeky na daň nemožno upustiť v prípade oprávneného príjemcu.</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85</w:t>
      </w:r>
    </w:p>
    <w:p>
      <w:pPr>
        <w:pStyle w:val="BodyTextIndent2"/>
        <w:spacing w:before="0"/>
        <w:ind w:firstLine="284"/>
        <w:rPr>
          <w:rFonts w:cs="Times New Roman"/>
          <w:bCs/>
        </w:rPr>
      </w:pPr>
      <w:r>
        <w:rPr>
          <w:rFonts w:cs="Times New Roman"/>
          <w:bCs/>
        </w:rPr>
        <w:t xml:space="preserve">Ustanovujú sa podmienky na zrušenie registrácie daňovému splnomocnencovi. </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86</w:t>
      </w:r>
    </w:p>
    <w:p>
      <w:pPr>
        <w:pStyle w:val="BodyTextIndent2"/>
        <w:spacing w:before="0"/>
        <w:ind w:firstLine="284"/>
        <w:rPr>
          <w:rFonts w:cs="Times New Roman"/>
          <w:bCs/>
        </w:rPr>
      </w:pPr>
      <w:r>
        <w:rPr>
          <w:rFonts w:cs="Times New Roman"/>
          <w:bCs/>
        </w:rPr>
        <w:t>V prípade vzniku nezrovnalosti sa upresňuje definícia daňového dlžníka tak, aby bolo zrejmé, že ním je právnická osoba alebo fyzická osoba, ktorá zložila zábezpeku na daň na prepravovaný lieh v po</w:t>
      </w:r>
      <w:r>
        <w:rPr>
          <w:rFonts w:cs="Times New Roman"/>
          <w:bCs/>
        </w:rPr>
        <w:t xml:space="preserve">zastavení dane. </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87</w:t>
      </w:r>
    </w:p>
    <w:p>
      <w:pPr>
        <w:pStyle w:val="BodyTextIndent2"/>
        <w:spacing w:before="0"/>
        <w:ind w:firstLine="284"/>
        <w:rPr>
          <w:rFonts w:cs="Times New Roman"/>
          <w:bCs/>
        </w:rPr>
      </w:pPr>
      <w:r>
        <w:rPr>
          <w:rFonts w:cs="Times New Roman"/>
          <w:bCs/>
        </w:rPr>
        <w:t>Upresňuje sa ustanovenie upravujúce dovoz liehu z územia tretích štátov v súlade s príslušnou smernicou.</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88</w:t>
      </w:r>
    </w:p>
    <w:p>
      <w:pPr>
        <w:pStyle w:val="BodyText"/>
        <w:ind w:firstLine="1"/>
        <w:jc w:val="both"/>
        <w:rPr>
          <w:rFonts w:cs="Times New Roman"/>
          <w:szCs w:val="22"/>
        </w:rPr>
      </w:pPr>
      <w:r>
        <w:rPr>
          <w:rFonts w:cs="Times New Roman"/>
          <w:szCs w:val="22"/>
        </w:rPr>
        <w:t xml:space="preserve">        Ustanovenie sa zosúlaďuje s úpravami navrhnutými pri preprave liehu v pozastavení dane na daňovom území </w:t>
      </w:r>
      <w:r>
        <w:rPr>
          <w:rFonts w:cs="Times New Roman"/>
          <w:szCs w:val="22"/>
        </w:rPr>
        <w:t>a na území únie.</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89</w:t>
      </w:r>
    </w:p>
    <w:p>
      <w:pPr>
        <w:pStyle w:val="BodyTextIndent2"/>
        <w:spacing w:before="0"/>
        <w:rPr>
          <w:rFonts w:cs="Times New Roman"/>
          <w:szCs w:val="22"/>
        </w:rPr>
      </w:pPr>
      <w:r>
        <w:rPr>
          <w:rFonts w:cs="Times New Roman"/>
          <w:szCs w:val="22"/>
        </w:rPr>
        <w:t xml:space="preserve">Úpravou ustanovenia sa upresnil moment vzniku daňovej povinnosti v prípade, ak daňová povinnosť nevznikla podľa odseku 1, t. j. dňom prevzatia liehu na daňovom území. Ide o prípady, ak pri prepravení liehu na daňové územie na podnikateľské účely nepostupuje právnická osoba alebo fyzická osoba v súlade s ustanoveniami zákona, napr. vopred neoznámi takúto prepravu, nevystaví zjednodušený sprievodný dokument, nezloží zábezpeku na daň.  </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90</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Cs/>
          <w:sz w:val="22"/>
        </w:rPr>
        <w:tab/>
        <w:t xml:space="preserve">Ustanovenie sa upravuje tak, aby bolo zrejmé, že zábezpeka na daň sa nevyžaduje na prepravu všeobecne denaturovaného liehu. </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91</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Cs/>
          <w:sz w:val="22"/>
        </w:rPr>
        <w:tab/>
        <w:t xml:space="preserve">Ustanovujú sa podmienky na odňatie povolenia na zastupovanie splnomocnencom pre zásielkový obchod. </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bodom 92 a 93</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Cs/>
          <w:sz w:val="22"/>
        </w:rPr>
        <w:tab/>
        <w:t>Úpravu predmetných ustanovení bolo potrebné vykonať na základe poznatkov z praxe, ako aj z dôvodu odstránenia duplicít pri vedení evidencie subjektami registrovanými alebo evidovanými  podľa tohto zákona.</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94</w:t>
      </w:r>
    </w:p>
    <w:p>
      <w:pPr>
        <w:pStyle w:val="Zkladntext"/>
        <w:ind w:firstLine="360"/>
        <w:jc w:val="both"/>
        <w:rPr>
          <w:rFonts w:ascii="Arial Narrow" w:hAnsi="Arial Narrow" w:cs="Times New Roman"/>
          <w:iCs/>
          <w:sz w:val="22"/>
        </w:rPr>
      </w:pPr>
      <w:r>
        <w:rPr>
          <w:rFonts w:ascii="Arial Narrow" w:hAnsi="Arial Narrow" w:cs="Times New Roman"/>
          <w:iCs/>
          <w:sz w:val="22"/>
        </w:rPr>
        <w:t xml:space="preserve">S cieľom detailne zabezpečiť sprehľadnenie materiálových tokov pri pohybe liehu od jeho výroby, dovozu a distribúcie až po jeho konečnú spotrebu bol  v § 44 zavedený systém predkladania oznámení o výrobe, príjme, výdaji a stave zásob liehu, ktorý nie je v spotrebiteľskom balení liehu a oznámení o príjme, výdaji a stave zásob spotrebiteľského balenia liehu. Na základe poznatkov z praxe sa javí zavedenie systému predkladania oznámení  ako administratívne náročné pre právnické osoby a fyzické osoby, ktoré v rámci podnikania nakupujú  vo voľnom obehu spotrebiteľské balenie liehu a predávajú ho na konečnú spotrebu anonymnému spotrebiteľovi </w:t>
      </w:r>
      <w:r>
        <w:rPr>
          <w:rFonts w:ascii="Arial Narrow" w:hAnsi="Arial Narrow" w:cs="Times New Roman"/>
          <w:sz w:val="22"/>
        </w:rPr>
        <w:t xml:space="preserve">(občanovi) </w:t>
      </w:r>
      <w:r>
        <w:rPr>
          <w:rFonts w:ascii="Arial Narrow" w:hAnsi="Arial Narrow" w:cs="Times New Roman"/>
          <w:iCs/>
          <w:sz w:val="22"/>
        </w:rPr>
        <w:t xml:space="preserve">v tzv. veľkoobchode a maloobchode, alebo na priamu spotrebu na mieste </w:t>
      </w:r>
      <w:r>
        <w:rPr>
          <w:rFonts w:ascii="Arial Narrow" w:hAnsi="Arial Narrow" w:cs="Times New Roman"/>
          <w:sz w:val="22"/>
        </w:rPr>
        <w:t xml:space="preserve">(reštauračné zariadenia, hotely, pohostinstvá a podobne), </w:t>
      </w:r>
      <w:r>
        <w:rPr>
          <w:rFonts w:ascii="Arial Narrow" w:hAnsi="Arial Narrow" w:cs="Times New Roman"/>
          <w:iCs/>
          <w:sz w:val="22"/>
        </w:rPr>
        <w:t xml:space="preserve">tak aj pre správcu dane, pretože spracovanie, analyzovanie a vyhodnotenie predkladaných údajov je nielen časovo náročné, ale spracovávané údaje sú neaktuálne a oznamovacie povinnosti tak nemajú efektívny dopad na kontrolu prieniku nelegálneho liehu na trh. Na základe vyššie uvedeného, ako aj na základe záverov </w:t>
      </w:r>
      <w:r>
        <w:rPr>
          <w:rFonts w:ascii="Arial Narrow" w:hAnsi="Arial Narrow" w:cs="Times New Roman"/>
          <w:sz w:val="22"/>
        </w:rPr>
        <w:t xml:space="preserve">Analýzy dopadu nelegálneho trhu s tabakom, tabakovými výrobkami, liehom a liehovinami (schválená vládou SR uznesením č. 398 zo dňa 28. apríla 2004 ) a Správy o daňových únikoch na spotrebnej dani z liehu a na spotrebnej dani z tabakových výrobkov po vstupe SR </w:t>
      </w:r>
      <w:r>
        <w:rPr>
          <w:rFonts w:ascii="Arial Narrow" w:hAnsi="Arial Narrow" w:cs="Times New Roman"/>
          <w:sz w:val="22"/>
        </w:rPr>
        <w:t>do EÚ a návrh opatrení na ich elimináciu</w:t>
      </w:r>
      <w:r>
        <w:rPr>
          <w:rFonts w:ascii="Arial Narrow" w:hAnsi="Arial Narrow" w:cs="Times New Roman"/>
          <w:iCs/>
          <w:sz w:val="22"/>
        </w:rPr>
        <w:t xml:space="preserve"> (schválená vládou SR uznesením </w:t>
      </w:r>
      <w:r>
        <w:rPr>
          <w:rFonts w:ascii="Arial Narrow" w:hAnsi="Arial Narrow" w:cs="Times New Roman"/>
          <w:sz w:val="22"/>
        </w:rPr>
        <w:t xml:space="preserve">č. 613 zo dňa 17. augusta 2005), sa navrhuje zaviesť povolenia na predaj spotrebiteľských balení liehu v daňovom voľnom obehu, a to s cieľom </w:t>
      </w:r>
      <w:r>
        <w:rPr>
          <w:rFonts w:ascii="Arial Narrow" w:hAnsi="Arial Narrow" w:cs="Times New Roman"/>
          <w:iCs/>
          <w:sz w:val="22"/>
        </w:rPr>
        <w:t>zefektívniť systém kontroly pohybu liehu aj po jeho uvedení do daňového voľného obehu medzi subjektami, ktoré nie sú podľa zákona č. 105/2004 Z. z. registrované</w:t>
      </w:r>
      <w:r>
        <w:rPr>
          <w:rFonts w:ascii="Arial Narrow" w:hAnsi="Arial Narrow" w:cs="Times New Roman"/>
          <w:sz w:val="22"/>
        </w:rPr>
        <w:t xml:space="preserve"> a tak minimalizovať možné úniky na spotrebnej dani z liehu. </w:t>
      </w:r>
    </w:p>
    <w:p>
      <w:pPr>
        <w:pStyle w:val="Zkladntext"/>
        <w:tabs>
          <w:tab w:val="left" w:pos="360"/>
        </w:tabs>
        <w:jc w:val="both"/>
        <w:rPr>
          <w:rFonts w:ascii="Arial Narrow" w:hAnsi="Arial Narrow" w:cs="Tms Rmn"/>
          <w:sz w:val="22"/>
        </w:rPr>
      </w:pPr>
      <w:r>
        <w:rPr>
          <w:rFonts w:ascii="Arial Narrow" w:hAnsi="Arial Narrow" w:cs="Times New Roman"/>
          <w:iCs/>
          <w:sz w:val="22"/>
        </w:rPr>
        <w:tab/>
        <w:t xml:space="preserve">Ustanovenie § 44 definuje okruh právnických osôb a fyzických osôb, ktoré sú povinné požiadať colný úrad o vydanie povolenia na predaj spotrebiteľského balenia v daňovom voľnom obehu. Uvedená povinnosť sa vzťahuje na všetky právnické osoby alebo fyzické osoby, ktoré v rámci podnikania predávajú spotrebiteľské balenia liehu, t. j. na prevádzkovateľov  reštaurácií, maloobchodov, veľkoobchodov a pod., ktorí predávajú spotrebiteľské balenia liehu </w:t>
      </w:r>
      <w:r>
        <w:rPr>
          <w:rFonts w:ascii="Arial Narrow" w:hAnsi="Arial Narrow" w:cs="Tms Rmn"/>
          <w:sz w:val="22"/>
        </w:rPr>
        <w:t xml:space="preserve">iným prevádzkovateľom živností alebo konečnému spotrebiteľovi. </w:t>
      </w:r>
    </w:p>
    <w:p>
      <w:pPr>
        <w:pStyle w:val="Zkladntext"/>
        <w:tabs>
          <w:tab w:val="left" w:pos="360"/>
        </w:tabs>
        <w:jc w:val="both"/>
        <w:rPr>
          <w:rFonts w:ascii="Arial Narrow" w:hAnsi="Arial Narrow" w:cs="Times New Roman"/>
          <w:iCs/>
          <w:sz w:val="22"/>
        </w:rPr>
      </w:pPr>
      <w:r>
        <w:rPr>
          <w:rFonts w:ascii="Arial Narrow" w:hAnsi="Arial Narrow" w:cs="Tms Rmn"/>
          <w:sz w:val="22"/>
        </w:rPr>
        <w:tab/>
        <w:t>O vydanie povolenia na predaj spotrebiteľského balenia v daňovom voľnom obehu nie sú povinné požiadať tzv. registrované osoby, ktoré sú prevádzkovateľmi daňových skladov, oprávnenými príjemcami, daňovými splnomocnencami, prevádzkovateľmi tranzitných daňových skladov, alebo skladov pre zahraničných zástupcov, pokiaľ tieto osoby vykonávajú len činnosť vyplývajúcu z príslušných ustanovení zákona č. 105/2004 Z. z. Ak však takáto registrovaná osoba vykonáva aj inú činnosť ako napr. prevádzkovanie reštauračného zariadenia, je povinná na tento typ prevádzky požiadať colný úrad o vydanie povolenia na predaj spotrebiteľského balenia v daňovom voľnom obehu</w:t>
      </w:r>
      <w:r>
        <w:rPr>
          <w:rFonts w:ascii="Arial Narrow" w:hAnsi="Arial Narrow" w:cs="Times New Roman"/>
          <w:iCs/>
          <w:sz w:val="22"/>
        </w:rPr>
        <w:t xml:space="preserve">. </w:t>
      </w:r>
    </w:p>
    <w:p>
      <w:pPr>
        <w:pStyle w:val="Zkladntext"/>
        <w:tabs>
          <w:tab w:val="left" w:pos="360"/>
        </w:tabs>
        <w:jc w:val="both"/>
        <w:rPr>
          <w:rFonts w:ascii="Arial Narrow" w:hAnsi="Arial Narrow" w:cs="Times New Roman"/>
          <w:bCs/>
          <w:sz w:val="22"/>
        </w:rPr>
      </w:pPr>
      <w:r>
        <w:rPr>
          <w:rFonts w:ascii="Arial Narrow" w:hAnsi="Arial Narrow" w:cs="Times New Roman"/>
          <w:iCs/>
          <w:sz w:val="22"/>
        </w:rPr>
        <w:tab/>
        <w:t>U</w:t>
      </w:r>
      <w:r>
        <w:rPr>
          <w:rFonts w:ascii="Arial Narrow" w:hAnsi="Arial Narrow" w:cs="Times New Roman"/>
          <w:bCs/>
          <w:sz w:val="22"/>
        </w:rPr>
        <w:t xml:space="preserve">stanovujú sa podmienky na vydanie povolenia na predaj spotrebiteľského balenia v daňovom voľnom obehu a na odňatie a zánik tohto povolenia. </w:t>
      </w:r>
    </w:p>
    <w:p>
      <w:pPr>
        <w:pStyle w:val="Zkladntext"/>
        <w:tabs>
          <w:tab w:val="left" w:pos="360"/>
        </w:tabs>
        <w:jc w:val="both"/>
        <w:rPr>
          <w:rFonts w:ascii="Arial Narrow" w:hAnsi="Arial Narrow" w:cs="Times New Roman"/>
          <w:bCs/>
          <w:sz w:val="22"/>
        </w:rPr>
      </w:pPr>
      <w:r>
        <w:rPr>
          <w:rFonts w:ascii="Arial Narrow" w:hAnsi="Arial Narrow" w:cs="Times New Roman"/>
          <w:bCs/>
          <w:sz w:val="22"/>
        </w:rPr>
        <w:tab/>
        <w:t>D</w:t>
      </w:r>
      <w:r>
        <w:rPr>
          <w:rFonts w:ascii="Arial Narrow" w:hAnsi="Arial Narrow" w:cs="Times New Roman"/>
          <w:iCs/>
          <w:sz w:val="22"/>
        </w:rPr>
        <w:t xml:space="preserve">ržiteľ povolenia na predaj spotrebiteľského balenia v daňovom voľnom obehu je povinný nakupovať spotrebiteľské balenie liehu len od držiteľov povolenia na predaj spotrebiteľského balenia liehu v daňovom voľnom obehu alebo od registrovaných osôb a je povinný </w:t>
      </w:r>
      <w:r>
        <w:rPr>
          <w:rFonts w:ascii="Arial Narrow" w:hAnsi="Arial Narrow" w:cs="Times New Roman"/>
          <w:bCs/>
          <w:sz w:val="22"/>
        </w:rPr>
        <w:t>viesť evidenciu o nadobudnutom spotrebiteľskom balení liehu, a to v členení podľa objemu spotrebiteľského balenia a objemovej koncentrácie liehu ako aj o stave zásob.</w:t>
      </w:r>
    </w:p>
    <w:p>
      <w:pPr>
        <w:pStyle w:val="Zkladntext"/>
        <w:tabs>
          <w:tab w:val="left" w:pos="360"/>
        </w:tabs>
        <w:jc w:val="both"/>
        <w:rPr>
          <w:rFonts w:ascii="Arial Narrow" w:hAnsi="Arial Narrow" w:cs="Times New Roman"/>
          <w:bCs/>
          <w:sz w:val="22"/>
        </w:rPr>
      </w:pPr>
      <w:r>
        <w:rPr>
          <w:rFonts w:ascii="Arial Narrow" w:hAnsi="Arial Narrow" w:cs="Times New Roman"/>
          <w:bCs/>
          <w:sz w:val="22"/>
        </w:rPr>
        <w:tab/>
        <w:t xml:space="preserve">Zavedením povolení na predaj spotrebiteľského balenia v daňovom voľnom obehu sa súčasne sprehľadní pohyb liehu v daňovom voľnom obehu medzi jednotlivými právnickými osobami a fyzickými osobami oprávnenými obchodovať so spotrebiteľským balením liehu, pretože každý žiadateľ k žiadosti o vydanie povolenia priloží aj zoznam dodávateľov a odberateľov spotrebiteľského balenia liehu.  Zároveň je držiteľ povolenia na predaj spotrebiteľského balenia v daňovom voľnom obehu povinný predkladať colnému úradu oznámenie o počte prijatých a vydaných spotrebiteľských balení za kalendárny mesiac a stav zásob spotrebiteľských balení liehu k poslednému dňu kalendárneho mesiaca. </w:t>
      </w:r>
    </w:p>
    <w:p>
      <w:pPr>
        <w:pStyle w:val="Zkladntext"/>
        <w:tabs>
          <w:tab w:val="left" w:pos="360"/>
        </w:tabs>
        <w:jc w:val="both"/>
        <w:rPr>
          <w:rFonts w:ascii="Arial Narrow" w:hAnsi="Arial Narrow" w:cs="Times New Roman"/>
          <w:bCs/>
          <w:sz w:val="22"/>
        </w:rPr>
      </w:pPr>
      <w:r>
        <w:rPr>
          <w:rFonts w:ascii="Arial Narrow" w:hAnsi="Arial Narrow" w:cs="Times New Roman"/>
          <w:bCs/>
          <w:sz w:val="22"/>
        </w:rPr>
        <w:tab/>
        <w:t xml:space="preserve">Centrálnu evidenciu držiteľov povolenia na predaj spotrebiteľského balenia v daňovom voľnom obehu bude viesť Colné riaditeľstvo SR, pričom zoznam všetkých držiteľov povolenia sa zverejní na internetovej stránke. </w:t>
      </w:r>
    </w:p>
    <w:p>
      <w:pPr>
        <w:pStyle w:val="Zkladntext"/>
        <w:tabs>
          <w:tab w:val="left" w:pos="360"/>
        </w:tabs>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95</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
          <w:sz w:val="22"/>
        </w:rPr>
        <w:tab/>
      </w:r>
      <w:r>
        <w:rPr>
          <w:rFonts w:ascii="Arial Narrow" w:hAnsi="Arial Narrow" w:cs="Times New Roman"/>
          <w:bCs/>
          <w:sz w:val="22"/>
        </w:rPr>
        <w:t>Ustanovenie sa upravuje tak, aby bol colný úrad oprávnený v tlačiarni, ktorá je daňovým subjektom podľa § 5 ods. 4 zákona č. 511/1992 Zb., vykonávať daňový dozor aj nad tlačou a distribúciou kontrolných známok.</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bodu 96</w:t>
      </w:r>
    </w:p>
    <w:p>
      <w:pPr>
        <w:pStyle w:val="BodyTextIndent2"/>
        <w:spacing w:before="0"/>
        <w:ind w:firstLine="284"/>
        <w:rPr>
          <w:rFonts w:cs="Times New Roman"/>
          <w:bCs/>
        </w:rPr>
      </w:pPr>
      <w:r>
        <w:rPr>
          <w:rFonts w:cs="Times New Roman"/>
          <w:bCs/>
        </w:rPr>
        <w:t>Na základe poznatkov z praxe a požiadavky správcu dane a daňových subjektov sa upresnil interval vykonávania daňovej kontroly tak, že colný úrad vykoná u prevádzkovateľov daňových skladov a v užívateľských podnikoch daňovú kontrolu jedenkrát ročne. U ostatných daňových subjektov registrovaných a evidovaných podľa tohto zákona vykoná daňovú kontrolu podľa potreby, najmenej však jedenkrát do dňa zániku práva vyrubiť daň.</w:t>
      </w:r>
    </w:p>
    <w:p>
      <w:pPr>
        <w:pStyle w:val="Zkladntext"/>
        <w:tabs>
          <w:tab w:val="left" w:pos="360"/>
        </w:tabs>
        <w:autoSpaceDE/>
        <w:autoSpaceDN/>
        <w:jc w:val="both"/>
        <w:rPr>
          <w:rFonts w:ascii="Arial Narrow" w:hAnsi="Arial Narrow" w:cs="Times New Roman"/>
          <w:b/>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bodom 97 až 100</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Cs/>
          <w:sz w:val="22"/>
        </w:rPr>
        <w:tab/>
        <w:t>V nadväznosti na úpravu § 11 a § 11a je potrebné upraviť texty ustanovení týkajúce sa vedenia evidencií co</w:t>
      </w:r>
      <w:r>
        <w:rPr>
          <w:rFonts w:ascii="Arial Narrow" w:hAnsi="Arial Narrow" w:cs="Times New Roman"/>
          <w:bCs/>
          <w:sz w:val="22"/>
        </w:rPr>
        <w:t xml:space="preserve">lným úradom. </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bodom 101 a 102</w:t>
      </w:r>
    </w:p>
    <w:p>
      <w:pPr>
        <w:pStyle w:val="BodyTextIndent"/>
        <w:ind w:firstLine="284"/>
        <w:rPr>
          <w:rFonts w:cs="Times New Roman"/>
        </w:rPr>
      </w:pPr>
      <w:r>
        <w:rPr>
          <w:rFonts w:cs="Times New Roman"/>
        </w:rPr>
        <w:t>V nadväznosti na smernicu Rady 2004/106/ES zo 16. novembra 2004, ktorou sa menia a dopĺňajú smernice 77/799/EHS o vzájomnej pomoci príslušných orgánov členských štátov v oblasti priamych daní, niektorej spotrebnej dane a dane poistnej prémie a 92/12/EHS o všeobecných systémoch pre výrobky podliehajúce spotrebnej dani a o vlastníctve, pohybe a monitorovaní takýchto výrobkov  ako aj nadobudnutie účinnosti nariadenia Rady (ES) č. 2073/2004 zo 16. novembra 2004 o správnej sp</w:t>
      </w:r>
      <w:r>
        <w:rPr>
          <w:rFonts w:cs="Times New Roman"/>
        </w:rPr>
        <w:t>o</w:t>
      </w:r>
      <w:r>
        <w:rPr>
          <w:rFonts w:cs="Times New Roman"/>
        </w:rPr>
        <w:t>lup</w:t>
      </w:r>
      <w:r>
        <w:rPr>
          <w:rFonts w:cs="Times New Roman"/>
        </w:rPr>
        <w:t xml:space="preserve">ráci v oblasti spotrebných daní, ktoré </w:t>
      </w:r>
    </w:p>
    <w:p>
      <w:pPr>
        <w:pStyle w:val="BodyTextIndent"/>
        <w:ind w:firstLine="0"/>
        <w:rPr>
          <w:rFonts w:cs="Times New Roman"/>
        </w:rPr>
      </w:pPr>
      <w:r>
        <w:rPr>
          <w:rFonts w:cs="Times New Roman"/>
        </w:rPr>
        <w:t xml:space="preserve">má priamy účinok, bolo potrebné upraviť ustanovenia týkajúce sa  vedenia evidencií colným riaditeľstvom a colným úradom. </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K bodom 103 a 104</w:t>
      </w:r>
    </w:p>
    <w:p>
      <w:pPr>
        <w:pStyle w:val="Zkladntext"/>
        <w:tabs>
          <w:tab w:val="left" w:pos="360"/>
        </w:tabs>
        <w:autoSpaceDE/>
        <w:autoSpaceDN/>
        <w:jc w:val="both"/>
        <w:rPr>
          <w:rFonts w:ascii="Arial Narrow" w:hAnsi="Arial Narrow" w:cs="Times New Roman"/>
          <w:bCs/>
          <w:sz w:val="22"/>
        </w:rPr>
      </w:pPr>
      <w:r>
        <w:rPr>
          <w:rFonts w:ascii="Arial Narrow" w:hAnsi="Arial Narrow" w:cs="Times New Roman"/>
          <w:bCs/>
          <w:sz w:val="22"/>
        </w:rPr>
        <w:tab/>
        <w:t xml:space="preserve">Na základe poznatkov z praxe a po prehodnotení výšky pokút za porušenie ustanovení zákona, boli výšky pokút upravené tak, že v prípadoch porušení ustanovení zákona, kde vzniká aj daňová povinnosť sa výška pokuty upravuje vo výške 50 % dane a pokuty sa diferencujú na správne delikty a priestupky. Správneho deliktu sa dopustí právnická osoba alebo fyzická osoba – podnikateľ a priestupku fyzická osoba – nepodnikateľ. V prípade priestupkov a na ich prejednávanie sa vzťahuje všeobecný záväzný predpis o priestupkoch. </w:t>
      </w:r>
    </w:p>
    <w:p>
      <w:pPr>
        <w:pStyle w:val="Zkladntext"/>
        <w:tabs>
          <w:tab w:val="left" w:pos="360"/>
        </w:tabs>
        <w:autoSpaceDE/>
        <w:autoSpaceDN/>
        <w:jc w:val="both"/>
        <w:rPr>
          <w:rFonts w:ascii="Arial Narrow" w:hAnsi="Arial Narrow" w:cs="Times New Roman"/>
          <w:bCs/>
          <w:sz w:val="22"/>
        </w:rPr>
      </w:pPr>
    </w:p>
    <w:p>
      <w:pPr>
        <w:pStyle w:val="Zkladntext"/>
        <w:tabs>
          <w:tab w:val="left" w:pos="360"/>
        </w:tabs>
        <w:autoSpaceDE/>
        <w:autoSpaceDN/>
        <w:jc w:val="both"/>
        <w:rPr>
          <w:rFonts w:ascii="Arial Narrow" w:hAnsi="Arial Narrow" w:cs="Times New Roman"/>
          <w:b/>
          <w:sz w:val="22"/>
        </w:rPr>
      </w:pPr>
      <w:r>
        <w:rPr>
          <w:rFonts w:ascii="Arial Narrow" w:hAnsi="Arial Narrow" w:cs="Times New Roman"/>
          <w:b/>
          <w:sz w:val="22"/>
        </w:rPr>
        <w:t xml:space="preserve">K bodu 105 </w:t>
      </w:r>
    </w:p>
    <w:p>
      <w:pPr>
        <w:pStyle w:val="Zkladntext"/>
        <w:tabs>
          <w:tab w:val="left" w:pos="360"/>
        </w:tabs>
        <w:autoSpaceDE/>
        <w:autoSpaceDN/>
        <w:jc w:val="both"/>
        <w:rPr>
          <w:rFonts w:ascii="Arial Narrow" w:hAnsi="Arial Narrow" w:cs="Times New Roman"/>
          <w:b/>
          <w:bCs/>
          <w:sz w:val="22"/>
        </w:rPr>
      </w:pPr>
      <w:r>
        <w:rPr>
          <w:rFonts w:ascii="Arial Narrow" w:hAnsi="Arial Narrow" w:cs="Times New Roman"/>
          <w:bCs/>
          <w:sz w:val="22"/>
        </w:rPr>
        <w:tab/>
        <w:t xml:space="preserve">Úpravou sa upresňuje ustanovenie, na základe ktorého je colný úrad povinný ničiť lieh, ktorý sa stane majetkom štátu. Zároveň sa upresňuje ustanovenie § 48 ods. 2, a to v nadväznosti na znenie § 7 ods. 2 písm. g). </w:t>
      </w:r>
    </w:p>
    <w:p>
      <w:pPr>
        <w:pStyle w:val="Zkladntext"/>
        <w:jc w:val="both"/>
        <w:rPr>
          <w:rFonts w:ascii="Arial Narrow" w:hAnsi="Arial Narrow" w:cs="Times New Roman"/>
          <w:b/>
          <w:bCs/>
          <w:sz w:val="22"/>
        </w:rPr>
      </w:pPr>
    </w:p>
    <w:p>
      <w:pPr>
        <w:pStyle w:val="Zkladntext"/>
        <w:jc w:val="both"/>
        <w:rPr>
          <w:rFonts w:ascii="Arial Narrow" w:hAnsi="Arial Narrow" w:cs="Times New Roman"/>
          <w:b/>
          <w:bCs/>
          <w:sz w:val="22"/>
        </w:rPr>
      </w:pPr>
      <w:r>
        <w:rPr>
          <w:rFonts w:ascii="Arial Narrow" w:hAnsi="Arial Narrow" w:cs="Times New Roman"/>
          <w:b/>
          <w:bCs/>
          <w:sz w:val="22"/>
        </w:rPr>
        <w:t>K bodu 106</w:t>
      </w:r>
    </w:p>
    <w:p>
      <w:pPr>
        <w:pStyle w:val="Zkladntext"/>
        <w:ind w:firstLine="360"/>
        <w:jc w:val="both"/>
        <w:rPr>
          <w:rFonts w:ascii="Arial Narrow" w:hAnsi="Arial Narrow" w:cs="Times New Roman"/>
          <w:sz w:val="22"/>
        </w:rPr>
      </w:pPr>
      <w:r>
        <w:rPr>
          <w:rFonts w:ascii="Arial Narrow" w:hAnsi="Arial Narrow" w:cs="Times New Roman"/>
          <w:sz w:val="22"/>
        </w:rPr>
        <w:t>V nadväznosti na navrhované zmeny v zákone sa upravujú prechodné ustanovenia, ktoré na tieto zmeny nadväzujú, pričom pri ich formulácii sa vychádzalo zo skutočnosti, že zákon o spotrebnej dani bol viac krát novelizovaný.</w:t>
      </w:r>
    </w:p>
    <w:p>
      <w:pPr>
        <w:pStyle w:val="Zkladntext"/>
        <w:jc w:val="both"/>
        <w:rPr>
          <w:rFonts w:ascii="Arial Narrow" w:hAnsi="Arial Narrow" w:cs="Times New Roman"/>
          <w:sz w:val="22"/>
        </w:rPr>
      </w:pPr>
    </w:p>
    <w:p>
      <w:pPr>
        <w:pStyle w:val="Zkladntext"/>
        <w:jc w:val="both"/>
        <w:rPr>
          <w:rFonts w:ascii="Arial Narrow" w:hAnsi="Arial Narrow" w:cs="Times New Roman"/>
          <w:b/>
          <w:bCs/>
          <w:sz w:val="22"/>
        </w:rPr>
      </w:pPr>
      <w:r>
        <w:rPr>
          <w:rFonts w:ascii="Arial Narrow" w:hAnsi="Arial Narrow" w:cs="Times New Roman"/>
          <w:b/>
          <w:bCs/>
          <w:sz w:val="22"/>
        </w:rPr>
        <w:t>K bodu 107</w:t>
      </w:r>
    </w:p>
    <w:p>
      <w:pPr>
        <w:pStyle w:val="Zkladntext"/>
        <w:tabs>
          <w:tab w:val="left" w:pos="360"/>
        </w:tabs>
        <w:jc w:val="both"/>
        <w:rPr>
          <w:rFonts w:ascii="Arial Narrow" w:hAnsi="Arial Narrow" w:cs="Times New Roman"/>
          <w:sz w:val="22"/>
        </w:rPr>
      </w:pPr>
      <w:r>
        <w:rPr>
          <w:rFonts w:ascii="Arial Narrow" w:hAnsi="Arial Narrow" w:cs="Times New Roman"/>
          <w:b/>
          <w:bCs/>
          <w:sz w:val="22"/>
        </w:rPr>
        <w:tab/>
      </w:r>
      <w:r>
        <w:rPr>
          <w:rFonts w:ascii="Arial Narrow" w:hAnsi="Arial Narrow" w:cs="Times New Roman"/>
          <w:sz w:val="22"/>
        </w:rPr>
        <w:t>V nadväznosti na nové znenie § 44 sa zrušuje vyhláška Ministerstva financií SR č. 573/2004 Z. z., ktorou sa ustanovujú vzory tlačív a oznámení o výrobe, príjme, výdaji a stave zásob liehu.</w:t>
      </w:r>
    </w:p>
    <w:p>
      <w:pPr>
        <w:pStyle w:val="Zkladntext"/>
        <w:jc w:val="both"/>
        <w:rPr>
          <w:rFonts w:ascii="Arial Narrow" w:hAnsi="Arial Narrow" w:cs="Times New Roman"/>
          <w:b/>
          <w:bCs/>
          <w:sz w:val="22"/>
        </w:rPr>
      </w:pPr>
    </w:p>
    <w:p>
      <w:pPr>
        <w:pStyle w:val="Zkladntext"/>
        <w:jc w:val="both"/>
        <w:rPr>
          <w:rFonts w:ascii="Arial Narrow" w:hAnsi="Arial Narrow" w:cs="Times New Roman"/>
          <w:b/>
          <w:bCs/>
          <w:sz w:val="22"/>
        </w:rPr>
      </w:pPr>
      <w:r>
        <w:rPr>
          <w:rFonts w:ascii="Arial Narrow" w:hAnsi="Arial Narrow" w:cs="Times New Roman"/>
          <w:b/>
          <w:bCs/>
          <w:sz w:val="22"/>
        </w:rPr>
        <w:t>K bodu 108</w:t>
      </w:r>
    </w:p>
    <w:p>
      <w:pPr>
        <w:pStyle w:val="Zkladntext"/>
        <w:ind w:firstLine="360"/>
        <w:jc w:val="both"/>
        <w:rPr>
          <w:rFonts w:ascii="Arial Narrow" w:hAnsi="Arial Narrow" w:cs="Times New Roman"/>
          <w:sz w:val="22"/>
        </w:rPr>
      </w:pPr>
      <w:r>
        <w:rPr>
          <w:rFonts w:ascii="Arial Narrow" w:hAnsi="Arial Narrow" w:cs="Times New Roman"/>
          <w:sz w:val="22"/>
        </w:rPr>
        <w:t>Vzhľadom k tomu, že transpozičná príloha má informačnú povinnosť členského štátu vo vzťahu k Európskej komisii bolo potrebné vypracovať novú transpozičnú príloh</w:t>
      </w:r>
      <w:r>
        <w:rPr>
          <w:rFonts w:ascii="Arial Narrow" w:hAnsi="Arial Narrow" w:cs="Times New Roman"/>
          <w:sz w:val="22"/>
        </w:rPr>
        <w:t xml:space="preserve">u.        </w:t>
      </w:r>
    </w:p>
    <w:p>
      <w:pPr>
        <w:pStyle w:val="Zkladntext"/>
        <w:jc w:val="both"/>
        <w:rPr>
          <w:rFonts w:ascii="Arial Narrow" w:hAnsi="Arial Narrow" w:cs="Times New Roman"/>
          <w:sz w:val="22"/>
        </w:rPr>
      </w:pPr>
    </w:p>
    <w:p>
      <w:pPr>
        <w:pStyle w:val="Zkladntext"/>
        <w:jc w:val="both"/>
        <w:rPr>
          <w:rFonts w:ascii="Arial Narrow" w:hAnsi="Arial Narrow" w:cs="Times New Roman"/>
          <w:b/>
          <w:bCs/>
          <w:sz w:val="22"/>
        </w:rPr>
      </w:pPr>
      <w:r>
        <w:rPr>
          <w:rFonts w:ascii="Arial Narrow" w:hAnsi="Arial Narrow" w:cs="Times New Roman"/>
          <w:b/>
          <w:bCs/>
          <w:sz w:val="22"/>
        </w:rPr>
        <w:t>K Čl. II</w:t>
      </w:r>
    </w:p>
    <w:p>
      <w:pPr>
        <w:pStyle w:val="Zkladntext"/>
        <w:ind w:firstLine="284"/>
        <w:jc w:val="both"/>
        <w:rPr>
          <w:rFonts w:ascii="Arial Narrow" w:hAnsi="Arial Narrow" w:cs="Times New Roman"/>
          <w:sz w:val="22"/>
        </w:rPr>
      </w:pPr>
      <w:r>
        <w:rPr>
          <w:rFonts w:ascii="Arial Narrow" w:hAnsi="Arial Narrow" w:cs="Times New Roman"/>
          <w:sz w:val="22"/>
        </w:rPr>
        <w:t>Upravuje splnomocňovacie ustanovenie na vyhlásenie úplného znenia zákona č. 105/2004 Z. z.</w:t>
      </w:r>
    </w:p>
    <w:p>
      <w:pPr>
        <w:pStyle w:val="Zkladntext"/>
        <w:jc w:val="both"/>
        <w:rPr>
          <w:rFonts w:ascii="Arial Narrow" w:hAnsi="Arial Narrow" w:cs="Times New Roman"/>
          <w:sz w:val="22"/>
        </w:rPr>
      </w:pPr>
    </w:p>
    <w:p>
      <w:pPr>
        <w:pStyle w:val="Zkladntext"/>
        <w:jc w:val="both"/>
        <w:rPr>
          <w:rFonts w:ascii="Arial Narrow" w:hAnsi="Arial Narrow" w:cs="Times New Roman"/>
          <w:b/>
          <w:bCs/>
          <w:sz w:val="22"/>
        </w:rPr>
      </w:pPr>
      <w:r>
        <w:rPr>
          <w:rFonts w:ascii="Arial Narrow" w:hAnsi="Arial Narrow" w:cs="Times New Roman"/>
          <w:b/>
          <w:bCs/>
          <w:sz w:val="22"/>
        </w:rPr>
        <w:t>K Čl. III</w:t>
      </w:r>
    </w:p>
    <w:p>
      <w:pPr>
        <w:pStyle w:val="BodyTextIndent"/>
        <w:ind w:firstLine="284"/>
        <w:rPr>
          <w:rFonts w:cs="Times New Roman"/>
          <w:bCs/>
        </w:rPr>
      </w:pPr>
      <w:r>
        <w:rPr>
          <w:rFonts w:cs="Times New Roman"/>
          <w:bCs/>
        </w:rPr>
        <w:t>Účinnosť zákona sa navrhuje dňa 1. júla 2006 okrem bodu 94 upravujúceho povolenia na predaj spotrebiteľského   balenia   v daňovom   voľnom   obehu   a   bodu   107,   ktorých   účinnosť   sa  navrhuje  dňa 1. januára 2007.</w:t>
      </w:r>
    </w:p>
    <w:p>
      <w:pPr>
        <w:spacing w:after="120"/>
        <w:ind w:firstLine="340"/>
        <w:jc w:val="both"/>
        <w:rPr>
          <w:rFonts w:ascii="Times New Roman" w:hAnsi="Times New Roman" w:cs="Times New Roman"/>
        </w:rPr>
      </w:pPr>
    </w:p>
    <w:p>
      <w:pPr>
        <w:spacing w:after="120"/>
        <w:ind w:firstLine="340"/>
        <w:jc w:val="both"/>
        <w:rPr>
          <w:rFonts w:ascii="Arial Narrow" w:hAnsi="Arial Narrow" w:cs="Times New Roman"/>
          <w:sz w:val="22"/>
        </w:rPr>
      </w:pPr>
      <w:r>
        <w:rPr>
          <w:rFonts w:ascii="Arial Narrow" w:hAnsi="Arial Narrow" w:cs="Times New Roman"/>
          <w:sz w:val="22"/>
        </w:rPr>
        <w:t>Schválené uznesením vlády Slovenskej republiky dňa 22. februára 2006.</w:t>
      </w:r>
    </w:p>
    <w:p>
      <w:pPr>
        <w:spacing w:after="120"/>
        <w:ind w:firstLine="340"/>
        <w:jc w:val="both"/>
        <w:rPr>
          <w:rFonts w:ascii="Arial Narrow" w:hAnsi="Arial Narrow" w:cs="Times New Roman"/>
          <w:sz w:val="22"/>
        </w:rPr>
      </w:pPr>
    </w:p>
    <w:p>
      <w:pPr>
        <w:ind w:firstLine="340"/>
        <w:jc w:val="center"/>
        <w:rPr>
          <w:rFonts w:ascii="Arial Narrow" w:hAnsi="Arial Narrow" w:cs="Times New Roman"/>
          <w:b/>
          <w:bCs/>
          <w:sz w:val="22"/>
        </w:rPr>
      </w:pPr>
      <w:r>
        <w:rPr>
          <w:rFonts w:ascii="Arial Narrow" w:hAnsi="Arial Narrow" w:cs="Times New Roman"/>
          <w:b/>
          <w:bCs/>
          <w:sz w:val="22"/>
        </w:rPr>
        <w:t>Mikuláš Dzurinda v. r.</w:t>
      </w:r>
    </w:p>
    <w:p>
      <w:pPr>
        <w:ind w:firstLine="340"/>
        <w:jc w:val="center"/>
        <w:rPr>
          <w:rFonts w:ascii="Arial Narrow" w:hAnsi="Arial Narrow" w:cs="Times New Roman"/>
          <w:b/>
          <w:bCs/>
          <w:sz w:val="22"/>
        </w:rPr>
      </w:pPr>
      <w:r>
        <w:rPr>
          <w:rFonts w:ascii="Arial Narrow" w:hAnsi="Arial Narrow" w:cs="Times New Roman"/>
          <w:b/>
          <w:bCs/>
          <w:sz w:val="22"/>
        </w:rPr>
        <w:t>predseda vlády Slovenskej republiky</w:t>
      </w:r>
    </w:p>
    <w:p>
      <w:pPr>
        <w:spacing w:after="120"/>
        <w:ind w:firstLine="340"/>
        <w:jc w:val="center"/>
        <w:rPr>
          <w:rFonts w:ascii="Arial Narrow" w:hAnsi="Arial Narrow" w:cs="Times New Roman"/>
          <w:b/>
          <w:bCs/>
          <w:sz w:val="22"/>
        </w:rPr>
      </w:pPr>
    </w:p>
    <w:p>
      <w:pPr>
        <w:spacing w:after="120"/>
        <w:ind w:firstLine="340"/>
        <w:jc w:val="center"/>
        <w:rPr>
          <w:rFonts w:ascii="Arial Narrow" w:hAnsi="Arial Narrow" w:cs="Times New Roman"/>
          <w:b/>
          <w:bCs/>
          <w:sz w:val="22"/>
        </w:rPr>
      </w:pPr>
    </w:p>
    <w:p>
      <w:pPr>
        <w:ind w:firstLine="340"/>
        <w:jc w:val="center"/>
        <w:rPr>
          <w:rFonts w:ascii="Arial Narrow" w:hAnsi="Arial Narrow" w:cs="Times New Roman"/>
          <w:b/>
          <w:bCs/>
          <w:sz w:val="22"/>
        </w:rPr>
      </w:pPr>
      <w:r>
        <w:rPr>
          <w:rFonts w:ascii="Arial Narrow" w:hAnsi="Arial Narrow" w:cs="Times New Roman"/>
          <w:b/>
          <w:bCs/>
          <w:sz w:val="22"/>
        </w:rPr>
        <w:t>v z. Vladimil Podstránsky v. r.</w:t>
      </w:r>
    </w:p>
    <w:p>
      <w:pPr>
        <w:ind w:firstLine="340"/>
        <w:jc w:val="center"/>
        <w:rPr>
          <w:rFonts w:ascii="Times New Roman" w:hAnsi="Times New Roman" w:cs="Times New Roman"/>
          <w:sz w:val="22"/>
        </w:rPr>
      </w:pPr>
      <w:r>
        <w:rPr>
          <w:rFonts w:ascii="Arial Narrow" w:hAnsi="Arial Narrow" w:cs="Times New Roman"/>
          <w:b/>
          <w:bCs/>
          <w:sz w:val="22"/>
        </w:rPr>
        <w:t>štátny tajomník ministerstva financií Slovenskej republiky</w:t>
      </w:r>
    </w:p>
    <w:sectPr>
      <w:footerReference w:type="even" r:id="rId4"/>
      <w:footerReference w:type="default" r:id="rId5"/>
      <w:pgSz w:w="11906" w:h="16838"/>
      <w:pgMar w:top="1134" w:right="1418" w:bottom="1134" w:left="1418" w:header="709" w:footer="709" w:gutter="0"/>
      <w:pgNumType w:start="23"/>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ms Rmn">
    <w:altName w:val="Times New Roman"/>
    <w:panose1 w:val="00000000000000000000"/>
    <w:charset w:val="00"/>
    <w:family w:val="roman"/>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sz w:val="16"/>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B6F"/>
    <w:multiLevelType w:val="hybridMultilevel"/>
    <w:tmpl w:val="9702AB6C"/>
    <w:lvl w:ilvl="0">
      <w:start w:val="1"/>
      <w:numFmt w:val="bullet"/>
      <w:lvlText w:val=""/>
      <w:lvlJc w:val="left"/>
      <w:pPr>
        <w:tabs>
          <w:tab w:val="num" w:pos="660"/>
        </w:tabs>
        <w:ind w:left="660" w:hanging="360"/>
      </w:pPr>
      <w:rPr>
        <w:rFonts w:ascii="Wingdings" w:hAnsi="Wingdings"/>
        <w:rtl w:val="0"/>
      </w:rPr>
    </w:lvl>
    <w:lvl w:ilvl="1">
      <w:start w:val="1"/>
      <w:numFmt w:val="bullet"/>
      <w:lvlText w:val="o"/>
      <w:lvlJc w:val="left"/>
      <w:pPr>
        <w:tabs>
          <w:tab w:val="num" w:pos="1380"/>
        </w:tabs>
        <w:ind w:left="1380" w:hanging="360"/>
      </w:pPr>
      <w:rPr>
        <w:rFonts w:ascii="Courier New" w:hAnsi="Courier New" w:cs="Courier New"/>
        <w:rtl w:val="0"/>
      </w:rPr>
    </w:lvl>
    <w:lvl w:ilvl="2">
      <w:start w:val="1"/>
      <w:numFmt w:val="bullet"/>
      <w:lvlText w:val=""/>
      <w:lvlJc w:val="left"/>
      <w:pPr>
        <w:tabs>
          <w:tab w:val="num" w:pos="2100"/>
        </w:tabs>
        <w:ind w:left="2100" w:hanging="360"/>
      </w:pPr>
      <w:rPr>
        <w:rFonts w:ascii="Wingdings" w:hAnsi="Wingdings"/>
        <w:rtl w:val="0"/>
      </w:rPr>
    </w:lvl>
    <w:lvl w:ilvl="3">
      <w:start w:val="1"/>
      <w:numFmt w:val="bullet"/>
      <w:lvlText w:val=""/>
      <w:lvlJc w:val="left"/>
      <w:pPr>
        <w:tabs>
          <w:tab w:val="num" w:pos="2820"/>
        </w:tabs>
        <w:ind w:left="2820" w:hanging="360"/>
      </w:pPr>
      <w:rPr>
        <w:rFonts w:ascii="Symbol" w:hAnsi="Symbol"/>
        <w:rtl w:val="0"/>
      </w:rPr>
    </w:lvl>
    <w:lvl w:ilvl="4">
      <w:start w:val="1"/>
      <w:numFmt w:val="bullet"/>
      <w:lvlText w:val="o"/>
      <w:lvlJc w:val="left"/>
      <w:pPr>
        <w:tabs>
          <w:tab w:val="num" w:pos="3540"/>
        </w:tabs>
        <w:ind w:left="3540" w:hanging="360"/>
      </w:pPr>
      <w:rPr>
        <w:rFonts w:ascii="Courier New" w:hAnsi="Courier New" w:cs="Courier New"/>
        <w:rtl w:val="0"/>
      </w:rPr>
    </w:lvl>
    <w:lvl w:ilvl="5">
      <w:start w:val="1"/>
      <w:numFmt w:val="bullet"/>
      <w:lvlText w:val=""/>
      <w:lvlJc w:val="left"/>
      <w:pPr>
        <w:tabs>
          <w:tab w:val="num" w:pos="4260"/>
        </w:tabs>
        <w:ind w:left="4260" w:hanging="360"/>
      </w:pPr>
      <w:rPr>
        <w:rFonts w:ascii="Wingdings" w:hAnsi="Wingdings"/>
        <w:rtl w:val="0"/>
      </w:rPr>
    </w:lvl>
    <w:lvl w:ilvl="6">
      <w:start w:val="1"/>
      <w:numFmt w:val="bullet"/>
      <w:lvlText w:val=""/>
      <w:lvlJc w:val="left"/>
      <w:pPr>
        <w:tabs>
          <w:tab w:val="num" w:pos="4980"/>
        </w:tabs>
        <w:ind w:left="4980" w:hanging="360"/>
      </w:pPr>
      <w:rPr>
        <w:rFonts w:ascii="Symbol" w:hAnsi="Symbol"/>
        <w:rtl w:val="0"/>
      </w:rPr>
    </w:lvl>
    <w:lvl w:ilvl="7">
      <w:start w:val="1"/>
      <w:numFmt w:val="bullet"/>
      <w:lvlText w:val="o"/>
      <w:lvlJc w:val="left"/>
      <w:pPr>
        <w:tabs>
          <w:tab w:val="num" w:pos="5700"/>
        </w:tabs>
        <w:ind w:left="5700" w:hanging="360"/>
      </w:pPr>
      <w:rPr>
        <w:rFonts w:ascii="Courier New" w:hAnsi="Courier New" w:cs="Courier New"/>
        <w:rtl w:val="0"/>
      </w:rPr>
    </w:lvl>
    <w:lvl w:ilvl="8">
      <w:start w:val="1"/>
      <w:numFmt w:val="bullet"/>
      <w:lvlText w:val=""/>
      <w:lvlJc w:val="left"/>
      <w:pPr>
        <w:tabs>
          <w:tab w:val="num" w:pos="6420"/>
        </w:tabs>
        <w:ind w:left="6420" w:hanging="360"/>
      </w:pPr>
      <w:rPr>
        <w:rFonts w:ascii="Wingdings" w:hAnsi="Wingdings"/>
        <w:rtl w:val="0"/>
      </w:rPr>
    </w:lvl>
  </w:abstractNum>
  <w:abstractNum w:abstractNumId="1">
    <w:nsid w:val="20F3517B"/>
    <w:multiLevelType w:val="hybridMultilevel"/>
    <w:tmpl w:val="68A02584"/>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2A786996"/>
    <w:multiLevelType w:val="hybridMultilevel"/>
    <w:tmpl w:val="3482EF1A"/>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2BE83080"/>
    <w:multiLevelType w:val="hybridMultilevel"/>
    <w:tmpl w:val="49EAE7FE"/>
    <w:lvl w:ilvl="0">
      <w:start w:val="1"/>
      <w:numFmt w:val="upperRoman"/>
      <w:pStyle w:val="Heading1"/>
      <w:lvlText w:val="%1."/>
      <w:lvlJc w:val="left"/>
      <w:pPr>
        <w:tabs>
          <w:tab w:val="num" w:pos="1080"/>
        </w:tabs>
        <w:ind w:left="1080" w:hanging="72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1F4DC5"/>
    <w:multiLevelType w:val="hybridMultilevel"/>
    <w:tmpl w:val="D13C7BD2"/>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43A84F65"/>
    <w:multiLevelType w:val="hybridMultilevel"/>
    <w:tmpl w:val="1980A8FC"/>
    <w:lvl w:ilvl="0">
      <w:start w:val="1"/>
      <w:numFmt w:val="bullet"/>
      <w:lvlText w:val=""/>
      <w:lvlJc w:val="left"/>
      <w:pPr>
        <w:tabs>
          <w:tab w:val="num" w:pos="0"/>
        </w:tabs>
        <w:ind w:left="284" w:hanging="284"/>
      </w:pPr>
      <w:rPr>
        <w:rFonts w:ascii="Symbol" w:hAnsi="Symbol" w:cs="Times New Roman"/>
        <w:rtl w:val="0"/>
      </w:rPr>
    </w:lvl>
    <w:lvl w:ilvl="1">
      <w:start w:val="1"/>
      <w:numFmt w:val="bullet"/>
      <w:lvlText w:val="o"/>
      <w:lvlJc w:val="left"/>
      <w:pPr>
        <w:tabs>
          <w:tab w:val="num" w:pos="873"/>
        </w:tabs>
        <w:ind w:left="873" w:hanging="360"/>
      </w:pPr>
      <w:rPr>
        <w:rFonts w:ascii="Courier New" w:hAnsi="Courier New" w:cs="Courier New"/>
        <w:rtl w:val="0"/>
      </w:rPr>
    </w:lvl>
    <w:lvl w:ilvl="2">
      <w:start w:val="1"/>
      <w:numFmt w:val="bullet"/>
      <w:lvlText w:val=""/>
      <w:lvlJc w:val="left"/>
      <w:pPr>
        <w:tabs>
          <w:tab w:val="num" w:pos="1593"/>
        </w:tabs>
        <w:ind w:left="1593" w:hanging="360"/>
      </w:pPr>
      <w:rPr>
        <w:rFonts w:ascii="Wingdings" w:hAnsi="Wingdings" w:cs="Times New Roman"/>
        <w:rtl w:val="0"/>
      </w:rPr>
    </w:lvl>
    <w:lvl w:ilvl="3">
      <w:start w:val="1"/>
      <w:numFmt w:val="bullet"/>
      <w:lvlText w:val=""/>
      <w:lvlJc w:val="left"/>
      <w:pPr>
        <w:tabs>
          <w:tab w:val="num" w:pos="2313"/>
        </w:tabs>
        <w:ind w:left="2313" w:hanging="360"/>
      </w:pPr>
      <w:rPr>
        <w:rFonts w:ascii="Symbol" w:hAnsi="Symbol" w:cs="Times New Roman"/>
        <w:rtl w:val="0"/>
      </w:rPr>
    </w:lvl>
    <w:lvl w:ilvl="4">
      <w:start w:val="1"/>
      <w:numFmt w:val="bullet"/>
      <w:lvlText w:val="o"/>
      <w:lvlJc w:val="left"/>
      <w:pPr>
        <w:tabs>
          <w:tab w:val="num" w:pos="3033"/>
        </w:tabs>
        <w:ind w:left="3033" w:hanging="360"/>
      </w:pPr>
      <w:rPr>
        <w:rFonts w:ascii="Courier New" w:hAnsi="Courier New" w:cs="Courier New"/>
        <w:rtl w:val="0"/>
      </w:rPr>
    </w:lvl>
    <w:lvl w:ilvl="5">
      <w:start w:val="1"/>
      <w:numFmt w:val="bullet"/>
      <w:lvlText w:val=""/>
      <w:lvlJc w:val="left"/>
      <w:pPr>
        <w:tabs>
          <w:tab w:val="num" w:pos="3753"/>
        </w:tabs>
        <w:ind w:left="3753" w:hanging="360"/>
      </w:pPr>
      <w:rPr>
        <w:rFonts w:ascii="Wingdings" w:hAnsi="Wingdings" w:cs="Times New Roman"/>
        <w:rtl w:val="0"/>
      </w:rPr>
    </w:lvl>
    <w:lvl w:ilvl="6">
      <w:start w:val="1"/>
      <w:numFmt w:val="bullet"/>
      <w:lvlText w:val=""/>
      <w:lvlJc w:val="left"/>
      <w:pPr>
        <w:tabs>
          <w:tab w:val="num" w:pos="4473"/>
        </w:tabs>
        <w:ind w:left="4473" w:hanging="360"/>
      </w:pPr>
      <w:rPr>
        <w:rFonts w:ascii="Symbol" w:hAnsi="Symbol" w:cs="Times New Roman"/>
        <w:rtl w:val="0"/>
      </w:rPr>
    </w:lvl>
    <w:lvl w:ilvl="7">
      <w:start w:val="1"/>
      <w:numFmt w:val="bullet"/>
      <w:lvlText w:val="o"/>
      <w:lvlJc w:val="left"/>
      <w:pPr>
        <w:tabs>
          <w:tab w:val="num" w:pos="5193"/>
        </w:tabs>
        <w:ind w:left="5193" w:hanging="360"/>
      </w:pPr>
      <w:rPr>
        <w:rFonts w:ascii="Courier New" w:hAnsi="Courier New" w:cs="Courier New"/>
        <w:rtl w:val="0"/>
      </w:rPr>
    </w:lvl>
    <w:lvl w:ilvl="8">
      <w:start w:val="1"/>
      <w:numFmt w:val="bullet"/>
      <w:lvlText w:val=""/>
      <w:lvlJc w:val="left"/>
      <w:pPr>
        <w:tabs>
          <w:tab w:val="num" w:pos="5913"/>
        </w:tabs>
        <w:ind w:left="5913" w:hanging="360"/>
      </w:pPr>
      <w:rPr>
        <w:rFonts w:ascii="Wingdings" w:hAnsi="Wingdings" w:cs="Times New Roman"/>
        <w:rtl w:val="0"/>
      </w:rPr>
    </w:lvl>
  </w:abstractNum>
  <w:abstractNum w:abstractNumId="6">
    <w:nsid w:val="43D2035D"/>
    <w:multiLevelType w:val="hybridMultilevel"/>
    <w:tmpl w:val="8CD08FB0"/>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4E585AB8"/>
    <w:multiLevelType w:val="hybridMultilevel"/>
    <w:tmpl w:val="6810BB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A4144F3"/>
    <w:multiLevelType w:val="hybridMultilevel"/>
    <w:tmpl w:val="8940E626"/>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
    <w:nsid w:val="5DDD1FBC"/>
    <w:multiLevelType w:val="hybridMultilevel"/>
    <w:tmpl w:val="68C85E98"/>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
    <w:nsid w:val="6656344D"/>
    <w:multiLevelType w:val="hybridMultilevel"/>
    <w:tmpl w:val="7FF66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78A5F09"/>
    <w:multiLevelType w:val="hybridMultilevel"/>
    <w:tmpl w:val="DEAABFDA"/>
    <w:lvl w:ilvl="0">
      <w:start w:val="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
    <w:nsid w:val="6AB62683"/>
    <w:multiLevelType w:val="singleLevel"/>
    <w:tmpl w:val="768E8086"/>
    <w:lvl w:ilvl="0">
      <w:start w:val="1"/>
      <w:numFmt w:val="bullet"/>
      <w:lvlText w:val="-"/>
      <w:lvlJc w:val="left"/>
      <w:pPr>
        <w:tabs>
          <w:tab w:val="num" w:pos="660"/>
        </w:tabs>
        <w:ind w:left="660" w:hanging="360"/>
      </w:pPr>
    </w:lvl>
  </w:abstractNum>
  <w:abstractNum w:abstractNumId="13">
    <w:nsid w:val="6B625AE5"/>
    <w:multiLevelType w:val="singleLevel"/>
    <w:tmpl w:val="0405000F"/>
    <w:lvl w:ilvl="0">
      <w:start w:val="2"/>
      <w:numFmt w:val="decimal"/>
      <w:lvlText w:val="%1."/>
      <w:lvlJc w:val="left"/>
      <w:pPr>
        <w:tabs>
          <w:tab w:val="num" w:pos="360"/>
        </w:tabs>
        <w:ind w:left="360" w:hanging="360"/>
      </w:pPr>
    </w:lvl>
  </w:abstractNum>
  <w:abstractNum w:abstractNumId="14">
    <w:nsid w:val="7BC87C23"/>
    <w:multiLevelType w:val="hybridMultilevel"/>
    <w:tmpl w:val="2DFC9130"/>
    <w:lvl w:ilvl="0">
      <w:start w:val="0"/>
      <w:numFmt w:val="bullet"/>
      <w:lvlText w:val="-"/>
      <w:lvlJc w:val="left"/>
      <w:pPr>
        <w:tabs>
          <w:tab w:val="num" w:pos="510"/>
        </w:tabs>
        <w:ind w:left="510" w:hanging="170"/>
      </w:pPr>
    </w:lvl>
    <w:lvl w:ilvl="1">
      <w:start w:val="1"/>
      <w:numFmt w:val="bullet"/>
      <w:lvlText w:val="o"/>
      <w:lvlJc w:val="left"/>
      <w:pPr>
        <w:tabs>
          <w:tab w:val="num" w:pos="1780"/>
        </w:tabs>
        <w:ind w:left="1780" w:hanging="360"/>
      </w:pPr>
      <w:rPr>
        <w:rFonts w:ascii="Courier New" w:hAnsi="Courier New" w:cs="Courier New"/>
        <w:rtl w:val="0"/>
      </w:rPr>
    </w:lvl>
    <w:lvl w:ilvl="2">
      <w:start w:val="1"/>
      <w:numFmt w:val="bullet"/>
      <w:lvlText w:val=""/>
      <w:lvlJc w:val="left"/>
      <w:pPr>
        <w:tabs>
          <w:tab w:val="num" w:pos="2500"/>
        </w:tabs>
        <w:ind w:left="2500" w:hanging="360"/>
      </w:pPr>
      <w:rPr>
        <w:rFonts w:ascii="Wingdings" w:hAnsi="Wingdings"/>
        <w:rtl w:val="0"/>
      </w:rPr>
    </w:lvl>
    <w:lvl w:ilvl="3">
      <w:start w:val="1"/>
      <w:numFmt w:val="bullet"/>
      <w:lvlText w:val=""/>
      <w:lvlJc w:val="left"/>
      <w:pPr>
        <w:tabs>
          <w:tab w:val="num" w:pos="3220"/>
        </w:tabs>
        <w:ind w:left="3220" w:hanging="360"/>
      </w:pPr>
      <w:rPr>
        <w:rFonts w:ascii="Symbol" w:hAnsi="Symbol"/>
        <w:rtl w:val="0"/>
      </w:rPr>
    </w:lvl>
    <w:lvl w:ilvl="4">
      <w:start w:val="1"/>
      <w:numFmt w:val="bullet"/>
      <w:lvlText w:val="o"/>
      <w:lvlJc w:val="left"/>
      <w:pPr>
        <w:tabs>
          <w:tab w:val="num" w:pos="3940"/>
        </w:tabs>
        <w:ind w:left="3940" w:hanging="360"/>
      </w:pPr>
      <w:rPr>
        <w:rFonts w:ascii="Courier New" w:hAnsi="Courier New" w:cs="Courier New"/>
        <w:rtl w:val="0"/>
      </w:rPr>
    </w:lvl>
    <w:lvl w:ilvl="5">
      <w:start w:val="1"/>
      <w:numFmt w:val="bullet"/>
      <w:lvlText w:val=""/>
      <w:lvlJc w:val="left"/>
      <w:pPr>
        <w:tabs>
          <w:tab w:val="num" w:pos="4660"/>
        </w:tabs>
        <w:ind w:left="4660" w:hanging="360"/>
      </w:pPr>
      <w:rPr>
        <w:rFonts w:ascii="Wingdings" w:hAnsi="Wingdings"/>
        <w:rtl w:val="0"/>
      </w:rPr>
    </w:lvl>
    <w:lvl w:ilvl="6">
      <w:start w:val="1"/>
      <w:numFmt w:val="bullet"/>
      <w:lvlText w:val=""/>
      <w:lvlJc w:val="left"/>
      <w:pPr>
        <w:tabs>
          <w:tab w:val="num" w:pos="5380"/>
        </w:tabs>
        <w:ind w:left="5380" w:hanging="360"/>
      </w:pPr>
      <w:rPr>
        <w:rFonts w:ascii="Symbol" w:hAnsi="Symbol"/>
        <w:rtl w:val="0"/>
      </w:rPr>
    </w:lvl>
    <w:lvl w:ilvl="7">
      <w:start w:val="1"/>
      <w:numFmt w:val="bullet"/>
      <w:lvlText w:val="o"/>
      <w:lvlJc w:val="left"/>
      <w:pPr>
        <w:tabs>
          <w:tab w:val="num" w:pos="6100"/>
        </w:tabs>
        <w:ind w:left="6100" w:hanging="360"/>
      </w:pPr>
      <w:rPr>
        <w:rFonts w:ascii="Courier New" w:hAnsi="Courier New" w:cs="Courier New"/>
        <w:rtl w:val="0"/>
      </w:rPr>
    </w:lvl>
    <w:lvl w:ilvl="8">
      <w:start w:val="1"/>
      <w:numFmt w:val="bullet"/>
      <w:lvlText w:val=""/>
      <w:lvlJc w:val="left"/>
      <w:pPr>
        <w:tabs>
          <w:tab w:val="num" w:pos="6820"/>
        </w:tabs>
        <w:ind w:left="6820" w:hanging="360"/>
      </w:pPr>
      <w:rPr>
        <w:rFonts w:ascii="Wingdings" w:hAnsi="Wingdings"/>
        <w:rtl w:val="0"/>
      </w:rPr>
    </w:lvl>
  </w:abstractNum>
  <w:num w:numId="1">
    <w:abstractNumId w:val="10"/>
  </w:num>
  <w:num w:numId="2">
    <w:abstractNumId w:val="1"/>
  </w:num>
  <w:num w:numId="3">
    <w:abstractNumId w:val="3"/>
  </w:num>
  <w:num w:numId="4">
    <w:abstractNumId w:val="7"/>
  </w:num>
  <w:num w:numId="5">
    <w:abstractNumId w:val="5"/>
  </w:num>
  <w:num w:numId="6">
    <w:abstractNumId w:val="14"/>
  </w:num>
  <w:num w:numId="7">
    <w:abstractNumId w:val="2"/>
  </w:num>
  <w:num w:numId="8">
    <w:abstractNumId w:val="4"/>
  </w:num>
  <w:num w:numId="9">
    <w:abstractNumId w:val="8"/>
  </w:num>
  <w:num w:numId="10">
    <w:abstractNumId w:val="9"/>
  </w:num>
  <w:num w:numId="11">
    <w:abstractNumId w:val="6"/>
  </w:num>
  <w:num w:numId="12">
    <w:abstractNumId w:val="12"/>
  </w:num>
  <w:num w:numId="13">
    <w:abstractNumId w:val="13"/>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en-GB" w:bidi="ar-SA"/>
    </w:rPr>
  </w:style>
  <w:style w:type="paragraph" w:styleId="Heading1">
    <w:name w:val="heading 1"/>
    <w:basedOn w:val="Normal"/>
    <w:next w:val="Normal"/>
    <w:uiPriority w:val="9"/>
    <w:qFormat/>
    <w:pPr>
      <w:keepNext/>
      <w:numPr>
        <w:ilvl w:val="0"/>
        <w:numId w:val="3"/>
      </w:numPr>
      <w:tabs>
        <w:tab w:val="left" w:pos="1080"/>
      </w:tabs>
      <w:ind w:left="1080" w:hanging="720"/>
      <w:jc w:val="both"/>
      <w:outlineLvl w:val="0"/>
    </w:pPr>
    <w:rPr>
      <w:rFonts w:ascii="Arial Narrow" w:hAnsi="Arial Narrow"/>
      <w:b/>
      <w:sz w:val="22"/>
      <w:lang w:val="sk-SK"/>
    </w:rPr>
  </w:style>
  <w:style w:type="paragraph" w:styleId="Heading2">
    <w:name w:val="heading 2"/>
    <w:basedOn w:val="Normal"/>
    <w:next w:val="Normal"/>
    <w:uiPriority w:val="9"/>
    <w:qFormat/>
    <w:pPr>
      <w:keepNext/>
      <w:spacing w:before="120" w:line="280" w:lineRule="atLeast"/>
      <w:ind w:firstLine="340"/>
      <w:jc w:val="both"/>
      <w:outlineLvl w:val="1"/>
    </w:pPr>
    <w:rPr>
      <w:b/>
      <w:lang w:val="sk-SK"/>
    </w:rPr>
  </w:style>
  <w:style w:type="paragraph" w:styleId="Heading3">
    <w:name w:val="heading 3"/>
    <w:basedOn w:val="Normal"/>
    <w:next w:val="Normal"/>
    <w:uiPriority w:val="9"/>
    <w:qFormat/>
    <w:pPr>
      <w:keepNext/>
      <w:ind w:firstLine="284"/>
      <w:jc w:val="both"/>
      <w:outlineLvl w:val="2"/>
    </w:pPr>
    <w:rPr>
      <w:rFonts w:ascii="Arial Narrow" w:hAnsi="Arial Narrow"/>
      <w:b/>
      <w:bCs/>
      <w:sz w:val="22"/>
      <w:lang w:val="sk-SK"/>
    </w:rPr>
  </w:style>
  <w:style w:type="paragraph" w:styleId="Heading6">
    <w:name w:val="heading 6"/>
    <w:basedOn w:val="Normal"/>
    <w:next w:val="Normal"/>
    <w:uiPriority w:val="9"/>
    <w:qFormat/>
    <w:pPr>
      <w:keepNext/>
      <w:tabs>
        <w:tab w:val="left" w:pos="0"/>
      </w:tabs>
      <w:jc w:val="both"/>
      <w:outlineLvl w:val="5"/>
    </w:pPr>
    <w:rPr>
      <w:rFonts w:ascii="Arial Narrow" w:hAnsi="Arial Narrow"/>
      <w:b/>
      <w:sz w:val="22"/>
      <w:lang w:val="sk-SK"/>
    </w:rPr>
  </w:style>
  <w:style w:type="paragraph" w:styleId="Heading7">
    <w:name w:val="heading 7"/>
    <w:basedOn w:val="Normal"/>
    <w:next w:val="Normal"/>
    <w:uiPriority w:val="9"/>
    <w:qFormat/>
    <w:pPr>
      <w:keepNext/>
      <w:ind w:firstLine="540"/>
      <w:jc w:val="both"/>
      <w:outlineLvl w:val="6"/>
    </w:pPr>
    <w:rPr>
      <w:rFonts w:ascii="Arial Narrow" w:hAnsi="Arial Narrow"/>
      <w:b/>
      <w:sz w:val="22"/>
      <w:lang w:val="sk-SK"/>
    </w:rPr>
  </w:style>
  <w:style w:type="character" w:default="1" w:styleId="DefaultParagraphFont">
    <w:name w:val="Default Paragraph Font"/>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BodyTextIndent3">
    <w:name w:val="Body Text Indent 3"/>
    <w:basedOn w:val="Normal"/>
    <w:pPr>
      <w:spacing w:line="280" w:lineRule="atLeast"/>
      <w:ind w:firstLine="357"/>
      <w:jc w:val="both"/>
    </w:pPr>
    <w:rPr>
      <w:rFonts w:ascii="Arial Narrow" w:hAnsi="Arial Narrow"/>
      <w:sz w:val="22"/>
      <w:lang w:val="sk-SK"/>
    </w:rPr>
  </w:style>
  <w:style w:type="paragraph" w:styleId="BodyTextIndent">
    <w:name w:val="Body Text Indent"/>
    <w:basedOn w:val="Normal"/>
    <w:pPr>
      <w:ind w:firstLine="360"/>
      <w:jc w:val="both"/>
    </w:pPr>
    <w:rPr>
      <w:rFonts w:ascii="Arial Narrow" w:hAnsi="Arial Narrow"/>
      <w:sz w:val="22"/>
      <w:lang w:val="sk-SK"/>
    </w:rPr>
  </w:style>
  <w:style w:type="paragraph" w:styleId="BodyTextIndent2">
    <w:name w:val="Body Text Indent 2"/>
    <w:basedOn w:val="Normal"/>
    <w:pPr>
      <w:spacing w:before="120"/>
      <w:ind w:firstLine="340"/>
      <w:jc w:val="both"/>
    </w:pPr>
    <w:rPr>
      <w:rFonts w:ascii="Arial Narrow" w:hAnsi="Arial Narrow"/>
      <w:sz w:val="22"/>
      <w:lang w:val="sk-SK"/>
    </w:rPr>
  </w:style>
  <w:style w:type="paragraph" w:styleId="BodyText2">
    <w:name w:val="Body Text 2"/>
    <w:basedOn w:val="Normal"/>
    <w:pPr>
      <w:tabs>
        <w:tab w:val="left" w:pos="360"/>
      </w:tabs>
      <w:spacing w:line="280" w:lineRule="atLeast"/>
      <w:jc w:val="both"/>
    </w:pPr>
    <w:rPr>
      <w:rFonts w:ascii="Arial Narrow" w:hAnsi="Arial Narrow"/>
      <w:sz w:val="22"/>
      <w:lang w:val="sk-SK"/>
    </w:rPr>
  </w:style>
  <w:style w:type="paragraph" w:styleId="Footer">
    <w:name w:val="footer"/>
    <w:basedOn w:val="Normal"/>
    <w:pPr>
      <w:tabs>
        <w:tab w:val="center" w:pos="4536"/>
        <w:tab w:val="right" w:pos="9072"/>
      </w:tabs>
      <w:jc w:val="left"/>
    </w:pPr>
    <w:rPr>
      <w:lang w:val="sk-SK"/>
    </w:rPr>
  </w:style>
  <w:style w:type="paragraph" w:styleId="BodyText3">
    <w:name w:val="Body Text 3"/>
    <w:basedOn w:val="Normal"/>
    <w:pPr>
      <w:tabs>
        <w:tab w:val="left" w:pos="360"/>
      </w:tabs>
      <w:jc w:val="both"/>
    </w:pPr>
    <w:rPr>
      <w:lang w:val="sk-SK"/>
    </w:rPr>
  </w:style>
  <w:style w:type="paragraph" w:styleId="BodyText">
    <w:name w:val="Body Text"/>
    <w:aliases w:val="Základný text Char Char"/>
    <w:basedOn w:val="Normal"/>
    <w:pPr>
      <w:jc w:val="left"/>
    </w:pPr>
    <w:rPr>
      <w:rFonts w:ascii="Arial Narrow" w:hAnsi="Arial Narrow"/>
      <w:sz w:val="22"/>
      <w:lang w:val="sk-SK"/>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5267</Words>
  <Characters>30023</Characters>
  <Application>Microsoft Office Word</Application>
  <DocSecurity>0</DocSecurity>
  <Lines>0</Lines>
  <Paragraphs>0</Paragraphs>
  <ScaleCrop>false</ScaleCrop>
  <Company>MFSR</Company>
  <LinksUpToDate>false</LinksUpToDate>
  <CharactersWithSpaces>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jingeliova</dc:creator>
  <cp:lastModifiedBy>jingeliova</cp:lastModifiedBy>
  <cp:revision>2</cp:revision>
  <cp:lastPrinted>2006-02-22T13:12:00Z</cp:lastPrinted>
  <dcterms:created xsi:type="dcterms:W3CDTF">2006-02-23T12:09:00Z</dcterms:created>
  <dcterms:modified xsi:type="dcterms:W3CDTF">2006-02-23T12:09:00Z</dcterms:modified>
</cp:coreProperties>
</file>