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cs="Times New Roman"/>
        </w:rPr>
      </w:pPr>
      <w:r>
        <w:rPr>
          <w:rFonts w:cs="Times New Roman"/>
        </w:rPr>
        <w:t>D ô v o d o v á   s p r á v a</w:t>
      </w:r>
    </w:p>
    <w:p>
      <w:pPr>
        <w:jc w:val="both"/>
        <w:rPr>
          <w:rFonts w:ascii="Arial Narrow" w:hAnsi="Arial Narrow" w:cs="Times New Roman"/>
          <w:sz w:val="22"/>
          <w:szCs w:val="28"/>
        </w:rPr>
      </w:pPr>
    </w:p>
    <w:p>
      <w:pPr>
        <w:jc w:val="both"/>
        <w:rPr>
          <w:rFonts w:ascii="Arial Narrow" w:hAnsi="Arial Narrow" w:cs="Times New Roman"/>
          <w:sz w:val="22"/>
          <w:szCs w:val="28"/>
        </w:rPr>
      </w:pPr>
    </w:p>
    <w:p>
      <w:pPr>
        <w:pStyle w:val="Heading1"/>
        <w:numPr>
          <w:numId w:val="0"/>
        </w:numPr>
        <w:rPr>
          <w:rFonts w:cs="Times New Roman"/>
        </w:rPr>
      </w:pPr>
      <w:r>
        <w:rPr>
          <w:rFonts w:cs="Times New Roman"/>
        </w:rPr>
        <w:t>I. Všeobecná časť</w:t>
      </w:r>
    </w:p>
    <w:p>
      <w:pPr>
        <w:jc w:val="both"/>
        <w:rPr>
          <w:rFonts w:ascii="Arial Narrow" w:hAnsi="Arial Narrow" w:cs="Times New Roman"/>
          <w:b/>
          <w:sz w:val="22"/>
        </w:rPr>
      </w:pPr>
    </w:p>
    <w:p>
      <w:pPr>
        <w:jc w:val="both"/>
        <w:rPr>
          <w:rFonts w:ascii="Arial Narrow" w:hAnsi="Arial Narrow" w:cs="Times New Roman"/>
          <w:b/>
          <w:sz w:val="22"/>
        </w:rPr>
      </w:pPr>
      <w:r>
        <w:rPr>
          <w:rFonts w:ascii="Arial Narrow" w:hAnsi="Arial Narrow" w:cs="Times New Roman"/>
          <w:b/>
          <w:sz w:val="22"/>
        </w:rPr>
        <w:t>Úvod</w:t>
      </w:r>
    </w:p>
    <w:p>
      <w:pPr>
        <w:pStyle w:val="BodyTextIndent2"/>
        <w:ind w:left="6" w:firstLine="278"/>
        <w:rPr>
          <w:rFonts w:cs="Times New Roman"/>
          <w:b/>
        </w:rPr>
      </w:pPr>
      <w:r>
        <w:rPr>
          <w:rFonts w:cs="Times New Roman"/>
        </w:rPr>
        <w:t>V sústave nepriamych daní, ktoré sú svojou podstatou spotrebného charakteru, daň z pridanej hodnoty, ako univerzálny typ dane z konečnej spotreby, nemôže dostatočným spôsobom postihnúť zdanenie vybraných skupín výrobkov. Túto funkciu plnia spotrebné dane, z ktorých výnos predstavuje nezanedbateľný, relatívne stabilný príjem štátneho rozpočtu z</w:t>
      </w:r>
      <w:r>
        <w:rPr>
          <w:rFonts w:cs="Times New Roman"/>
        </w:rPr>
        <w:t>á</w:t>
      </w:r>
      <w:r>
        <w:rPr>
          <w:rFonts w:cs="Times New Roman"/>
        </w:rPr>
        <w:t>vislý od konečnej spotreby vybraných skupín výrobkov, ktorá je nepriamo regulovaná aj vý</w:t>
      </w:r>
      <w:r>
        <w:rPr>
          <w:rFonts w:cs="Times New Roman"/>
        </w:rPr>
        <w:t>š</w:t>
      </w:r>
      <w:r>
        <w:rPr>
          <w:rFonts w:cs="Times New Roman"/>
        </w:rPr>
        <w:t>kou daňového zaťaženi</w:t>
      </w:r>
      <w:r>
        <w:rPr>
          <w:rFonts w:cs="Times New Roman"/>
        </w:rPr>
        <w:t>a.</w:t>
      </w:r>
    </w:p>
    <w:p>
      <w:pPr>
        <w:pStyle w:val="BodyTextIndent"/>
        <w:spacing w:before="120"/>
        <w:ind w:firstLine="284"/>
        <w:rPr>
          <w:rFonts w:cs="Times New Roman"/>
        </w:rPr>
      </w:pPr>
      <w:r>
        <w:rPr>
          <w:rFonts w:cs="Times New Roman"/>
        </w:rPr>
        <w:t xml:space="preserve">Na rozdiel od dane z pridanej hodnoty, ktorá je tzv. viacstupňovou daňou, keďže sa uplatňuje na každom stupni v procese výroby a obehu, je spotrebná daň jednostupňovou daňou. Vyberá sa na jednom stupni, a to v zásade pri uvedení vybraného výrobku do daňového voľného obehu, t. j. od výrobcu – prevádzkovateľa daňového skladu, alebo pri jeho dovoze na daňové územie. Uvedeným mechanizmom sa zabezpečuje zníženie rizika možných daňových únikov tým, že vyrobený alebo dovezený predmet dane pri pohybe od výrobcu </w:t>
      </w:r>
      <w:r>
        <w:rPr>
          <w:rFonts w:cs="Times New Roman"/>
        </w:rPr>
        <w:t>k  spotrebit</w:t>
      </w:r>
      <w:r>
        <w:rPr>
          <w:rFonts w:cs="Times New Roman"/>
        </w:rPr>
        <w:t>e</w:t>
      </w:r>
      <w:r>
        <w:rPr>
          <w:rFonts w:cs="Times New Roman"/>
        </w:rPr>
        <w:t>ľovi je zdanený, nakoľko neexistujú žiadne objektívne dôvody, aby sa rizikový predmet dane „pohyboval“ nezd</w:t>
      </w:r>
      <w:r>
        <w:rPr>
          <w:rFonts w:cs="Times New Roman"/>
        </w:rPr>
        <w:t>a</w:t>
      </w:r>
      <w:r>
        <w:rPr>
          <w:rFonts w:cs="Times New Roman"/>
        </w:rPr>
        <w:t>nený.</w:t>
      </w:r>
    </w:p>
    <w:p>
      <w:pPr>
        <w:pStyle w:val="BodyTextIndent"/>
        <w:spacing w:before="120"/>
        <w:ind w:firstLine="284"/>
        <w:rPr>
          <w:rFonts w:cs="Times New Roman"/>
        </w:rPr>
      </w:pPr>
      <w:r>
        <w:rPr>
          <w:rFonts w:cs="Times New Roman"/>
        </w:rPr>
        <w:t>Predmet dane sa stáva zdaniteľným už v čase výroby, pričom sa uplatňuje princíp cieľa, čo v praxi znamená, že daňová povinnosť vzniká pri uvoľnení predmetu spotrebnej dane pre konečnú spotrebu v krajine, kde ku konečnej spotrebe dochádza s výnimkou nákupu predmetov spotrebnej dane fyzickými osobami na súkromné úč</w:t>
      </w:r>
      <w:r>
        <w:rPr>
          <w:rFonts w:cs="Times New Roman"/>
        </w:rPr>
        <w:t>e</w:t>
      </w:r>
      <w:r>
        <w:rPr>
          <w:rFonts w:cs="Times New Roman"/>
        </w:rPr>
        <w:t>ly, kde je zachovaný princíp pôvodu.</w:t>
      </w:r>
    </w:p>
    <w:p>
      <w:pPr>
        <w:jc w:val="both"/>
        <w:rPr>
          <w:rFonts w:ascii="Arial Narrow" w:hAnsi="Arial Narrow" w:cs="Times New Roman"/>
          <w:b/>
          <w:sz w:val="22"/>
        </w:rPr>
      </w:pPr>
    </w:p>
    <w:p>
      <w:pPr>
        <w:spacing w:before="120"/>
        <w:jc w:val="both"/>
        <w:rPr>
          <w:rFonts w:ascii="Arial Narrow" w:hAnsi="Arial Narrow" w:cs="Times New Roman"/>
          <w:b/>
          <w:sz w:val="22"/>
        </w:rPr>
      </w:pPr>
      <w:r>
        <w:rPr>
          <w:rFonts w:ascii="Arial Narrow" w:hAnsi="Arial Narrow" w:cs="Times New Roman"/>
          <w:b/>
          <w:sz w:val="22"/>
        </w:rPr>
        <w:t>Zhodnotenie súčasného stavu</w:t>
      </w:r>
    </w:p>
    <w:p>
      <w:pPr>
        <w:spacing w:before="120"/>
        <w:ind w:firstLine="284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 xml:space="preserve">Vstupom Slovenskej republiky do Európskej únie nadobudol účinnosť zákon č. 105/2004 Z. z. o spotrebnej dani z liehu a o zmene a doplnení zákona č. 467/2002 Z. z. o výrobe a uvádzaní liehu na trh v znení zákona č. 211/2003 Z. z., v znení neskorších predpisov (ďalej len „zákon č. 105/2004  Z. z.). Zákonom </w:t>
      </w:r>
      <w:r>
        <w:rPr>
          <w:rFonts w:ascii="Arial Narrow" w:hAnsi="Arial Narrow" w:cs="Arial"/>
          <w:sz w:val="22"/>
        </w:rPr>
        <w:t>č. 105/2004 Z. z.</w:t>
      </w:r>
      <w:r>
        <w:rPr>
          <w:rFonts w:ascii="Arial Narrow" w:hAnsi="Arial Narrow" w:cs="Times New Roman"/>
          <w:sz w:val="22"/>
        </w:rPr>
        <w:t xml:space="preserve">  sa dosiahla </w:t>
      </w:r>
      <w:r>
        <w:rPr>
          <w:rFonts w:ascii="Arial Narrow" w:hAnsi="Arial Narrow" w:cs="Arial"/>
          <w:sz w:val="22"/>
        </w:rPr>
        <w:t>úplná zlučiteľnosti s právom Európskych spoločenstiev v oblasti držby, prepravy a kontroly tovarov podliehajúcich spotrebným daniam, štruktúry a sadzieb dane. Vytvoril sa uzavretý a relatívne ľahko kontrolovateľný systém v oblasti výroby a obehu liehu, čím sa</w:t>
      </w:r>
      <w:r>
        <w:rPr>
          <w:rFonts w:ascii="Arial Narrow" w:hAnsi="Arial Narrow" w:cs="Times New Roman"/>
          <w:sz w:val="22"/>
        </w:rPr>
        <w:t xml:space="preserve"> </w:t>
      </w:r>
      <w:r>
        <w:rPr>
          <w:rFonts w:ascii="Arial Narrow" w:hAnsi="Arial Narrow" w:cs="Arial"/>
          <w:sz w:val="22"/>
        </w:rPr>
        <w:t>výraznou mierou sprehľadnili materiálové toky pri pohybe liehu od jeho výroby, dovozu a distribúcie až po jeho konečnú spotrebu, a je tak možné v maximálnej miere min</w:t>
      </w:r>
      <w:r>
        <w:rPr>
          <w:rFonts w:ascii="Arial Narrow" w:hAnsi="Arial Narrow" w:cs="Arial"/>
          <w:sz w:val="22"/>
        </w:rPr>
        <w:t>i</w:t>
      </w:r>
      <w:r>
        <w:rPr>
          <w:rFonts w:ascii="Arial Narrow" w:hAnsi="Arial Narrow" w:cs="Arial"/>
          <w:sz w:val="22"/>
        </w:rPr>
        <w:t>malizovať a zamedziť nelegálne aktivity v oblasti trhu s liehom a liehovinami. </w:t>
      </w:r>
      <w:r>
        <w:rPr>
          <w:rFonts w:ascii="Arial Narrow" w:hAnsi="Arial Narrow" w:cs="Times New Roman"/>
          <w:sz w:val="22"/>
        </w:rPr>
        <w:t xml:space="preserve"> </w:t>
      </w:r>
    </w:p>
    <w:p>
      <w:pPr>
        <w:spacing w:before="120"/>
        <w:ind w:firstLine="284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 xml:space="preserve">Platný zákon o spotrebnej dani z liehu je založený </w:t>
      </w:r>
    </w:p>
    <w:p>
      <w:pPr>
        <w:pStyle w:val="BodyText2"/>
        <w:tabs>
          <w:tab w:val="clear" w:pos="360"/>
        </w:tabs>
        <w:spacing w:before="120" w:line="240" w:lineRule="auto"/>
        <w:rPr>
          <w:rFonts w:cs="Times New Roman"/>
        </w:rPr>
      </w:pPr>
      <w:r>
        <w:rPr>
          <w:rFonts w:cs="Times New Roman"/>
        </w:rPr>
        <w:t>- na existencii daňových skladov, ktorými sa môžu stať podniky na výrobu liehu a sklady liehu za podmienok ustanovených zák</w:t>
      </w:r>
      <w:r>
        <w:rPr>
          <w:rFonts w:cs="Times New Roman"/>
        </w:rPr>
        <w:t>o</w:t>
      </w:r>
      <w:r>
        <w:rPr>
          <w:rFonts w:cs="Times New Roman"/>
        </w:rPr>
        <w:t xml:space="preserve">nom, </w:t>
      </w:r>
    </w:p>
    <w:p>
      <w:pPr>
        <w:pStyle w:val="BodyText2"/>
        <w:tabs>
          <w:tab w:val="clear" w:pos="360"/>
        </w:tabs>
        <w:spacing w:before="120" w:line="240" w:lineRule="auto"/>
        <w:rPr>
          <w:rFonts w:cs="Times New Roman"/>
        </w:rPr>
      </w:pPr>
      <w:r>
        <w:rPr>
          <w:rFonts w:cs="Times New Roman"/>
        </w:rPr>
        <w:t>- na existencii užívateľských podnikov, ktoré sú v rámci podnikania oprávnené používať lieh oslobodený od spotrebnej dane,</w:t>
      </w:r>
    </w:p>
    <w:p>
      <w:pPr>
        <w:pStyle w:val="BodyText2"/>
        <w:tabs>
          <w:tab w:val="clear" w:pos="360"/>
        </w:tabs>
        <w:spacing w:before="120" w:line="240" w:lineRule="auto"/>
        <w:rPr>
          <w:rFonts w:cs="Times New Roman"/>
        </w:rPr>
      </w:pPr>
      <w:r>
        <w:rPr>
          <w:rFonts w:cs="Times New Roman"/>
        </w:rPr>
        <w:t xml:space="preserve">- na existencii oprávnených príjemcov, ktorí v rámci podnikania môžu prijímať lieh v pozastavení dane z iných členských štátov, </w:t>
      </w:r>
    </w:p>
    <w:p>
      <w:pPr>
        <w:pStyle w:val="BodyText2"/>
        <w:tabs>
          <w:tab w:val="clear" w:pos="360"/>
        </w:tabs>
        <w:spacing w:before="120" w:line="240" w:lineRule="auto"/>
        <w:rPr>
          <w:rFonts w:cs="Times New Roman"/>
        </w:rPr>
      </w:pPr>
      <w:r>
        <w:rPr>
          <w:rFonts w:cs="Times New Roman"/>
        </w:rPr>
        <w:t>- na m</w:t>
      </w:r>
      <w:r>
        <w:rPr>
          <w:rFonts w:cs="Times New Roman"/>
        </w:rPr>
        <w:t xml:space="preserve">onitorovaní pohybu liehu a liehovín, </w:t>
      </w:r>
    </w:p>
    <w:p>
      <w:pPr>
        <w:pStyle w:val="BodyText2"/>
        <w:tabs>
          <w:tab w:val="clear" w:pos="360"/>
        </w:tabs>
        <w:spacing w:before="120" w:line="240" w:lineRule="auto"/>
        <w:rPr>
          <w:rFonts w:cs="Times New Roman"/>
        </w:rPr>
      </w:pPr>
      <w:r>
        <w:rPr>
          <w:rFonts w:cs="Times New Roman"/>
        </w:rPr>
        <w:t>- na systéme finančných zábezpek vo výške spotrebnej dane pripadajúcej na množstvo liehu uvedeného do daňového voľného obehu za stanovené obdobie alebo prepravovaného v pozastavení dane.</w:t>
      </w:r>
    </w:p>
    <w:p>
      <w:pPr>
        <w:pStyle w:val="Heading5"/>
        <w:spacing w:before="0" w:line="240" w:lineRule="auto"/>
        <w:ind w:firstLine="0"/>
        <w:rPr>
          <w:rFonts w:cs="Times New Roman"/>
        </w:rPr>
      </w:pPr>
    </w:p>
    <w:p>
      <w:pPr>
        <w:pStyle w:val="Heading5"/>
        <w:spacing w:before="0" w:line="240" w:lineRule="auto"/>
        <w:ind w:firstLine="0"/>
        <w:rPr>
          <w:rFonts w:cs="Times New Roman"/>
        </w:rPr>
      </w:pPr>
      <w:r>
        <w:rPr>
          <w:rFonts w:cs="Times New Roman"/>
        </w:rPr>
        <w:t>Dôvody vypracovania návrhu nov</w:t>
      </w:r>
      <w:r>
        <w:rPr>
          <w:rFonts w:cs="Times New Roman"/>
        </w:rPr>
        <w:t>ého zákona</w:t>
      </w:r>
    </w:p>
    <w:p>
      <w:pPr>
        <w:pStyle w:val="BodyTextIndent2"/>
        <w:ind w:firstLine="284"/>
        <w:rPr>
          <w:rFonts w:cs="Times New Roman"/>
        </w:rPr>
      </w:pPr>
      <w:r>
        <w:rPr>
          <w:rFonts w:cs="Times New Roman"/>
        </w:rPr>
        <w:t>Hlavným dôvodom, ktorý viedol k vypracovaniu návrhu zákona, ktorým sa mení a dopĺňa zákon č. 105/2004 Z. z. bola potreba upresnenia niektorých ustanovení zákona vzhľadom na poznatky z uplatňovania zákona v praxi, najmä:</w:t>
      </w:r>
    </w:p>
    <w:p>
      <w:pPr>
        <w:numPr>
          <w:ilvl w:val="0"/>
          <w:numId w:val="17"/>
        </w:numPr>
        <w:tabs>
          <w:tab w:val="left" w:pos="720"/>
        </w:tabs>
        <w:spacing w:before="120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upresnenie definícií týka</w:t>
      </w:r>
      <w:r>
        <w:rPr>
          <w:rFonts w:ascii="Arial Narrow" w:hAnsi="Arial Narrow" w:cs="Times New Roman"/>
          <w:sz w:val="22"/>
        </w:rPr>
        <w:t>júcich sa podmienok oslobodenia od spotrebnej dane z liehu,</w:t>
      </w:r>
    </w:p>
    <w:p>
      <w:pPr>
        <w:numPr>
          <w:ilvl w:val="0"/>
          <w:numId w:val="17"/>
        </w:numPr>
        <w:tabs>
          <w:tab w:val="left" w:pos="720"/>
        </w:tabs>
        <w:spacing w:before="120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upresnenie definície užívateľského podniku,</w:t>
      </w:r>
    </w:p>
    <w:p>
      <w:pPr>
        <w:numPr>
          <w:ilvl w:val="0"/>
          <w:numId w:val="17"/>
        </w:numPr>
        <w:tabs>
          <w:tab w:val="left" w:pos="720"/>
        </w:tabs>
        <w:spacing w:before="120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upravenie používania aróm oslobodených od spotrebnej dane z liehu,</w:t>
      </w:r>
    </w:p>
    <w:p>
      <w:pPr>
        <w:spacing w:before="120"/>
        <w:ind w:left="360"/>
        <w:jc w:val="both"/>
        <w:rPr>
          <w:rFonts w:ascii="Arial Narrow" w:hAnsi="Arial Narrow" w:cs="Times New Roman"/>
          <w:sz w:val="22"/>
        </w:rPr>
      </w:pPr>
    </w:p>
    <w:p>
      <w:pPr>
        <w:numPr>
          <w:ilvl w:val="0"/>
          <w:numId w:val="17"/>
        </w:numPr>
        <w:tabs>
          <w:tab w:val="left" w:pos="720"/>
        </w:tabs>
        <w:spacing w:before="120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upresnenie definícií vzniku daňovej povinnosti,</w:t>
      </w:r>
    </w:p>
    <w:p>
      <w:pPr>
        <w:numPr>
          <w:ilvl w:val="0"/>
          <w:numId w:val="17"/>
        </w:numPr>
        <w:tabs>
          <w:tab w:val="left" w:pos="720"/>
        </w:tabs>
        <w:spacing w:before="120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upresnenie podmienok pre prevádzkovateľov liehovarníckych závodov na pestovateľské pálenie ovocia,</w:t>
      </w:r>
    </w:p>
    <w:p>
      <w:pPr>
        <w:numPr>
          <w:ilvl w:val="0"/>
          <w:numId w:val="17"/>
        </w:numPr>
        <w:tabs>
          <w:tab w:val="left" w:pos="720"/>
        </w:tabs>
        <w:spacing w:before="120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rozšírenie daňových skladov o nové typy daňových skladov, v ktorých možno v pozastavení dane lieh, prijímať, skladovať a odosielať a o sklad liehu, v ktorom sa lieh používa na výrobu aróm, mace</w:t>
      </w:r>
      <w:r>
        <w:rPr>
          <w:rFonts w:ascii="Arial Narrow" w:hAnsi="Arial Narrow" w:cs="Times New Roman"/>
          <w:sz w:val="22"/>
        </w:rPr>
        <w:t>rátov alebo extraktov,</w:t>
      </w:r>
    </w:p>
    <w:p>
      <w:pPr>
        <w:numPr>
          <w:ilvl w:val="0"/>
          <w:numId w:val="17"/>
        </w:numPr>
        <w:tabs>
          <w:tab w:val="left" w:pos="720"/>
        </w:tabs>
        <w:spacing w:before="120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 xml:space="preserve"> doplnenie povinnosti zaslať kópiu prvého dielu sprievodného dokumentu správcovi dane odosielateľa (dodávateľa) pred začatím prepravy,</w:t>
      </w:r>
    </w:p>
    <w:p>
      <w:pPr>
        <w:numPr>
          <w:ilvl w:val="0"/>
          <w:numId w:val="17"/>
        </w:numPr>
        <w:tabs>
          <w:tab w:val="left" w:pos="720"/>
        </w:tabs>
        <w:spacing w:before="120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upresnenie definície oprávneného príjemcu,</w:t>
      </w:r>
    </w:p>
    <w:p>
      <w:pPr>
        <w:numPr>
          <w:ilvl w:val="0"/>
          <w:numId w:val="17"/>
        </w:numPr>
        <w:tabs>
          <w:tab w:val="left" w:pos="720"/>
        </w:tabs>
        <w:spacing w:before="120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zavedenie povolení na predaj spotrebiteľského balenia liehu v daňovom voľnom obehu,</w:t>
      </w:r>
    </w:p>
    <w:p>
      <w:pPr>
        <w:numPr>
          <w:ilvl w:val="0"/>
          <w:numId w:val="17"/>
        </w:numPr>
        <w:tabs>
          <w:tab w:val="left" w:pos="720"/>
        </w:tabs>
        <w:spacing w:before="120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úprava definícií a výšky pokút.</w:t>
      </w:r>
    </w:p>
    <w:p>
      <w:pPr>
        <w:jc w:val="both"/>
        <w:rPr>
          <w:rFonts w:ascii="Arial Narrow" w:hAnsi="Arial Narrow" w:cs="Times New Roman"/>
          <w:b/>
          <w:sz w:val="22"/>
        </w:rPr>
      </w:pPr>
    </w:p>
    <w:p>
      <w:pPr>
        <w:spacing w:before="120"/>
        <w:jc w:val="both"/>
        <w:rPr>
          <w:rFonts w:ascii="Arial Narrow" w:hAnsi="Arial Narrow" w:cs="Times New Roman"/>
          <w:b/>
          <w:sz w:val="22"/>
        </w:rPr>
      </w:pPr>
      <w:r>
        <w:rPr>
          <w:rFonts w:ascii="Arial Narrow" w:hAnsi="Arial Narrow" w:cs="Times New Roman"/>
          <w:b/>
          <w:sz w:val="22"/>
        </w:rPr>
        <w:t xml:space="preserve">Vyhlásenie o súlade </w:t>
      </w:r>
    </w:p>
    <w:p>
      <w:pPr>
        <w:pStyle w:val="BodyTextIndent2"/>
        <w:spacing w:before="0"/>
        <w:ind w:firstLine="0"/>
        <w:rPr>
          <w:rFonts w:cs="Times New Roman"/>
        </w:rPr>
      </w:pPr>
    </w:p>
    <w:p>
      <w:pPr>
        <w:pStyle w:val="BodyText"/>
        <w:ind w:firstLine="284"/>
        <w:rPr>
          <w:rFonts w:cs="Times New Roman"/>
        </w:rPr>
      </w:pPr>
      <w:r>
        <w:rPr>
          <w:rFonts w:cs="Times New Roman"/>
        </w:rPr>
        <w:t>Návrh zákona je v súlade s Ústavou Slovenskej republiky, zákonmi Slovenskej republiky, medzinárodnými zmluvami a inými dokumentmi, ktorými je Slovenská republika viazaná.</w:t>
      </w:r>
    </w:p>
    <w:p>
      <w:pPr>
        <w:jc w:val="both"/>
        <w:rPr>
          <w:rFonts w:ascii="Arial Narrow" w:hAnsi="Arial Narrow" w:cs="Times New Roman"/>
          <w:sz w:val="22"/>
        </w:rPr>
      </w:pPr>
    </w:p>
    <w:p>
      <w:pPr>
        <w:ind w:left="360"/>
        <w:jc w:val="both"/>
        <w:rPr>
          <w:rFonts w:ascii="Arial Narrow" w:hAnsi="Arial Narrow" w:cs="Times New Roman"/>
          <w:b/>
          <w:sz w:val="22"/>
          <w:szCs w:val="22"/>
        </w:rPr>
      </w:pPr>
    </w:p>
    <w:p>
      <w:pPr>
        <w:ind w:firstLine="360"/>
        <w:jc w:val="both"/>
        <w:rPr>
          <w:rFonts w:ascii="Arial Narrow" w:hAnsi="Arial Narrow" w:cs="Times New Roman"/>
          <w:sz w:val="22"/>
          <w:szCs w:val="22"/>
        </w:rPr>
      </w:pPr>
    </w:p>
    <w:p>
      <w:pPr>
        <w:ind w:firstLine="360"/>
        <w:jc w:val="both"/>
        <w:rPr>
          <w:rFonts w:ascii="Arial Narrow" w:hAnsi="Arial Narrow" w:cs="Times New Roman"/>
          <w:sz w:val="22"/>
          <w:szCs w:val="22"/>
        </w:rPr>
      </w:pPr>
    </w:p>
    <w:p>
      <w:pPr>
        <w:ind w:firstLine="360"/>
        <w:jc w:val="both"/>
        <w:rPr>
          <w:rFonts w:ascii="Arial Narrow" w:hAnsi="Arial Narrow" w:cs="Times New Roman"/>
          <w:sz w:val="22"/>
          <w:szCs w:val="22"/>
        </w:rPr>
      </w:pPr>
    </w:p>
    <w:p>
      <w:pPr>
        <w:ind w:firstLine="360"/>
        <w:jc w:val="both"/>
        <w:rPr>
          <w:rFonts w:ascii="Arial Narrow" w:hAnsi="Arial Narrow" w:cs="Times New Roman"/>
          <w:sz w:val="22"/>
          <w:szCs w:val="22"/>
        </w:rPr>
      </w:pPr>
    </w:p>
    <w:p>
      <w:pPr>
        <w:ind w:firstLine="360"/>
        <w:jc w:val="both"/>
        <w:rPr>
          <w:rFonts w:ascii="Arial Narrow" w:hAnsi="Arial Narrow" w:cs="Times New Roman"/>
          <w:sz w:val="22"/>
          <w:szCs w:val="22"/>
        </w:rPr>
      </w:pPr>
    </w:p>
    <w:p>
      <w:pPr>
        <w:ind w:firstLine="360"/>
        <w:jc w:val="both"/>
        <w:rPr>
          <w:rFonts w:ascii="Arial Narrow" w:hAnsi="Arial Narrow" w:cs="Times New Roman"/>
          <w:sz w:val="22"/>
          <w:szCs w:val="22"/>
        </w:rPr>
      </w:pPr>
    </w:p>
    <w:p>
      <w:pPr>
        <w:ind w:firstLine="360"/>
        <w:jc w:val="both"/>
        <w:rPr>
          <w:rFonts w:ascii="Arial Narrow" w:hAnsi="Arial Narrow" w:cs="Times New Roman"/>
          <w:sz w:val="22"/>
          <w:szCs w:val="22"/>
        </w:rPr>
      </w:pPr>
    </w:p>
    <w:p>
      <w:pPr>
        <w:jc w:val="both"/>
        <w:rPr>
          <w:rFonts w:ascii="Arial Narrow" w:hAnsi="Arial Narrow" w:cs="Times New Roman"/>
          <w:sz w:val="22"/>
          <w:szCs w:val="22"/>
        </w:rPr>
      </w:pPr>
    </w:p>
    <w:sectPr>
      <w:footerReference w:type="even" r:id="rId4"/>
      <w:footerReference w:type="default" r:id="rId5"/>
      <w:pgSz w:w="11906" w:h="16838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page" w:x="10418" w:y="-43"/>
      <w:rPr>
        <w:rStyle w:val="PageNumber"/>
        <w:rFonts w:ascii="Times New Roman" w:hAnsi="Times New Roman" w:cs="Times New Roman"/>
        <w:sz w:val="16"/>
      </w:rPr>
    </w:pPr>
  </w:p>
  <w:p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0B6F"/>
    <w:multiLevelType w:val="hybridMultilevel"/>
    <w:tmpl w:val="9702AB6C"/>
    <w:lvl w:ilvl="0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/>
        <w:rtl w:val="0"/>
      </w:rPr>
    </w:lvl>
  </w:abstractNum>
  <w:abstractNum w:abstractNumId="1">
    <w:nsid w:val="129B768F"/>
    <w:multiLevelType w:val="singleLevel"/>
    <w:tmpl w:val="B52CD540"/>
    <w:lvl w:ilvl="0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">
    <w:nsid w:val="20F3517B"/>
    <w:multiLevelType w:val="hybridMultilevel"/>
    <w:tmpl w:val="68A025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22D912F1"/>
    <w:multiLevelType w:val="hybridMultilevel"/>
    <w:tmpl w:val="76040C4A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/>
        <w:rtl w:val="0"/>
      </w:rPr>
    </w:lvl>
  </w:abstractNum>
  <w:abstractNum w:abstractNumId="4">
    <w:nsid w:val="2A786996"/>
    <w:multiLevelType w:val="hybridMultilevel"/>
    <w:tmpl w:val="3482EF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5">
    <w:nsid w:val="2BE83080"/>
    <w:multiLevelType w:val="hybridMultilevel"/>
    <w:tmpl w:val="49EAE7FE"/>
    <w:lvl w:ilvl="0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F4DC5"/>
    <w:multiLevelType w:val="hybridMultilevel"/>
    <w:tmpl w:val="D13C7BD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">
    <w:nsid w:val="31C50285"/>
    <w:multiLevelType w:val="hybridMultilevel"/>
    <w:tmpl w:val="919A3CA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/>
        <w:rtl w:val="0"/>
      </w:rPr>
    </w:lvl>
  </w:abstractNum>
  <w:abstractNum w:abstractNumId="8">
    <w:nsid w:val="43A84F65"/>
    <w:multiLevelType w:val="hybridMultilevel"/>
    <w:tmpl w:val="1980A8FC"/>
    <w:lvl w:ilvl="0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Times New Roman"/>
        <w:rtl w:val="0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Times New Roman"/>
        <w:rtl w:val="0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Times New Roman"/>
        <w:rtl w:val="0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Times New Roman"/>
        <w:rtl w:val="0"/>
      </w:rPr>
    </w:lvl>
  </w:abstractNum>
  <w:abstractNum w:abstractNumId="9">
    <w:nsid w:val="43D2035D"/>
    <w:multiLevelType w:val="hybridMultilevel"/>
    <w:tmpl w:val="8CD08FB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">
    <w:nsid w:val="4E585AB8"/>
    <w:multiLevelType w:val="hybridMultilevel"/>
    <w:tmpl w:val="6810B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AF299D"/>
    <w:multiLevelType w:val="multilevel"/>
    <w:tmpl w:val="5A804E0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  <w:rtl w:val="0"/>
      </w:rPr>
    </w:lvl>
  </w:abstractNum>
  <w:abstractNum w:abstractNumId="12">
    <w:nsid w:val="5A4144F3"/>
    <w:multiLevelType w:val="hybridMultilevel"/>
    <w:tmpl w:val="8940E62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3">
    <w:nsid w:val="5DDD1FBC"/>
    <w:multiLevelType w:val="hybridMultilevel"/>
    <w:tmpl w:val="68C85E9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4">
    <w:nsid w:val="62907B63"/>
    <w:multiLevelType w:val="hybridMultilevel"/>
    <w:tmpl w:val="CBA06C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56344D"/>
    <w:multiLevelType w:val="hybridMultilevel"/>
    <w:tmpl w:val="7FF66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8A5F09"/>
    <w:multiLevelType w:val="hybridMultilevel"/>
    <w:tmpl w:val="DEAABFD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7">
    <w:nsid w:val="6949582A"/>
    <w:multiLevelType w:val="hybridMultilevel"/>
    <w:tmpl w:val="004A6B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B62683"/>
    <w:multiLevelType w:val="singleLevel"/>
    <w:tmpl w:val="768E8086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</w:lvl>
  </w:abstractNum>
  <w:abstractNum w:abstractNumId="19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C012AB4"/>
    <w:multiLevelType w:val="hybridMultilevel"/>
    <w:tmpl w:val="6E367A3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/>
        <w:rtl w:val="0"/>
      </w:rPr>
    </w:lvl>
  </w:abstractNum>
  <w:abstractNum w:abstractNumId="21">
    <w:nsid w:val="759E7A44"/>
    <w:multiLevelType w:val="multilevel"/>
    <w:tmpl w:val="9E5EE7C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/>
        <w:rtl w:val="0"/>
      </w:rPr>
    </w:lvl>
  </w:abstractNum>
  <w:abstractNum w:abstractNumId="22">
    <w:nsid w:val="7BC87C23"/>
    <w:multiLevelType w:val="hybridMultilevel"/>
    <w:tmpl w:val="2DFC9130"/>
    <w:lvl w:ilvl="0">
      <w:start w:val="0"/>
      <w:numFmt w:val="bullet"/>
      <w:lvlText w:val="-"/>
      <w:lvlJc w:val="left"/>
      <w:pPr>
        <w:tabs>
          <w:tab w:val="num" w:pos="510"/>
        </w:tabs>
        <w:ind w:left="510" w:hanging="170"/>
      </w:p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/>
        <w:rtl w:val="0"/>
      </w:r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10"/>
  </w:num>
  <w:num w:numId="5">
    <w:abstractNumId w:val="8"/>
  </w:num>
  <w:num w:numId="6">
    <w:abstractNumId w:val="22"/>
  </w:num>
  <w:num w:numId="7">
    <w:abstractNumId w:val="5"/>
  </w:num>
  <w:num w:numId="8">
    <w:abstractNumId w:val="5"/>
  </w:num>
  <w:num w:numId="9">
    <w:abstractNumId w:val="4"/>
  </w:num>
  <w:num w:numId="10">
    <w:abstractNumId w:val="6"/>
  </w:num>
  <w:num w:numId="11">
    <w:abstractNumId w:val="12"/>
  </w:num>
  <w:num w:numId="12">
    <w:abstractNumId w:val="13"/>
  </w:num>
  <w:num w:numId="13">
    <w:abstractNumId w:val="9"/>
  </w:num>
  <w:num w:numId="14">
    <w:abstractNumId w:val="18"/>
  </w:num>
  <w:num w:numId="15">
    <w:abstractNumId w:val="19"/>
  </w:num>
  <w:num w:numId="16">
    <w:abstractNumId w:val="0"/>
  </w:num>
  <w:num w:numId="17">
    <w:abstractNumId w:val="16"/>
  </w:num>
  <w:num w:numId="18">
    <w:abstractNumId w:val="14"/>
  </w:num>
  <w:num w:numId="19">
    <w:abstractNumId w:val="1"/>
  </w:num>
  <w:num w:numId="20">
    <w:abstractNumId w:val="11"/>
  </w:num>
  <w:num w:numId="21">
    <w:abstractNumId w:val="3"/>
  </w:num>
  <w:num w:numId="22">
    <w:abstractNumId w:val="17"/>
  </w:num>
  <w:num w:numId="23">
    <w:abstractNumId w:val="20"/>
  </w:num>
  <w:num w:numId="24">
    <w:abstractNumId w:val="7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autoHyphenation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ilvl w:val="0"/>
        <w:numId w:val="3"/>
      </w:numPr>
      <w:tabs>
        <w:tab w:val="left" w:pos="1080"/>
      </w:tabs>
      <w:ind w:left="1080" w:hanging="720"/>
      <w:jc w:val="both"/>
      <w:outlineLvl w:val="0"/>
    </w:pPr>
    <w:rPr>
      <w:rFonts w:ascii="Arial Narrow" w:hAnsi="Arial Narrow"/>
      <w:b/>
      <w:sz w:val="2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120" w:line="280" w:lineRule="atLeast"/>
      <w:ind w:firstLine="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qFormat/>
    <w:pPr>
      <w:keepNext/>
      <w:ind w:firstLine="284"/>
      <w:jc w:val="both"/>
      <w:outlineLvl w:val="2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uiPriority w:val="9"/>
    <w:qFormat/>
    <w:pPr>
      <w:keepNext/>
      <w:spacing w:line="280" w:lineRule="atLeast"/>
      <w:ind w:firstLine="360"/>
      <w:jc w:val="both"/>
      <w:outlineLvl w:val="3"/>
    </w:pPr>
    <w:rPr>
      <w:rFonts w:ascii="Arial Narrow" w:hAnsi="Arial Narrow"/>
      <w:b/>
      <w:sz w:val="22"/>
    </w:rPr>
  </w:style>
  <w:style w:type="paragraph" w:styleId="Heading5">
    <w:name w:val="heading 5"/>
    <w:basedOn w:val="Normal"/>
    <w:next w:val="Normal"/>
    <w:uiPriority w:val="9"/>
    <w:qFormat/>
    <w:pPr>
      <w:keepNext/>
      <w:tabs>
        <w:tab w:val="left" w:pos="0"/>
      </w:tabs>
      <w:spacing w:before="120" w:line="280" w:lineRule="atLeast"/>
      <w:ind w:hanging="180"/>
      <w:jc w:val="both"/>
      <w:outlineLvl w:val="4"/>
    </w:pPr>
    <w:rPr>
      <w:rFonts w:ascii="Arial Narrow" w:hAnsi="Arial Narrow"/>
      <w:b/>
      <w:sz w:val="22"/>
    </w:rPr>
  </w:style>
  <w:style w:type="paragraph" w:styleId="Heading6">
    <w:name w:val="heading 6"/>
    <w:basedOn w:val="Normal"/>
    <w:next w:val="Normal"/>
    <w:uiPriority w:val="9"/>
    <w:qFormat/>
    <w:pPr>
      <w:keepNext/>
      <w:tabs>
        <w:tab w:val="left" w:pos="0"/>
      </w:tabs>
      <w:jc w:val="both"/>
      <w:outlineLvl w:val="5"/>
    </w:pPr>
    <w:rPr>
      <w:rFonts w:ascii="Arial Narrow" w:hAnsi="Arial Narrow"/>
      <w:b/>
      <w:sz w:val="22"/>
    </w:rPr>
  </w:style>
  <w:style w:type="paragraph" w:styleId="Heading7">
    <w:name w:val="heading 7"/>
    <w:basedOn w:val="Normal"/>
    <w:next w:val="Normal"/>
    <w:uiPriority w:val="9"/>
    <w:qFormat/>
    <w:pPr>
      <w:keepNext/>
      <w:ind w:firstLine="540"/>
      <w:jc w:val="both"/>
      <w:outlineLvl w:val="6"/>
    </w:pPr>
    <w:rPr>
      <w:rFonts w:ascii="Arial Narrow" w:hAnsi="Arial Narrow"/>
      <w:b/>
      <w:sz w:val="22"/>
    </w:rPr>
  </w:style>
  <w:style w:type="paragraph" w:styleId="Heading8">
    <w:name w:val="heading 8"/>
    <w:basedOn w:val="Normal"/>
    <w:next w:val="Normal"/>
    <w:uiPriority w:val="9"/>
    <w:qFormat/>
    <w:pPr>
      <w:keepNext/>
      <w:jc w:val="center"/>
      <w:outlineLvl w:val="7"/>
    </w:pPr>
    <w:rPr>
      <w:rFonts w:ascii="Arial Narrow" w:hAnsi="Arial Narrow"/>
      <w:b/>
      <w:sz w:val="22"/>
      <w:szCs w:val="22"/>
    </w:rPr>
  </w:style>
  <w:style w:type="character" w:default="1" w:styleId="DefaultParagraphFont">
    <w:name w:val="Default Paragraph Font"/>
    <w:semiHidden/>
  </w:style>
  <w:style w:type="paragraph" w:customStyle="1" w:styleId="Zkladntext">
    <w:name w:val="Základní text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BodyText">
    <w:name w:val="Body Text"/>
    <w:aliases w:val="Základný text Char Char"/>
    <w:basedOn w:val="Normal"/>
    <w:pPr>
      <w:jc w:val="left"/>
    </w:pPr>
    <w:rPr>
      <w:rFonts w:ascii="Arial Narrow" w:hAnsi="Arial Narrow"/>
      <w:sz w:val="22"/>
    </w:rPr>
  </w:style>
  <w:style w:type="paragraph" w:styleId="Title">
    <w:name w:val="Title"/>
    <w:basedOn w:val="Normal"/>
    <w:uiPriority w:val="10"/>
    <w:qFormat/>
    <w:pPr>
      <w:jc w:val="center"/>
    </w:pPr>
    <w:rPr>
      <w:rFonts w:ascii="Arial Narrow" w:hAnsi="Arial Narrow"/>
      <w:b/>
      <w:bCs/>
      <w:sz w:val="22"/>
      <w:szCs w:val="28"/>
    </w:rPr>
  </w:style>
  <w:style w:type="paragraph" w:styleId="BodyTextIndent">
    <w:name w:val="Body Text Indent"/>
    <w:basedOn w:val="Normal"/>
    <w:pPr>
      <w:ind w:firstLine="360"/>
      <w:jc w:val="both"/>
    </w:pPr>
    <w:rPr>
      <w:rFonts w:ascii="Arial Narrow" w:hAnsi="Arial Narrow"/>
      <w:sz w:val="22"/>
    </w:rPr>
  </w:style>
  <w:style w:type="paragraph" w:styleId="BodyTextIndent2">
    <w:name w:val="Body Text Indent 2"/>
    <w:basedOn w:val="Normal"/>
    <w:pPr>
      <w:spacing w:before="120"/>
      <w:ind w:firstLine="340"/>
      <w:jc w:val="both"/>
    </w:pPr>
    <w:rPr>
      <w:rFonts w:ascii="Arial Narrow" w:hAnsi="Arial Narrow"/>
      <w:sz w:val="22"/>
    </w:rPr>
  </w:style>
  <w:style w:type="paragraph" w:styleId="BodyTextIndent3">
    <w:name w:val="Body Text Indent 3"/>
    <w:basedOn w:val="Normal"/>
    <w:pPr>
      <w:spacing w:line="280" w:lineRule="atLeast"/>
      <w:ind w:firstLine="357"/>
      <w:jc w:val="both"/>
    </w:pPr>
    <w:rPr>
      <w:rFonts w:ascii="Arial Narrow" w:hAnsi="Arial Narrow"/>
      <w:sz w:val="22"/>
    </w:rPr>
  </w:style>
  <w:style w:type="paragraph" w:styleId="BodyText2">
    <w:name w:val="Body Text 2"/>
    <w:basedOn w:val="Normal"/>
    <w:pPr>
      <w:tabs>
        <w:tab w:val="left" w:pos="360"/>
      </w:tabs>
      <w:spacing w:line="280" w:lineRule="atLeast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pPr>
      <w:tabs>
        <w:tab w:val="left" w:pos="360"/>
      </w:tabs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Textbubliny">
    <w:name w:val="Text bubliny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customStyle="1" w:styleId="Zkladntext0">
    <w:name w:val="Zkladn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0"/>
      <w:szCs w:val="20"/>
      <w:rtl w:val="0"/>
      <w:lang w:val="sk-SK" w:bidi="ar-SA"/>
    </w:rPr>
  </w:style>
  <w:style w:type="paragraph" w:customStyle="1" w:styleId="dka">
    <w:name w:val="dka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0"/>
      <w:szCs w:val="20"/>
      <w:rtl w:val="0"/>
      <w:lang w:val="sk-SK" w:bidi="ar-SA"/>
    </w:rPr>
  </w:style>
  <w:style w:type="paragraph" w:customStyle="1" w:styleId="smernice">
    <w:name w:val="smernice"/>
    <w:basedOn w:val="Zkladntext0"/>
    <w:pPr>
      <w:ind w:firstLine="357"/>
      <w:jc w:val="both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  <w:rtl w:val="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character" w:styleId="Hyperlink">
    <w:name w:val="Hyperlink"/>
    <w:basedOn w:val="DefaultParagraphFont"/>
    <w:rPr>
      <w:b/>
      <w:bCs/>
      <w:color w:val="002579"/>
      <w:u w:val="single"/>
      <w:rtl w:val="0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630</Words>
  <Characters>3596</Characters>
  <Application>Microsoft Office Word</Application>
  <DocSecurity>0</DocSecurity>
  <Lines>0</Lines>
  <Paragraphs>0</Paragraphs>
  <ScaleCrop>false</ScaleCrop>
  <Company>MFSR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s p r á v a</dc:title>
  <dc:creator>mchromiakova</dc:creator>
  <cp:lastModifiedBy>jingeliova</cp:lastModifiedBy>
  <cp:revision>2</cp:revision>
  <cp:lastPrinted>2006-02-22T11:15:00Z</cp:lastPrinted>
  <dcterms:created xsi:type="dcterms:W3CDTF">2006-02-22T11:55:00Z</dcterms:created>
  <dcterms:modified xsi:type="dcterms:W3CDTF">2006-02-22T11:55:00Z</dcterms:modified>
</cp:coreProperties>
</file>