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2CD3">
      <w:pPr>
        <w:pStyle w:val="nzovprvnehoaktuE"/>
        <w:spacing w:before="0"/>
        <w:rPr>
          <w:szCs w:val="24"/>
        </w:rPr>
      </w:pPr>
      <w:r>
        <w:rPr>
          <w:szCs w:val="24"/>
        </w:rPr>
        <w:t>Dôvodová správa</w:t>
      </w:r>
    </w:p>
    <w:p w:rsidR="00FE2CD3">
      <w:pPr>
        <w:jc w:val="center"/>
        <w:rPr>
          <w:b/>
        </w:rPr>
      </w:pPr>
    </w:p>
    <w:p w:rsidR="00FE2CD3">
      <w:pPr>
        <w:jc w:val="center"/>
        <w:rPr>
          <w:b/>
        </w:rPr>
      </w:pPr>
    </w:p>
    <w:p w:rsidR="00316DCA">
      <w:pPr>
        <w:jc w:val="center"/>
        <w:rPr>
          <w:b/>
        </w:rPr>
      </w:pPr>
    </w:p>
    <w:p w:rsidR="0025489F">
      <w:pPr>
        <w:jc w:val="center"/>
        <w:rPr>
          <w:b/>
        </w:rPr>
      </w:pPr>
    </w:p>
    <w:p w:rsidR="00FE2CD3">
      <w:pPr>
        <w:rPr>
          <w:b/>
        </w:rPr>
      </w:pPr>
      <w:r>
        <w:rPr>
          <w:b/>
        </w:rPr>
        <w:t>Všeobecná časť</w:t>
      </w:r>
    </w:p>
    <w:p w:rsidR="00FE2CD3">
      <w:pPr>
        <w:rPr>
          <w:b/>
        </w:rPr>
      </w:pPr>
    </w:p>
    <w:p w:rsidR="00FE2CD3">
      <w:pPr>
        <w:rPr>
          <w:b/>
        </w:rPr>
      </w:pPr>
    </w:p>
    <w:p w:rsidR="00FE2CD3">
      <w:pPr>
        <w:jc w:val="both"/>
      </w:pPr>
      <w:r>
        <w:rPr>
          <w:b/>
        </w:rPr>
        <w:tab/>
      </w:r>
      <w:r>
        <w:t>Návrhom zákona, ktorým sa mení a dopĺňa zákon č. 152/1995 Z. z. o potravinách v  znení neskorších predpisov sa vykonávajú v právnom poriadku Slovenskej republiky ustanovenia nariadenia Európskeho parlamentu a Rady (ES)</w:t>
      </w:r>
      <w:r>
        <w:t xml:space="preserve"> </w:t>
      </w:r>
      <w:r>
        <w:rPr>
          <w:caps/>
        </w:rPr>
        <w:t xml:space="preserve"> </w:t>
      </w:r>
      <w:r>
        <w:t xml:space="preserve">č. </w:t>
      </w:r>
      <w:r>
        <w:rPr>
          <w:caps/>
        </w:rPr>
        <w:t xml:space="preserve">882/2004 </w:t>
      </w:r>
      <w:r>
        <w:rPr>
          <w:bCs/>
        </w:rPr>
        <w:t xml:space="preserve">z 29. apríla 2004 </w:t>
      </w:r>
      <w:r>
        <w:t xml:space="preserve">o úradných kontrolách uskutočňovaných za účelom zabezpečenia overenia dodržiavania potravinového a krmivového práva a predpisov o zdraví zvierat a o starostlivosti o zvieratá a nariadenia Európskeho parlamentu a Rady (ES) </w:t>
      </w:r>
      <w:r>
        <w:rPr>
          <w:caps/>
        </w:rPr>
        <w:t xml:space="preserve"> </w:t>
      </w:r>
      <w:r>
        <w:t>č</w:t>
      </w:r>
      <w:r>
        <w:t xml:space="preserve">. </w:t>
      </w:r>
      <w:r>
        <w:rPr>
          <w:caps/>
        </w:rPr>
        <w:t xml:space="preserve">852/2004 </w:t>
      </w:r>
      <w:r>
        <w:t>z 29. apríla 2004</w:t>
      </w:r>
      <w:r>
        <w:rPr>
          <w:caps/>
        </w:rPr>
        <w:t xml:space="preserve"> </w:t>
      </w:r>
      <w:r>
        <w:t xml:space="preserve">o hygiene potravín. Tieto sú záväzné v celom rozsahu a priamo uplatnitelné v členských štátoch od 1. januára 2006, avšak ich aplikácia v praxi si vyžaduje zmenu zákona v oblasti pôsobnosti a úloh orgánov štátnej správy na úseku výkonu úradnej kontroly potravín a v oblasti povinností prevádzkovateľov potravinárskych podnikov. Novela zákona tiež vykonáva niektoré legislatívno – technické úpravy, ktoré sa týkajú súladu s nariadením Európskeho parlamentu a Rady (ES) č.178/2002 </w:t>
      </w:r>
      <w:r>
        <w:rPr>
          <w:bCs/>
        </w:rPr>
        <w:t>z 28. januára 2002, ktorým sa ustanovujú všeobecné zásady a požiadavky potravinového práva, zriaďuje Európsky úrad pre bezpečnosť potravín a stanovujú postupy v záležitostiach bezpečnosti potravín</w:t>
      </w:r>
      <w:r>
        <w:t>, ktoré bolo aproximované do zákona pred vstupom Slovenskej republiky do Európskej únie, ale ktoré vyplynuli z aplikácie zákona v praxi. Novela zosúlaďuje platnú právnu úpravu  a  vytvára podmienky pre náležitú implementáciu novoprijatých právne záväzných aktov Európskych spoločenstiev a Európskej únie.</w:t>
      </w:r>
    </w:p>
    <w:p w:rsidR="00FE2CD3">
      <w:pPr>
        <w:jc w:val="both"/>
      </w:pPr>
    </w:p>
    <w:p w:rsidR="00FE2CD3">
      <w:pPr>
        <w:jc w:val="both"/>
      </w:pPr>
      <w:r>
        <w:tab/>
        <w:t>Predkladaný návrh zákona  ustanovuje nové požiadavky na výkon úradných kontrol potravín, ktoré nie sú v  súčasne platnej právnej úprave riešené a súvisia s prijatím  nariadenia č.882/2004. Upravuje na národnej úrovni pôsobnosti a úlohy orgánov štátnej správy pre vykonan</w:t>
      </w:r>
      <w:r>
        <w:t xml:space="preserve">ie  úradných   kontrol   v   praxi   v  súlade s postupmi v Európskej únii platnými od 1. januára 2006. </w:t>
      </w:r>
    </w:p>
    <w:p w:rsidR="00FE2CD3">
      <w:pPr>
        <w:jc w:val="both"/>
      </w:pPr>
    </w:p>
    <w:p w:rsidR="00FE2CD3">
      <w:pPr>
        <w:ind w:firstLine="708"/>
        <w:jc w:val="both"/>
      </w:pPr>
      <w:r>
        <w:t xml:space="preserve">Nariadenie Rady č. 882/2004 o úradných kontrolách uskutočňovaných za účelom zabezpečenia overenia dodržiavania potravinového a krmivového práva a predpisov o zdraví zvierat a o starostlivosti o zvieratá stanovuje všeobecné pravidlá pre vykonávanie úradných kontrol za účelom overovania dodržiavania predpisov prevádzkovateľmi a ustanovuje členským štátom, aby pravidelne vykonávali úradné kontroly a zabezpečili primerané finančné prostriedky na ich realizáciu. Ďalej upravuje všeobecné povinnosti organizovania úradných kontrol, menovanie príslušných orgánov a ich prevádzkové kritériá, delegovanie osobitných úloh súvisiacich s úradnými kontrolami, uskutočňovanie auditov, metódy odberu vzoriek a analýzy, kritériá na úradné laboratóriá, národné referenčné laboratóriá a ich menovanie, tvorba pohotovostných plánov a viacročného integrovaného plánu kontroly členského štátu, administratívna spolupráca orgánov úradnej kontroly v rámci Spoločenstva, podmienky a kontrola importu potravín, atď. </w:t>
      </w:r>
    </w:p>
    <w:p w:rsidR="00FE2CD3">
      <w:pPr>
        <w:ind w:firstLine="708"/>
        <w:jc w:val="both"/>
      </w:pPr>
    </w:p>
    <w:p w:rsidR="0025489F">
      <w:pPr>
        <w:ind w:firstLine="708"/>
        <w:jc w:val="both"/>
      </w:pPr>
    </w:p>
    <w:p w:rsidR="0025489F">
      <w:pPr>
        <w:ind w:firstLine="708"/>
        <w:jc w:val="both"/>
      </w:pPr>
    </w:p>
    <w:p w:rsidR="0025489F">
      <w:pPr>
        <w:ind w:firstLine="708"/>
        <w:jc w:val="both"/>
      </w:pPr>
    </w:p>
    <w:p w:rsidR="0025489F">
      <w:pPr>
        <w:ind w:firstLine="708"/>
        <w:jc w:val="both"/>
      </w:pPr>
    </w:p>
    <w:p w:rsidR="00FE2CD3">
      <w:pPr>
        <w:ind w:firstLine="708"/>
        <w:jc w:val="both"/>
      </w:pPr>
      <w:r>
        <w:t xml:space="preserve">Cieľom implementácie nariadenia Rady č.882/2004 je zharmonizovať výkon úradnej kontroly potravín v  podmienkach Slovenskej republiky so zosúladeným rámcom všeobecných predpisov na organizovanie kontrol v Európskom spoločenstve. Vytvorením rovnocenných podmienok pre organizáciu úradných kontrol sa vytvára priestor pre vykonávanie kontrol nediskriminačným spôsobom a zabezpečuje sa rovnocenný dohľad nad výrobou, spracovaním a uvádzaním potravín na trh v Spoločenstve, s cieľom prioritne zabezpečiť produkciu bezpečných potravín s prioritným cieľom ochrany zdravia a spotrebiteľa. </w:t>
      </w:r>
    </w:p>
    <w:p w:rsidR="00FE2CD3">
      <w:pPr>
        <w:jc w:val="both"/>
      </w:pPr>
      <w:r>
        <w:t xml:space="preserve"> </w:t>
      </w:r>
    </w:p>
    <w:p w:rsidR="00FE2CD3">
      <w:pPr>
        <w:jc w:val="both"/>
      </w:pPr>
      <w:r>
        <w:tab/>
        <w:t>V súlade s  novou legislatívou Európskeho Spoločenstva pre hygienu potravín predstavovanú nariadením</w:t>
      </w:r>
      <w:r>
        <w:t xml:space="preserve"> Európskeho parlamentu a Rady (ES) </w:t>
      </w:r>
      <w:r>
        <w:rPr>
          <w:caps/>
        </w:rPr>
        <w:t xml:space="preserve"> </w:t>
      </w:r>
      <w:r>
        <w:t xml:space="preserve">č. </w:t>
      </w:r>
      <w:r>
        <w:rPr>
          <w:caps/>
        </w:rPr>
        <w:t xml:space="preserve">852/2004 </w:t>
      </w:r>
      <w:r>
        <w:t>z 29. apríla 2004</w:t>
      </w:r>
      <w:r>
        <w:rPr>
          <w:caps/>
        </w:rPr>
        <w:t xml:space="preserve"> </w:t>
      </w:r>
      <w:r>
        <w:t>o hygiene potravín s účinnosťou od 1.1.2006, je potrebné novelou zákona upraviť zodpovednosti prevádzkovateľov potravinárskeho priemyslu a  zabezpečiť, aby výroba, manipulácia a uvádzanie potravín na trh v Slovenskej republike sa uskutočňovali za rovnocenných hygienických podmienok v  rámci Európskeho spoločenstva. Predkladaným návrhom sa upravujú povinnosti prevádzkovateľov potravinárskeho priemyslu registrovať prevádzky u orgánov potravinového dozoru a pri svojej činnosti plniť hygienické požiadavky ustanovené týmto nariadením.</w:t>
      </w:r>
    </w:p>
    <w:p w:rsidR="00FE2CD3">
      <w:pPr>
        <w:jc w:val="both"/>
      </w:pPr>
    </w:p>
    <w:p w:rsidR="00FE2CD3">
      <w:pPr>
        <w:jc w:val="both"/>
      </w:pPr>
      <w:r>
        <w:tab/>
        <w:t xml:space="preserve">Skúsenosti s aplikáciou zákona v praxi po vstupe Slovenskej republiky do Európskej Únie ukázali, že je potrebné vykonať legislatívno – technické úpravy súvisiace s implementáciou nariadenia č. 178/2002. Návrh novely zákona vytvára praktické podmienky pre uplatňovanie princípu hodnotenia rizika, zosúlaďuje podmienky dovozu a vývozu potravín v spoločnom európskom priestore, upravuje sa definícia bezpečných potravín.   </w:t>
      </w:r>
    </w:p>
    <w:p w:rsidR="00FE2CD3">
      <w:pPr>
        <w:jc w:val="both"/>
      </w:pPr>
      <w:r>
        <w:t xml:space="preserve">   </w:t>
      </w:r>
    </w:p>
    <w:p w:rsidR="00FE2CD3">
      <w:pPr>
        <w:jc w:val="both"/>
      </w:pPr>
      <w:r>
        <w:tab/>
        <w:t>Návrh zákona nezakladá nároky na štátny rozpočet, nemá vplyv na rozpočet obcí a vyšších územných celkov a nemá vplyv na zamestnanosť a životné prostredie ani podnikateľské prostredie. Návrh zákona je v súlade s Ústavou Slovenskej republiky, zákonmi a</w:t>
      </w:r>
      <w:r>
        <w:t xml:space="preserve"> medzinárodnými zmluvami a inými medzinárodnými dokumentmi, ktorými je Slovenská republika viazaná. </w:t>
      </w:r>
    </w:p>
    <w:p w:rsidR="00FE2CD3">
      <w:pPr>
        <w:jc w:val="both"/>
      </w:pPr>
    </w:p>
    <w:p w:rsidR="00FE2CD3">
      <w:pPr>
        <w:jc w:val="both"/>
      </w:pPr>
      <w:r w:rsidR="00183C17">
        <w:tab/>
        <w:t>Ministerstvo financií SR listom č. MF/26170/2005-81 z 10. novembra 2005  vzalo na vedomie, že návrh zákona nezakladá nároky na štátny rozpočet, nemá vplyv na rozpočet obcí a rozpočty vyšších územných celkov a nemá vplyv na zamestnanosť a na životné prostredie ani na podnikateľské prostredie.</w:t>
      </w:r>
    </w:p>
    <w:p w:rsidR="00FE2CD3">
      <w:pPr>
        <w:jc w:val="both"/>
      </w:pPr>
    </w:p>
    <w:p w:rsidR="00316DCA">
      <w:pPr>
        <w:jc w:val="both"/>
      </w:pPr>
    </w:p>
    <w:p w:rsidR="00316DCA">
      <w:pPr>
        <w:jc w:val="both"/>
      </w:pPr>
    </w:p>
    <w:p w:rsidR="00FE2CD3">
      <w:pPr>
        <w:jc w:val="both"/>
      </w:pPr>
    </w:p>
    <w:p w:rsidR="00FE2CD3">
      <w:pPr>
        <w:jc w:val="center"/>
        <w:rPr>
          <w:b/>
          <w:caps/>
          <w:lang w:eastAsia="cs-CZ"/>
        </w:rPr>
      </w:pPr>
      <w:r>
        <w:rPr>
          <w:b/>
          <w:caps/>
          <w:lang w:eastAsia="cs-CZ"/>
        </w:rPr>
        <w:t>Doložka zlučiteľnosti</w:t>
      </w:r>
    </w:p>
    <w:p w:rsidR="00FE2CD3">
      <w:pPr>
        <w:jc w:val="center"/>
        <w:rPr>
          <w:b/>
          <w:lang w:eastAsia="cs-CZ"/>
        </w:rPr>
      </w:pPr>
      <w:r>
        <w:rPr>
          <w:b/>
          <w:lang w:eastAsia="cs-CZ"/>
        </w:rPr>
        <w:t xml:space="preserve">právneho predpisu </w:t>
      </w:r>
    </w:p>
    <w:p w:rsidR="00FE2CD3">
      <w:pPr>
        <w:jc w:val="center"/>
        <w:rPr>
          <w:b/>
          <w:lang w:eastAsia="cs-CZ"/>
        </w:rPr>
      </w:pPr>
      <w:r>
        <w:rPr>
          <w:b/>
          <w:lang w:eastAsia="cs-CZ"/>
        </w:rPr>
        <w:t>s právom Európskych spoločenstiev a Európskej únie</w:t>
      </w:r>
    </w:p>
    <w:p w:rsidR="00FE2CD3">
      <w:pPr>
        <w:jc w:val="center"/>
        <w:rPr>
          <w:b/>
          <w:lang w:eastAsia="cs-CZ"/>
        </w:rPr>
      </w:pPr>
    </w:p>
    <w:p w:rsidR="00FE2CD3">
      <w:r>
        <w:rPr>
          <w:b/>
        </w:rPr>
        <w:t>1.      Predkladateľ právneho predpisu: v</w:t>
      </w:r>
      <w:r>
        <w:t>láda Slovenskej republiky</w:t>
      </w:r>
    </w:p>
    <w:p w:rsidR="00FE2CD3">
      <w:pPr>
        <w:rPr>
          <w:b/>
        </w:rPr>
      </w:pPr>
    </w:p>
    <w:p w:rsidR="00FE2CD3">
      <w:r>
        <w:rPr>
          <w:b/>
        </w:rPr>
        <w:t>2.      Názov návrhu právneho predpisu:</w:t>
      </w:r>
    </w:p>
    <w:p w:rsidR="00FE2CD3" w:rsidP="002D1745">
      <w:pPr>
        <w:overflowPunct w:val="0"/>
        <w:autoSpaceDE w:val="0"/>
        <w:autoSpaceDN w:val="0"/>
        <w:adjustRightInd w:val="0"/>
        <w:ind w:left="540" w:hanging="540"/>
        <w:jc w:val="both"/>
        <w:rPr>
          <w:lang w:val="cs-CZ" w:eastAsia="cs-CZ"/>
        </w:rPr>
      </w:pPr>
      <w:r w:rsidR="002D1745">
        <w:t xml:space="preserve">         </w:t>
      </w:r>
      <w:r>
        <w:t xml:space="preserve">Návrh zákona, ktorým sa mení a dopĺňa zákon </w:t>
      </w:r>
      <w:r w:rsidR="002D1745">
        <w:t xml:space="preserve">Národnej rady Slovenskej republiky </w:t>
      </w:r>
      <w:r>
        <w:t>č. 152/1995 Z. z. o potravinách v znení neskorších predpisov a  o  zmene a dopl</w:t>
      </w:r>
      <w:r>
        <w:t>není niektorých zákonov</w:t>
      </w:r>
    </w:p>
    <w:p w:rsidR="00AF267F" w:rsidP="00AF267F"/>
    <w:p w:rsidR="0025489F" w:rsidP="00AF267F"/>
    <w:p w:rsidR="00AF267F" w:rsidP="00AF267F">
      <w:pPr>
        <w:rPr>
          <w:b/>
        </w:rPr>
      </w:pPr>
      <w:r>
        <w:rPr>
          <w:b/>
        </w:rPr>
        <w:t>3.      Problematika návrhu právneho predpisu:</w:t>
      </w:r>
    </w:p>
    <w:p w:rsidR="00AF267F" w:rsidP="00AF267F">
      <w:r>
        <w:t>a)      je upravená v práve Európskych spoločenstiev</w:t>
      </w:r>
    </w:p>
    <w:p w:rsidR="00AF267F" w:rsidP="00AF267F"/>
    <w:p w:rsidR="00AF267F" w:rsidP="00AF267F">
      <w:r>
        <w:t>-     v primárnom práve</w:t>
      </w:r>
    </w:p>
    <w:p w:rsidR="00AF267F" w:rsidP="00AF267F">
      <w:r>
        <w:t>V hlave II Zmluvy o založení Európskeho spoločenstva, najmä čl. 37.</w:t>
      </w:r>
    </w:p>
    <w:p w:rsidR="00AF267F" w:rsidP="00AF267F"/>
    <w:p w:rsidR="00AF267F" w:rsidP="00AF267F">
      <w:r>
        <w:t xml:space="preserve">-     v sekundárnom práve </w:t>
      </w:r>
    </w:p>
    <w:p w:rsidR="00AF267F" w:rsidRPr="00573207" w:rsidP="00AF267F">
      <w:pPr>
        <w:numPr>
          <w:ilvl w:val="0"/>
          <w:numId w:val="26"/>
        </w:numPr>
        <w:jc w:val="both"/>
        <w:rPr>
          <w:rStyle w:val="Emphasis"/>
          <w:i w:val="0"/>
        </w:rPr>
      </w:pPr>
      <w:r>
        <w:t>Nariadeni</w:t>
      </w:r>
      <w:r>
        <w:t xml:space="preserve">e </w:t>
      </w:r>
      <w:r>
        <w:rPr>
          <w:iCs/>
        </w:rPr>
        <w:t>Európskeho Parlamentu</w:t>
      </w:r>
      <w:r>
        <w:t xml:space="preserve"> a Rady (ES) č. 178/2002 z 28. januára 2002 ktoré ustanovuje všeobecné zásady a požiadavky zákona o potravinách, zriaďuje Európsky úrad pre bezpečnosť potravín a ktoré ustanovuje postupy v záležitostiach bezpečnosti potravín (Ú. v. E</w:t>
      </w:r>
      <w:r>
        <w:t xml:space="preserve">S L 31, 01.02.2002) v znení </w:t>
      </w:r>
      <w:r w:rsidRPr="00290AEA">
        <w:t>nariadenia</w:t>
      </w:r>
      <w:r w:rsidRPr="00290AEA">
        <w:rPr>
          <w:rStyle w:val="formtitledesc1"/>
          <w:b w:val="0"/>
        </w:rPr>
        <w:t xml:space="preserve"> </w:t>
      </w:r>
      <w:r w:rsidRPr="00573207">
        <w:rPr>
          <w:rStyle w:val="formtitledesc1"/>
          <w:b w:val="0"/>
        </w:rPr>
        <w:t xml:space="preserve">(ES) č. 1642/2003 </w:t>
      </w:r>
      <w:r w:rsidRPr="00573207">
        <w:rPr>
          <w:rStyle w:val="Emphasis"/>
          <w:i w:val="0"/>
        </w:rPr>
        <w:t>(Ú.  v. EÚ L 245, 29.9.2003)</w:t>
      </w:r>
    </w:p>
    <w:p w:rsidR="00AF267F" w:rsidRPr="00573207" w:rsidP="00AF267F">
      <w:pPr>
        <w:numPr>
          <w:ilvl w:val="0"/>
          <w:numId w:val="26"/>
        </w:numPr>
        <w:jc w:val="both"/>
      </w:pPr>
      <w:r w:rsidRPr="00573207">
        <w:t>Nariadenie</w:t>
      </w:r>
      <w:r w:rsidRPr="00573207">
        <w:rPr>
          <w:iCs/>
        </w:rPr>
        <w:t xml:space="preserve"> Európskeho Parlamentu a Rady č. 852/2004 z 29. apríla 2004 o  hygiene potravín (Ú. v. EÚ L 139, 30.04.2004) v platnom znení </w:t>
      </w:r>
    </w:p>
    <w:p w:rsidR="00AF267F" w:rsidP="00AF267F">
      <w:pPr>
        <w:numPr>
          <w:ilvl w:val="0"/>
          <w:numId w:val="26"/>
        </w:numPr>
        <w:jc w:val="both"/>
        <w:rPr>
          <w:iCs/>
        </w:rPr>
      </w:pPr>
      <w:r>
        <w:t>Nariadenie Európskeho parlamentu a Rady č. 882/2004 o úradných kontrolách uskutočňovaných za účelom zabezpečenia poverenia dodržiavania potravinového a krmovinového práva a predpisov o zdraví zvierat a o starostlivosti o zvieratá (Ú. v. EÚ L 165 30.04. 2004) v platnom znení</w:t>
      </w:r>
    </w:p>
    <w:p w:rsidR="00FE2CD3">
      <w:pPr>
        <w:overflowPunct w:val="0"/>
        <w:autoSpaceDE w:val="0"/>
        <w:autoSpaceDN w:val="0"/>
        <w:adjustRightInd w:val="0"/>
        <w:jc w:val="both"/>
        <w:rPr>
          <w:lang w:eastAsia="cs-CZ"/>
        </w:rPr>
      </w:pPr>
    </w:p>
    <w:p w:rsidR="00FE2CD3">
      <w:pPr>
        <w:ind w:firstLine="360"/>
      </w:pPr>
      <w:r>
        <w:t>b) </w:t>
      </w:r>
      <w:r w:rsidR="00AF267F">
        <w:t xml:space="preserve"> </w:t>
      </w:r>
      <w:r>
        <w:t>nie je upr</w:t>
      </w:r>
      <w:r>
        <w:t>avená v práve Európskej únie,</w:t>
      </w:r>
    </w:p>
    <w:p w:rsidR="00FE2CD3"/>
    <w:p w:rsidR="00FE2CD3" w:rsidP="00AF267F">
      <w:pPr>
        <w:ind w:left="720" w:hanging="360"/>
      </w:pPr>
      <w:r>
        <w:t xml:space="preserve">c) </w:t>
      </w:r>
      <w:r w:rsidR="00AF267F">
        <w:t xml:space="preserve"> </w:t>
      </w:r>
      <w:r>
        <w:t>nie je obsiahnutá v judikatúre Súdneho dvora Európskych spoločenstiev alebo Súdu prvého stupňa Európskych spoločenstiev.</w:t>
      </w:r>
    </w:p>
    <w:p w:rsidR="00FE2CD3">
      <w:pPr>
        <w:ind w:left="360"/>
      </w:pPr>
    </w:p>
    <w:p w:rsidR="00316DCA">
      <w:pPr>
        <w:ind w:left="360"/>
      </w:pPr>
    </w:p>
    <w:p w:rsidR="00FE2CD3">
      <w:pPr>
        <w:pStyle w:val="BodyText"/>
      </w:pPr>
      <w:r>
        <w:t>4. Záväzky Slovenskej republiky vo vzťahu k Európskym spoločenstvám a Európskej únii:</w:t>
      </w:r>
    </w:p>
    <w:p w:rsidR="00FE2CD3">
      <w:pPr>
        <w:ind w:left="357"/>
        <w:jc w:val="both"/>
        <w:rPr>
          <w:lang w:eastAsia="cs-CZ"/>
        </w:rPr>
      </w:pPr>
      <w:r>
        <w:rPr>
          <w:lang w:eastAsia="cs-CZ"/>
        </w:rPr>
        <w:t xml:space="preserve">a)     </w:t>
      </w:r>
      <w:r>
        <w:t>Záväz</w:t>
      </w:r>
      <w:r>
        <w:t>ky vyplývajú zo Zmluvy o pristúpení Slovenskej republiky k Európskej únii, najmä z Aktu o podmienkach pristúpenia.</w:t>
      </w:r>
    </w:p>
    <w:p w:rsidR="00FE2CD3">
      <w:pPr>
        <w:ind w:left="357"/>
        <w:jc w:val="both"/>
        <w:rPr>
          <w:lang w:eastAsia="cs-CZ"/>
        </w:rPr>
      </w:pPr>
      <w:r>
        <w:rPr>
          <w:lang w:eastAsia="cs-CZ"/>
        </w:rPr>
        <w:t>b)     V rámci Aktu o podmienkach pristúpenia pripojenom k Zmluve o pristúpení Slovenskej republiky k Európskej únii nebolo v danej oblasti d</w:t>
      </w:r>
      <w:r>
        <w:rPr>
          <w:lang w:eastAsia="cs-CZ"/>
        </w:rPr>
        <w:t>ohodnuté žiadne prechodné obdobie,</w:t>
      </w:r>
    </w:p>
    <w:p w:rsidR="00FE2CD3">
      <w:pPr>
        <w:ind w:left="357"/>
        <w:jc w:val="both"/>
        <w:rPr>
          <w:lang w:eastAsia="cs-CZ"/>
        </w:rPr>
      </w:pPr>
      <w:r>
        <w:rPr>
          <w:lang w:eastAsia="cs-CZ"/>
        </w:rPr>
        <w:t>c)     Pre Slovenskú republiku takisto vyplýva povinnosť z lehoty na implementáciu pre nariadenie č. 882/2004 a č. 852/2004 - 1. 1. 2006.</w:t>
      </w:r>
    </w:p>
    <w:p w:rsidR="00FE2CD3">
      <w:pPr>
        <w:ind w:left="357"/>
        <w:jc w:val="both"/>
        <w:rPr>
          <w:lang w:eastAsia="cs-CZ"/>
        </w:rPr>
      </w:pPr>
      <w:r>
        <w:rPr>
          <w:lang w:eastAsia="cs-CZ"/>
        </w:rPr>
        <w:t>d)     V danej oblasti nebolo začaté konanie proti Slovenskej republike o porušení Zmluvy o založení Európskych spoločenstiev podľa čl. 226 až 228 Zmluvy o založení Európskych spoločenstiev v platnom znení.</w:t>
      </w:r>
    </w:p>
    <w:p w:rsidR="00FE2CD3">
      <w:pPr>
        <w:ind w:left="357"/>
        <w:jc w:val="both"/>
        <w:rPr>
          <w:lang w:eastAsia="cs-CZ"/>
        </w:rPr>
      </w:pPr>
      <w:r>
        <w:rPr>
          <w:lang w:eastAsia="cs-CZ"/>
        </w:rPr>
        <w:t>e)</w:t>
        <w:tab/>
        <w:t xml:space="preserve">   Právne predpisy, v ktorých sú preberané právne akty Európskych spoločenstiev už prebraté:</w:t>
      </w:r>
    </w:p>
    <w:p w:rsidR="00FE2CD3" w:rsidP="00192978">
      <w:pPr>
        <w:pStyle w:val="BodyText3"/>
        <w:spacing w:after="0"/>
        <w:ind w:left="720" w:hanging="360"/>
        <w:jc w:val="both"/>
        <w:rPr>
          <w:sz w:val="24"/>
          <w:szCs w:val="24"/>
        </w:rPr>
      </w:pPr>
      <w:r>
        <w:rPr>
          <w:sz w:val="24"/>
          <w:szCs w:val="24"/>
        </w:rPr>
        <w:t xml:space="preserve">- Výnos </w:t>
      </w:r>
      <w:r w:rsidR="00B623AC">
        <w:rPr>
          <w:sz w:val="24"/>
          <w:szCs w:val="24"/>
        </w:rPr>
        <w:t>Ministerstva</w:t>
      </w:r>
      <w:r w:rsidRPr="00B623AC" w:rsidR="00B623AC">
        <w:rPr>
          <w:sz w:val="24"/>
          <w:szCs w:val="24"/>
        </w:rPr>
        <w:t xml:space="preserve"> pôdohospodárstv</w:t>
      </w:r>
      <w:r w:rsidRPr="00B623AC" w:rsidR="00B623AC">
        <w:rPr>
          <w:sz w:val="24"/>
          <w:szCs w:val="24"/>
        </w:rPr>
        <w:t>a</w:t>
      </w:r>
      <w:r w:rsidR="00B623AC">
        <w:rPr>
          <w:sz w:val="24"/>
          <w:szCs w:val="24"/>
        </w:rPr>
        <w:t xml:space="preserve"> </w:t>
      </w:r>
      <w:r w:rsidRPr="00B623AC" w:rsidR="00B623AC">
        <w:rPr>
          <w:sz w:val="24"/>
          <w:szCs w:val="24"/>
        </w:rPr>
        <w:t>Slovenskej republiky</w:t>
      </w:r>
      <w:r w:rsidR="00B623AC">
        <w:rPr>
          <w:sz w:val="24"/>
          <w:szCs w:val="24"/>
        </w:rPr>
        <w:t xml:space="preserve">  a </w:t>
      </w:r>
      <w:r w:rsidR="00606708">
        <w:rPr>
          <w:sz w:val="24"/>
          <w:szCs w:val="24"/>
        </w:rPr>
        <w:t xml:space="preserve">  </w:t>
      </w:r>
      <w:r w:rsidR="00B623AC">
        <w:rPr>
          <w:sz w:val="24"/>
          <w:szCs w:val="24"/>
        </w:rPr>
        <w:t>Ministerstva zdravotníctva</w:t>
      </w:r>
      <w:r>
        <w:rPr>
          <w:sz w:val="24"/>
          <w:szCs w:val="24"/>
        </w:rPr>
        <w:t xml:space="preserve"> </w:t>
      </w:r>
      <w:r w:rsidRPr="00B623AC" w:rsidR="00B623AC">
        <w:rPr>
          <w:sz w:val="24"/>
          <w:szCs w:val="24"/>
        </w:rPr>
        <w:t>Slovenskej republiky</w:t>
      </w:r>
      <w:r w:rsidR="00B623AC">
        <w:rPr>
          <w:sz w:val="24"/>
          <w:szCs w:val="24"/>
        </w:rPr>
        <w:t xml:space="preserve"> </w:t>
      </w:r>
      <w:r>
        <w:rPr>
          <w:sz w:val="24"/>
          <w:szCs w:val="24"/>
        </w:rPr>
        <w:t xml:space="preserve">č. 981/1996 – 100 z 20. mája  1996, ktorým sa vydáva prvá časť, prvá, druhá a tretia hlava druhej časti Potravinového kódexu </w:t>
      </w:r>
      <w:r w:rsidRPr="00192978" w:rsidR="00192978">
        <w:rPr>
          <w:sz w:val="24"/>
          <w:szCs w:val="24"/>
        </w:rPr>
        <w:t>Slovenskej republiky</w:t>
      </w:r>
      <w:r>
        <w:rPr>
          <w:sz w:val="24"/>
          <w:szCs w:val="24"/>
        </w:rPr>
        <w:t xml:space="preserve"> (oznámenie č. 195/1996 Z. z.) v zn</w:t>
      </w:r>
      <w:r>
        <w:rPr>
          <w:sz w:val="24"/>
          <w:szCs w:val="24"/>
        </w:rPr>
        <w:t>ení neskorších predpisov,</w:t>
      </w:r>
    </w:p>
    <w:p w:rsidR="00FE2CD3">
      <w:pPr>
        <w:jc w:val="both"/>
      </w:pPr>
    </w:p>
    <w:p w:rsidR="00FE2CD3" w:rsidP="00192978">
      <w:pPr>
        <w:ind w:left="720" w:hanging="720"/>
        <w:jc w:val="both"/>
      </w:pPr>
      <w:r w:rsidR="00B623AC">
        <w:t xml:space="preserve">   </w:t>
      </w:r>
      <w:r w:rsidR="00192978">
        <w:t xml:space="preserve">  </w:t>
      </w:r>
      <w:r w:rsidR="00B623AC">
        <w:t>- Výnos Ministerstva pôdohospodárstva</w:t>
      </w:r>
      <w:r>
        <w:t xml:space="preserve"> </w:t>
      </w:r>
      <w:r w:rsidR="00B623AC">
        <w:t xml:space="preserve">Slovenskej republiky </w:t>
      </w:r>
      <w:r>
        <w:t xml:space="preserve"> a</w:t>
      </w:r>
      <w:r w:rsidR="00606708">
        <w:t xml:space="preserve"> </w:t>
      </w:r>
      <w:r w:rsidR="00B623AC">
        <w:t> </w:t>
      </w:r>
      <w:r>
        <w:t>M</w:t>
      </w:r>
      <w:r w:rsidR="00B623AC">
        <w:t>inisterstva zdravotníctva</w:t>
      </w:r>
      <w:r>
        <w:t xml:space="preserve"> </w:t>
      </w:r>
      <w:r w:rsidR="00B623AC">
        <w:t xml:space="preserve">Slovenskej republiky </w:t>
      </w:r>
      <w:r>
        <w:t xml:space="preserve"> zo 16. decembra 1997 č. 557/1998 – 100, ktorým sa dopĺňa výnos </w:t>
      </w:r>
      <w:r w:rsidR="00DC22C9">
        <w:t>Ministerstva</w:t>
      </w:r>
      <w:r w:rsidRPr="00B623AC" w:rsidR="00DC22C9">
        <w:t xml:space="preserve"> pôdohospodárstva</w:t>
      </w:r>
      <w:r w:rsidR="00DC22C9">
        <w:t xml:space="preserve"> </w:t>
      </w:r>
      <w:r w:rsidRPr="00B623AC" w:rsidR="00DC22C9">
        <w:t>Slovenskej republik</w:t>
      </w:r>
      <w:r w:rsidRPr="00B623AC" w:rsidR="00DC22C9">
        <w:t>y</w:t>
      </w:r>
      <w:r w:rsidR="00DC22C9">
        <w:t xml:space="preserve">  a   Ministerstva zdravotníctva </w:t>
      </w:r>
      <w:r w:rsidRPr="00B623AC" w:rsidR="00DC22C9">
        <w:t>Slovenskej republiky</w:t>
      </w:r>
      <w:r w:rsidR="00DC22C9">
        <w:t xml:space="preserve"> </w:t>
      </w:r>
      <w:r>
        <w:t xml:space="preserve">z 20. mája 1996 č. 981/1996 – 100 ktorým sa vydáva prvá časť, prvá, druhá a tretia hlava druhej časti Potravinového kódexu </w:t>
      </w:r>
      <w:r w:rsidR="00192978">
        <w:t xml:space="preserve">Slovenskej republiky </w:t>
      </w:r>
      <w:r>
        <w:t xml:space="preserve"> (oznámenie č. 284/1998 Z. z.) v znení neskorších predpis</w:t>
      </w:r>
      <w:r>
        <w:t>ov,</w:t>
      </w:r>
    </w:p>
    <w:p w:rsidR="00FE2CD3">
      <w:pPr>
        <w:jc w:val="both"/>
      </w:pPr>
    </w:p>
    <w:p w:rsidR="00FE2CD3" w:rsidP="00192978">
      <w:pPr>
        <w:ind w:left="540" w:hanging="540"/>
        <w:jc w:val="both"/>
      </w:pPr>
      <w:r w:rsidR="00606708">
        <w:t xml:space="preserve">    - Výnos Ministerstva pôdohospodárstva Slovenskej republiky </w:t>
      </w:r>
      <w:r>
        <w:t xml:space="preserve"> a</w:t>
      </w:r>
      <w:r w:rsidR="00606708">
        <w:t> </w:t>
      </w:r>
      <w:r>
        <w:t>M</w:t>
      </w:r>
      <w:r w:rsidR="00606708">
        <w:t>inisterstva zdravotníctva</w:t>
      </w:r>
      <w:r>
        <w:t xml:space="preserve"> </w:t>
      </w:r>
      <w:r w:rsidR="00606708">
        <w:t>Slovenskej republiky</w:t>
      </w:r>
      <w:r>
        <w:t xml:space="preserve"> z 12. marca 2003 č. 451/2003-100, ktorým sa </w:t>
      </w:r>
      <w:hyperlink w:history="1">
        <w:r>
          <w:rPr>
            <w:rStyle w:val="Hyperlink"/>
            <w:color w:val="auto"/>
          </w:rPr>
          <w:t xml:space="preserve"> vydáva hlava Potravinového kódexu </w:t>
        </w:r>
        <w:r w:rsidRPr="00DC22C9" w:rsidR="00DC22C9">
          <w:rPr>
            <w:rStyle w:val="Hyperlink"/>
            <w:color w:val="auto"/>
          </w:rPr>
          <w:t>Slovenskej republiky</w:t>
        </w:r>
        <w:r>
          <w:rPr>
            <w:rStyle w:val="Hyperlink"/>
            <w:color w:val="auto"/>
          </w:rPr>
          <w:t xml:space="preserve"> upravujúca metódy odb</w:t>
        </w:r>
        <w:r>
          <w:rPr>
            <w:rStyle w:val="Hyperlink"/>
            <w:color w:val="auto"/>
          </w:rPr>
          <w:t>eru vzoriek a analytické metódy skúšania zdravotnej neškodnosti a kvality potravín a tabakových výrobkov alebo surovín na ich výrobu</w:t>
        </w:r>
      </w:hyperlink>
      <w:r>
        <w:t xml:space="preserve"> (oznámenie č. 118/2003 Z. z.),</w:t>
      </w:r>
    </w:p>
    <w:p w:rsidR="00FE2CD3">
      <w:pPr>
        <w:jc w:val="both"/>
      </w:pPr>
    </w:p>
    <w:p w:rsidR="00FE2CD3" w:rsidP="00053B18">
      <w:pPr>
        <w:ind w:left="360" w:hanging="360"/>
        <w:jc w:val="both"/>
      </w:pPr>
      <w:r w:rsidR="00053B18">
        <w:t xml:space="preserve">  - Výnos Ministerstva pôdohospodárstva Slovenskej republiky </w:t>
      </w:r>
      <w:r>
        <w:t>a</w:t>
      </w:r>
      <w:r w:rsidR="00053B18">
        <w:t> </w:t>
      </w:r>
      <w:r>
        <w:t>M</w:t>
      </w:r>
      <w:r w:rsidR="00053B18">
        <w:t xml:space="preserve">inisterstva zdravotníctva </w:t>
      </w:r>
      <w:r>
        <w:t xml:space="preserve"> </w:t>
      </w:r>
      <w:r w:rsidR="00053B18">
        <w:t xml:space="preserve">Slovenskej republiky </w:t>
      </w:r>
      <w:r>
        <w:t xml:space="preserve"> z 9. júna 2003 č. 1799/2003-100, ktorým sa </w:t>
      </w:r>
      <w:hyperlink w:history="1">
        <w:r>
          <w:rPr>
            <w:rStyle w:val="Hyperlink"/>
            <w:color w:val="auto"/>
          </w:rPr>
          <w:t xml:space="preserve"> vydáva hlava Potravinového kódexu </w:t>
        </w:r>
        <w:r w:rsidRPr="00DC22C9" w:rsidR="00DC22C9">
          <w:rPr>
            <w:rStyle w:val="Hyperlink"/>
            <w:color w:val="auto"/>
          </w:rPr>
          <w:t>Slovenskej republiky</w:t>
        </w:r>
        <w:r w:rsidR="00DC22C9">
          <w:rPr>
            <w:rStyle w:val="Hyperlink"/>
            <w:color w:val="auto"/>
          </w:rPr>
          <w:t xml:space="preserve"> </w:t>
        </w:r>
        <w:r>
          <w:rPr>
            <w:rStyle w:val="Hyperlink"/>
            <w:color w:val="auto"/>
          </w:rPr>
          <w:t xml:space="preserve"> upravujúca materiály</w:t>
        </w:r>
      </w:hyperlink>
      <w:r>
        <w:t xml:space="preserve"> a predmety určené na styk s potravinami (oznámenie č. 337/2003 Z. z.) v znení neskorších predpi</w:t>
      </w:r>
      <w:r>
        <w:t>sov,</w:t>
      </w:r>
    </w:p>
    <w:p w:rsidR="00FE2CD3" w:rsidP="00053B18">
      <w:pPr>
        <w:ind w:firstLine="180"/>
        <w:jc w:val="both"/>
      </w:pPr>
    </w:p>
    <w:p w:rsidR="00FE2CD3" w:rsidP="00192978">
      <w:pPr>
        <w:ind w:left="360" w:hanging="360"/>
        <w:jc w:val="both"/>
      </w:pPr>
      <w:r w:rsidR="00053B18">
        <w:t xml:space="preserve">  </w:t>
      </w:r>
      <w:r>
        <w:t xml:space="preserve">- Výnos </w:t>
      </w:r>
      <w:r w:rsidR="00053B18">
        <w:t>Ministerstva pôdohospodárstva Slovenskej republiky  a Ministerstva zdravotníctva</w:t>
      </w:r>
      <w:r>
        <w:t xml:space="preserve"> </w:t>
      </w:r>
      <w:r w:rsidR="00053B18">
        <w:t>Slovenskej republiky</w:t>
      </w:r>
      <w:r>
        <w:t xml:space="preserve"> z 27. októbra 2003 č. 2986/2003-100, ktorým sa </w:t>
      </w:r>
      <w:hyperlink w:history="1">
        <w:r>
          <w:rPr>
            <w:rStyle w:val="Hyperlink"/>
            <w:color w:val="auto"/>
          </w:rPr>
          <w:t xml:space="preserve"> vydáva hlava Potravinového kódexu </w:t>
        </w:r>
        <w:r w:rsidRPr="00DC22C9" w:rsidR="00DC22C9">
          <w:rPr>
            <w:rStyle w:val="Hyperlink"/>
            <w:color w:val="auto"/>
          </w:rPr>
          <w:t>Slovenskej republiky</w:t>
        </w:r>
        <w:r w:rsidR="00DC22C9">
          <w:rPr>
            <w:rStyle w:val="Hyperlink"/>
            <w:color w:val="auto"/>
          </w:rPr>
          <w:t xml:space="preserve"> </w:t>
        </w:r>
        <w:r>
          <w:rPr>
            <w:rStyle w:val="Hyperlink"/>
            <w:color w:val="auto"/>
          </w:rPr>
          <w:t xml:space="preserve"> upravujúca hlbokoz</w:t>
        </w:r>
        <w:r>
          <w:rPr>
            <w:rStyle w:val="Hyperlink"/>
            <w:color w:val="auto"/>
          </w:rPr>
          <w:t xml:space="preserve">mrazené potraviny </w:t>
        </w:r>
      </w:hyperlink>
      <w:r>
        <w:t>a mrazené potraviny</w:t>
      </w:r>
      <w:r w:rsidR="00053B18">
        <w:t xml:space="preserve"> </w:t>
      </w:r>
      <w:r>
        <w:t>(oznámenie č. 480/2003 Z. z.),</w:t>
      </w:r>
    </w:p>
    <w:p w:rsidR="00FE2CD3">
      <w:pPr>
        <w:jc w:val="both"/>
      </w:pPr>
    </w:p>
    <w:p w:rsidR="00FE2CD3" w:rsidP="00053B18">
      <w:pPr>
        <w:ind w:left="360" w:hanging="360"/>
        <w:jc w:val="both"/>
      </w:pPr>
      <w:r w:rsidR="00053B18">
        <w:t xml:space="preserve">   - Výnos Ministerstva pôdohospodárstva  Slovenskej republiky </w:t>
      </w:r>
      <w:r>
        <w:t xml:space="preserve"> a</w:t>
      </w:r>
      <w:r w:rsidR="00053B18">
        <w:t> </w:t>
      </w:r>
      <w:r>
        <w:t>M</w:t>
      </w:r>
      <w:r w:rsidR="00053B18">
        <w:t>inisterstva zdravotníctva</w:t>
      </w:r>
      <w:r>
        <w:t xml:space="preserve"> </w:t>
      </w:r>
      <w:r w:rsidR="00053B18">
        <w:t>Slovenskej republiky</w:t>
      </w:r>
      <w:r>
        <w:t xml:space="preserve"> z 19.</w:t>
      </w:r>
      <w:r w:rsidR="00DC22C9">
        <w:t xml:space="preserve"> </w:t>
      </w:r>
      <w:r>
        <w:t xml:space="preserve">decembra 2003 č. 3757/2003-100, ktorým sa </w:t>
      </w:r>
      <w:hyperlink w:history="1">
        <w:r>
          <w:rPr>
            <w:rStyle w:val="Hyperlink"/>
            <w:color w:val="auto"/>
          </w:rPr>
          <w:t xml:space="preserve"> vydáva</w:t>
        </w:r>
        <w:r>
          <w:rPr>
            <w:rStyle w:val="Hyperlink"/>
            <w:color w:val="auto"/>
          </w:rPr>
          <w:t xml:space="preserve"> hlava Potravinového kódexu </w:t>
        </w:r>
        <w:r w:rsidRPr="00192978" w:rsidR="00192978">
          <w:rPr>
            <w:rStyle w:val="Hyperlink"/>
            <w:color w:val="auto"/>
          </w:rPr>
          <w:t>Slovenskej republiky</w:t>
        </w:r>
        <w:r>
          <w:rPr>
            <w:rStyle w:val="Hyperlink"/>
            <w:color w:val="auto"/>
          </w:rPr>
          <w:t xml:space="preserve"> upravujúca potraviny </w:t>
        </w:r>
      </w:hyperlink>
      <w:r>
        <w:t>a potravinové prísady ošetrené ionizujúcim žiarením (oznámenie č.48 /2004 Z. z.),</w:t>
      </w:r>
    </w:p>
    <w:p w:rsidR="00FE2CD3">
      <w:pPr>
        <w:jc w:val="both"/>
      </w:pPr>
    </w:p>
    <w:p w:rsidR="00FE2CD3" w:rsidP="00515B5E">
      <w:pPr>
        <w:ind w:left="540" w:hanging="540"/>
        <w:jc w:val="both"/>
      </w:pPr>
      <w:r w:rsidR="00515B5E">
        <w:t xml:space="preserve">    </w:t>
      </w:r>
      <w:r>
        <w:t xml:space="preserve">- </w:t>
      </w:r>
      <w:r w:rsidR="00192978">
        <w:t xml:space="preserve"> </w:t>
      </w:r>
      <w:r>
        <w:t xml:space="preserve">Výnos </w:t>
      </w:r>
      <w:r w:rsidR="00192978">
        <w:t xml:space="preserve">  </w:t>
      </w:r>
      <w:r w:rsidR="00515B5E">
        <w:t>Ministerstva</w:t>
      </w:r>
      <w:r w:rsidR="00192978">
        <w:t xml:space="preserve">  </w:t>
      </w:r>
      <w:r w:rsidR="00515B5E">
        <w:t xml:space="preserve"> pôdohospodárstva</w:t>
      </w:r>
      <w:r w:rsidR="00192978">
        <w:t xml:space="preserve">   </w:t>
      </w:r>
      <w:r w:rsidR="00515B5E">
        <w:t xml:space="preserve"> Slovenskej republiky </w:t>
      </w:r>
      <w:r w:rsidR="00192978">
        <w:t xml:space="preserve">  </w:t>
      </w:r>
      <w:r w:rsidR="00515B5E">
        <w:t xml:space="preserve"> a </w:t>
      </w:r>
      <w:r w:rsidR="00192978">
        <w:t xml:space="preserve">  </w:t>
      </w:r>
      <w:r w:rsidR="00515B5E">
        <w:t>Ministerstva zdravotníct</w:t>
      </w:r>
      <w:r w:rsidR="00515B5E">
        <w:t>va</w:t>
      </w:r>
      <w:r>
        <w:t xml:space="preserve"> </w:t>
      </w:r>
      <w:r w:rsidR="00515B5E">
        <w:t>Slovenskej republiky</w:t>
      </w:r>
      <w:r>
        <w:t xml:space="preserve"> z 15 .marca 2004 č. 608/1/2004-100, ktorým sa </w:t>
      </w:r>
      <w:hyperlink w:history="1">
        <w:r>
          <w:rPr>
            <w:rStyle w:val="Hyperlink"/>
            <w:color w:val="auto"/>
          </w:rPr>
          <w:t xml:space="preserve"> vydáva hlava Potravinového kódexu </w:t>
        </w:r>
        <w:r w:rsidRPr="00DC22C9" w:rsidR="00DC22C9">
          <w:rPr>
            <w:rStyle w:val="Hyperlink"/>
            <w:color w:val="auto"/>
          </w:rPr>
          <w:t>Slovenskej republiky</w:t>
        </w:r>
        <w:r>
          <w:rPr>
            <w:rStyle w:val="Hyperlink"/>
            <w:color w:val="auto"/>
          </w:rPr>
          <w:t xml:space="preserve"> upravujúca požiadavky na potraviny nového typu</w:t>
        </w:r>
      </w:hyperlink>
      <w:r>
        <w:t xml:space="preserve"> (oznámenie č. 194/2004 Z. z.),</w:t>
      </w:r>
    </w:p>
    <w:p w:rsidR="00FE2CD3"/>
    <w:p w:rsidR="00FE2CD3" w:rsidP="00DC22C9">
      <w:pPr>
        <w:ind w:left="360" w:hanging="360"/>
        <w:jc w:val="both"/>
      </w:pPr>
      <w:r w:rsidR="00DC22C9">
        <w:t xml:space="preserve">  </w:t>
      </w:r>
      <w:r>
        <w:t xml:space="preserve">- Výnos </w:t>
      </w:r>
      <w:r w:rsidR="00DC22C9">
        <w:t xml:space="preserve"> Ministerstva</w:t>
      </w:r>
      <w:r w:rsidRPr="00B623AC" w:rsidR="00DC22C9">
        <w:t xml:space="preserve"> pôdohospod</w:t>
      </w:r>
      <w:r w:rsidRPr="00B623AC" w:rsidR="00DC22C9">
        <w:t>árstva</w:t>
      </w:r>
      <w:r w:rsidR="00DC22C9">
        <w:t xml:space="preserve"> </w:t>
      </w:r>
      <w:r w:rsidRPr="00B623AC" w:rsidR="00DC22C9">
        <w:t>Slovenskej republiky</w:t>
      </w:r>
      <w:r w:rsidR="00DC22C9">
        <w:t xml:space="preserve">  a   Ministerstva zdravotníctva   </w:t>
      </w:r>
      <w:r w:rsidRPr="00B623AC" w:rsidR="00DC22C9">
        <w:t>Slovenskej republiky</w:t>
      </w:r>
      <w:r w:rsidR="00DC22C9">
        <w:t xml:space="preserve">  </w:t>
      </w:r>
      <w:r>
        <w:t>z </w:t>
      </w:r>
      <w:r w:rsidR="00DC22C9">
        <w:t xml:space="preserve"> </w:t>
      </w:r>
      <w:r>
        <w:t xml:space="preserve">15.marca 2004 č. 608/2/2004-100, ktorým sa </w:t>
      </w:r>
      <w:hyperlink w:history="1">
        <w:r>
          <w:rPr>
            <w:rStyle w:val="Hyperlink"/>
            <w:color w:val="auto"/>
          </w:rPr>
          <w:t xml:space="preserve"> vydáva hlava Potravinového kódexu </w:t>
        </w:r>
        <w:r w:rsidRPr="00DC22C9" w:rsidR="00DC22C9">
          <w:rPr>
            <w:rStyle w:val="Hyperlink"/>
            <w:color w:val="auto"/>
          </w:rPr>
          <w:t>Slovenskej republiky</w:t>
        </w:r>
        <w:r>
          <w:rPr>
            <w:rStyle w:val="Hyperlink"/>
            <w:color w:val="auto"/>
          </w:rPr>
          <w:t xml:space="preserve"> upravujúca </w:t>
        </w:r>
      </w:hyperlink>
      <w:r>
        <w:t>požiadavky na potraviny na osobitné výživové účely (oznámenie č. 240/2004 Z. z.),</w:t>
      </w:r>
    </w:p>
    <w:p w:rsidR="00FE2CD3">
      <w:pPr>
        <w:jc w:val="both"/>
      </w:pPr>
    </w:p>
    <w:p w:rsidR="00FE2CD3" w:rsidP="00DC22C9">
      <w:pPr>
        <w:ind w:left="360" w:hanging="360"/>
        <w:jc w:val="both"/>
      </w:pPr>
      <w:r w:rsidR="00DC22C9">
        <w:t xml:space="preserve">  </w:t>
      </w:r>
      <w:r>
        <w:t xml:space="preserve">- Výnos </w:t>
      </w:r>
      <w:r w:rsidR="00DC22C9">
        <w:t>Ministerstva</w:t>
      </w:r>
      <w:r w:rsidRPr="00B623AC" w:rsidR="00DC22C9">
        <w:t xml:space="preserve"> pôdohospodárstva</w:t>
      </w:r>
      <w:r w:rsidR="00DC22C9">
        <w:t xml:space="preserve"> </w:t>
      </w:r>
      <w:r w:rsidRPr="00B623AC" w:rsidR="00DC22C9">
        <w:t>Slovenskej republiky</w:t>
      </w:r>
      <w:r w:rsidR="00DC22C9">
        <w:t xml:space="preserve">  a   Ministerstva zdravotníctva </w:t>
      </w:r>
      <w:r w:rsidRPr="00B623AC" w:rsidR="00DC22C9">
        <w:t>Slovenskej republiky</w:t>
      </w:r>
      <w:r w:rsidR="00DC22C9">
        <w:t xml:space="preserve">  </w:t>
      </w:r>
      <w:r>
        <w:t xml:space="preserve">z 15 .marca 2004 č. 608/3/2004-100, ktorým sa </w:t>
      </w:r>
      <w:hyperlink w:history="1">
        <w:r>
          <w:rPr>
            <w:rStyle w:val="Hyperlink"/>
            <w:color w:val="auto"/>
          </w:rPr>
          <w:t xml:space="preserve"> vydáva hlava Potravinového kódexu </w:t>
        </w:r>
        <w:r w:rsidRPr="00DC22C9" w:rsidR="00DC22C9">
          <w:rPr>
            <w:rStyle w:val="Hyperlink"/>
            <w:color w:val="auto"/>
          </w:rPr>
          <w:t>Slo</w:t>
        </w:r>
        <w:r w:rsidRPr="00DC22C9" w:rsidR="00DC22C9">
          <w:rPr>
            <w:rStyle w:val="Hyperlink"/>
            <w:color w:val="auto"/>
          </w:rPr>
          <w:t>venskej republiky</w:t>
        </w:r>
        <w:r w:rsidR="00DC22C9">
          <w:rPr>
            <w:rStyle w:val="Hyperlink"/>
            <w:color w:val="auto"/>
          </w:rPr>
          <w:t xml:space="preserve"> </w:t>
        </w:r>
        <w:r>
          <w:rPr>
            <w:rStyle w:val="Hyperlink"/>
            <w:color w:val="auto"/>
          </w:rPr>
          <w:t xml:space="preserve"> upravujúca </w:t>
        </w:r>
      </w:hyperlink>
      <w:r>
        <w:t xml:space="preserve"> kontaminanty v potravinách (oznámenie č. 241/2004 Z. z.) v znení neskorších predpisov,</w:t>
      </w:r>
    </w:p>
    <w:p w:rsidR="00FE2CD3">
      <w:pPr>
        <w:jc w:val="both"/>
      </w:pPr>
    </w:p>
    <w:p w:rsidR="00FE2CD3" w:rsidP="00DC22C9">
      <w:pPr>
        <w:ind w:left="360" w:hanging="180"/>
        <w:jc w:val="both"/>
      </w:pPr>
      <w:r>
        <w:t xml:space="preserve">- Výnos </w:t>
      </w:r>
      <w:r w:rsidR="00DC22C9">
        <w:t>Ministerstva</w:t>
      </w:r>
      <w:r w:rsidRPr="00B623AC" w:rsidR="00DC22C9">
        <w:t xml:space="preserve"> pôdohospodárstva</w:t>
      </w:r>
      <w:r w:rsidR="00DC22C9">
        <w:t xml:space="preserve"> </w:t>
      </w:r>
      <w:r w:rsidRPr="00B623AC" w:rsidR="00DC22C9">
        <w:t>Slovenskej republiky</w:t>
      </w:r>
      <w:r w:rsidR="00DC22C9">
        <w:t xml:space="preserve">  a   Ministerstva zdravotníctva </w:t>
      </w:r>
      <w:r w:rsidRPr="00B623AC" w:rsidR="00DC22C9">
        <w:t>Slovenskej republiky</w:t>
      </w:r>
      <w:r w:rsidR="00DC22C9">
        <w:t xml:space="preserve"> Slovenskej republiky </w:t>
      </w:r>
      <w:r>
        <w:t xml:space="preserve"> z 15 .marca 2004 č. 608/4/2004-100, ktorým sa </w:t>
      </w:r>
      <w:hyperlink w:history="1">
        <w:r>
          <w:rPr>
            <w:rStyle w:val="Hyperlink"/>
            <w:color w:val="auto"/>
          </w:rPr>
          <w:t xml:space="preserve"> vydáva hlava Potravinového kódexu </w:t>
        </w:r>
        <w:r w:rsidRPr="00DC22C9" w:rsidR="00DC22C9">
          <w:rPr>
            <w:rStyle w:val="Hyperlink"/>
            <w:color w:val="auto"/>
          </w:rPr>
          <w:t>Slovenskej republiky</w:t>
        </w:r>
        <w:r w:rsidR="00DC22C9">
          <w:rPr>
            <w:rStyle w:val="Hyperlink"/>
            <w:color w:val="auto"/>
          </w:rPr>
          <w:t xml:space="preserve"> </w:t>
        </w:r>
        <w:r>
          <w:rPr>
            <w:rStyle w:val="Hyperlink"/>
            <w:color w:val="auto"/>
          </w:rPr>
          <w:t xml:space="preserve"> upravujúca </w:t>
        </w:r>
      </w:hyperlink>
      <w:r>
        <w:t xml:space="preserve"> rezíduá prípravkov na ochranu rastlín (oznámenie č. 195/2004 Z. z.) v znení neskorších predpisov,</w:t>
      </w:r>
    </w:p>
    <w:p w:rsidR="00FE2CD3">
      <w:pPr>
        <w:jc w:val="both"/>
      </w:pPr>
    </w:p>
    <w:p w:rsidR="00FE2CD3" w:rsidP="00192978">
      <w:pPr>
        <w:ind w:left="360" w:hanging="360"/>
        <w:jc w:val="both"/>
      </w:pPr>
      <w:r w:rsidR="00DC22C9">
        <w:t xml:space="preserve"> </w:t>
      </w:r>
      <w:r>
        <w:t xml:space="preserve">- </w:t>
      </w:r>
      <w:r w:rsidR="00192978">
        <w:t xml:space="preserve"> </w:t>
      </w:r>
      <w:r>
        <w:t xml:space="preserve">Výnos </w:t>
      </w:r>
      <w:r w:rsidR="00DC22C9">
        <w:t>Ministerstva</w:t>
      </w:r>
      <w:r w:rsidRPr="00B623AC" w:rsidR="00DC22C9">
        <w:t xml:space="preserve"> pôdo</w:t>
      </w:r>
      <w:r w:rsidRPr="00B623AC" w:rsidR="00DC22C9">
        <w:t>hospodárstva</w:t>
      </w:r>
      <w:r w:rsidR="00DC22C9">
        <w:t xml:space="preserve"> </w:t>
      </w:r>
      <w:r w:rsidRPr="00B623AC" w:rsidR="00DC22C9">
        <w:t>Slovenskej republiky</w:t>
      </w:r>
      <w:r w:rsidR="00DC22C9">
        <w:t xml:space="preserve">  a   Ministerstva zdravotníctva </w:t>
      </w:r>
      <w:r w:rsidRPr="00B623AC" w:rsidR="00DC22C9">
        <w:t>Slovenskej republiky</w:t>
      </w:r>
      <w:r w:rsidR="00DC22C9">
        <w:t xml:space="preserve">  </w:t>
      </w:r>
      <w:r>
        <w:t xml:space="preserve">z 15 .marca 2004 č. 608/6/2004-100, ktorým sa </w:t>
      </w:r>
      <w:hyperlink w:history="1">
        <w:r>
          <w:rPr>
            <w:rStyle w:val="Hyperlink"/>
            <w:color w:val="auto"/>
          </w:rPr>
          <w:t xml:space="preserve"> vydáva hlava Potravinového kódexu </w:t>
        </w:r>
        <w:r w:rsidRPr="00DC22C9" w:rsidR="00DC22C9">
          <w:rPr>
            <w:rStyle w:val="Hyperlink"/>
            <w:color w:val="auto"/>
          </w:rPr>
          <w:t>Slovenskej republiky</w:t>
        </w:r>
        <w:r w:rsidR="00DC22C9">
          <w:rPr>
            <w:rStyle w:val="Hyperlink"/>
            <w:color w:val="auto"/>
          </w:rPr>
          <w:t xml:space="preserve"> </w:t>
        </w:r>
        <w:r>
          <w:rPr>
            <w:rStyle w:val="Hyperlink"/>
            <w:color w:val="auto"/>
          </w:rPr>
          <w:t xml:space="preserve"> upravujúca </w:t>
        </w:r>
      </w:hyperlink>
      <w:r>
        <w:t xml:space="preserve"> extrakčné rozpúšťadlá (oznámenie č. </w:t>
      </w:r>
      <w:r>
        <w:t>196/2004 Z. z.),</w:t>
      </w:r>
    </w:p>
    <w:p w:rsidR="00FE2CD3">
      <w:pPr>
        <w:jc w:val="both"/>
      </w:pPr>
    </w:p>
    <w:p w:rsidR="00FE2CD3" w:rsidP="00367F35">
      <w:pPr>
        <w:ind w:left="360" w:hanging="360"/>
        <w:jc w:val="both"/>
      </w:pPr>
      <w:r w:rsidR="00367F35">
        <w:t xml:space="preserve">  </w:t>
      </w:r>
      <w:r>
        <w:t xml:space="preserve">- Výnos </w:t>
      </w:r>
      <w:r w:rsidR="00367F35">
        <w:t>Ministerstva</w:t>
      </w:r>
      <w:r w:rsidRPr="00B623AC" w:rsidR="00367F35">
        <w:t xml:space="preserve"> pôdohospodárstva</w:t>
      </w:r>
      <w:r w:rsidR="00367F35">
        <w:t xml:space="preserve"> </w:t>
      </w:r>
      <w:r w:rsidRPr="00B623AC" w:rsidR="00367F35">
        <w:t>Slovenskej republiky</w:t>
      </w:r>
      <w:r w:rsidR="00367F35">
        <w:t xml:space="preserve">  a   Ministerstva zdravotníctva </w:t>
      </w:r>
      <w:r w:rsidRPr="00B623AC" w:rsidR="00367F35">
        <w:t>Slovenskej republiky</w:t>
      </w:r>
      <w:r w:rsidR="00367F35">
        <w:t xml:space="preserve"> </w:t>
      </w:r>
      <w:r>
        <w:t xml:space="preserve">z 15 .marca 2004 č. 608/5/2004-100, ktorým sa </w:t>
      </w:r>
      <w:hyperlink w:history="1">
        <w:r>
          <w:rPr>
            <w:rStyle w:val="Hyperlink"/>
            <w:color w:val="auto"/>
          </w:rPr>
          <w:t xml:space="preserve"> vydáva hlava Potravinového kódexu </w:t>
        </w:r>
        <w:r w:rsidRPr="00367F35" w:rsidR="00367F35">
          <w:rPr>
            <w:rStyle w:val="Hyperlink"/>
            <w:color w:val="auto"/>
          </w:rPr>
          <w:t>Slovenskej republiky</w:t>
        </w:r>
        <w:r>
          <w:rPr>
            <w:rStyle w:val="Hyperlink"/>
            <w:color w:val="auto"/>
          </w:rPr>
          <w:t xml:space="preserve"> upravu</w:t>
        </w:r>
        <w:r>
          <w:rPr>
            <w:rStyle w:val="Hyperlink"/>
            <w:color w:val="auto"/>
          </w:rPr>
          <w:t xml:space="preserve">júca </w:t>
        </w:r>
      </w:hyperlink>
      <w:r>
        <w:t xml:space="preserve"> prídavné látky v potravinách (oznámenie č. 242/2004 Z. z.),</w:t>
      </w:r>
    </w:p>
    <w:p w:rsidR="00FE2CD3">
      <w:pPr>
        <w:jc w:val="both"/>
      </w:pPr>
    </w:p>
    <w:p w:rsidR="00FE2CD3" w:rsidP="00367F35">
      <w:pPr>
        <w:ind w:left="360" w:hanging="360"/>
        <w:jc w:val="both"/>
      </w:pPr>
      <w:r w:rsidR="00367F35">
        <w:t xml:space="preserve"> </w:t>
      </w:r>
      <w:r>
        <w:t xml:space="preserve">- </w:t>
      </w:r>
      <w:r w:rsidR="00367F35">
        <w:t xml:space="preserve"> </w:t>
      </w:r>
      <w:r>
        <w:t xml:space="preserve">Výnos </w:t>
      </w:r>
      <w:r w:rsidR="00367F35">
        <w:t>Ministerstva</w:t>
      </w:r>
      <w:r w:rsidRPr="00B623AC" w:rsidR="00367F35">
        <w:t xml:space="preserve"> pôdohospodárstva</w:t>
      </w:r>
      <w:r w:rsidR="00367F35">
        <w:t xml:space="preserve"> </w:t>
      </w:r>
      <w:r w:rsidRPr="00B623AC" w:rsidR="00367F35">
        <w:t>Slovenskej republiky</w:t>
      </w:r>
      <w:r w:rsidR="00367F35">
        <w:t xml:space="preserve">  a   Ministerstva zdravotníctva </w:t>
      </w:r>
      <w:r w:rsidRPr="00B623AC" w:rsidR="00367F35">
        <w:t>Slovenskej republiky</w:t>
      </w:r>
      <w:r w:rsidR="00367F35">
        <w:t xml:space="preserve"> </w:t>
      </w:r>
      <w:r>
        <w:t xml:space="preserve">z 15 .marca 2004 č. 608/7/2004-100, ktorým sa </w:t>
      </w:r>
      <w:hyperlink w:history="1">
        <w:r>
          <w:rPr>
            <w:rStyle w:val="Hyperlink"/>
            <w:color w:val="auto"/>
          </w:rPr>
          <w:t xml:space="preserve"> vydáva hlav</w:t>
        </w:r>
        <w:r>
          <w:rPr>
            <w:rStyle w:val="Hyperlink"/>
            <w:color w:val="auto"/>
          </w:rPr>
          <w:t>a Potravinového</w:t>
        </w:r>
        <w:r w:rsidR="00367F35">
          <w:rPr>
            <w:rStyle w:val="Hyperlink"/>
            <w:color w:val="auto"/>
          </w:rPr>
          <w:t xml:space="preserve"> kódexu </w:t>
        </w:r>
        <w:r w:rsidRPr="00367F35" w:rsidR="00367F35">
          <w:rPr>
            <w:rStyle w:val="Hyperlink"/>
            <w:color w:val="auto"/>
          </w:rPr>
          <w:t>Slovenskej republiky</w:t>
        </w:r>
        <w:r w:rsidR="00367F35">
          <w:rPr>
            <w:rStyle w:val="Hyperlink"/>
            <w:color w:val="auto"/>
          </w:rPr>
          <w:t xml:space="preserve"> </w:t>
        </w:r>
        <w:r>
          <w:rPr>
            <w:rStyle w:val="Hyperlink"/>
            <w:color w:val="auto"/>
          </w:rPr>
          <w:t xml:space="preserve"> upravujúca </w:t>
        </w:r>
      </w:hyperlink>
      <w:r>
        <w:t>arómy (oznámenie č. 243/2004 Z. z.),</w:t>
      </w:r>
    </w:p>
    <w:p w:rsidR="00FE2CD3">
      <w:pPr>
        <w:jc w:val="both"/>
      </w:pPr>
    </w:p>
    <w:p w:rsidR="00FE2CD3" w:rsidP="00367F35">
      <w:pPr>
        <w:ind w:left="360" w:hanging="360"/>
        <w:jc w:val="both"/>
      </w:pPr>
      <w:r>
        <w:t xml:space="preserve">- </w:t>
      </w:r>
      <w:r w:rsidR="00367F35">
        <w:t xml:space="preserve">  </w:t>
      </w:r>
      <w:r>
        <w:t xml:space="preserve">Výnos </w:t>
      </w:r>
      <w:r w:rsidR="00367F35">
        <w:t xml:space="preserve">   Ministerstva</w:t>
      </w:r>
      <w:r w:rsidRPr="00B623AC" w:rsidR="00367F35">
        <w:t xml:space="preserve"> </w:t>
      </w:r>
      <w:r w:rsidR="00367F35">
        <w:t xml:space="preserve">   </w:t>
      </w:r>
      <w:r w:rsidRPr="00B623AC" w:rsidR="00367F35">
        <w:t>pôdohospodárstva</w:t>
      </w:r>
      <w:r w:rsidR="00367F35">
        <w:t xml:space="preserve"> </w:t>
      </w:r>
      <w:r w:rsidRPr="00B623AC" w:rsidR="00367F35">
        <w:t>Slovenskej</w:t>
      </w:r>
      <w:r w:rsidR="00367F35">
        <w:t xml:space="preserve"> </w:t>
      </w:r>
      <w:r w:rsidRPr="00B623AC" w:rsidR="00367F35">
        <w:t xml:space="preserve"> </w:t>
      </w:r>
      <w:r w:rsidR="00367F35">
        <w:t xml:space="preserve"> r</w:t>
      </w:r>
      <w:r w:rsidRPr="00B623AC" w:rsidR="00367F35">
        <w:t>epubliky</w:t>
      </w:r>
      <w:r w:rsidR="00367F35">
        <w:t xml:space="preserve">  a     Ministerstva zdravotníctva </w:t>
      </w:r>
      <w:r w:rsidRPr="00B623AC" w:rsidR="00367F35">
        <w:t>Slovenskej republiky</w:t>
      </w:r>
      <w:r w:rsidR="00367F35">
        <w:t xml:space="preserve"> </w:t>
      </w:r>
      <w:r>
        <w:t>z 15 .marca 2004 č. 1187/2004-100, kt</w:t>
      </w:r>
      <w:r>
        <w:t xml:space="preserve">orým sa </w:t>
      </w:r>
      <w:hyperlink w:history="1">
        <w:r>
          <w:rPr>
            <w:rStyle w:val="Hyperlink"/>
            <w:color w:val="auto"/>
          </w:rPr>
          <w:t xml:space="preserve"> vydáva hlava Potravinového kódexu </w:t>
        </w:r>
        <w:r w:rsidRPr="00367F35" w:rsidR="00367F35">
          <w:rPr>
            <w:rStyle w:val="Hyperlink"/>
            <w:color w:val="auto"/>
          </w:rPr>
          <w:t>Slovenskej republiky</w:t>
        </w:r>
        <w:r w:rsidR="00367F35">
          <w:rPr>
            <w:rStyle w:val="Hyperlink"/>
            <w:color w:val="auto"/>
          </w:rPr>
          <w:t xml:space="preserve"> </w:t>
        </w:r>
        <w:r>
          <w:rPr>
            <w:rStyle w:val="Hyperlink"/>
            <w:color w:val="auto"/>
          </w:rPr>
          <w:t xml:space="preserve"> upravujúca </w:t>
        </w:r>
      </w:hyperlink>
      <w:r>
        <w:t xml:space="preserve"> označovanie potravín (oznámenie č. 265/2004 Z. z.)</w:t>
      </w:r>
      <w:r w:rsidR="00367F35">
        <w:t xml:space="preserve"> v</w:t>
      </w:r>
      <w:r>
        <w:t> znení neskorších predpisov,</w:t>
      </w:r>
    </w:p>
    <w:p w:rsidR="00FE2CD3">
      <w:pPr>
        <w:jc w:val="both"/>
      </w:pPr>
    </w:p>
    <w:p w:rsidR="00FE2CD3" w:rsidP="00367F35">
      <w:pPr>
        <w:pStyle w:val="Styl1"/>
        <w:ind w:left="360" w:hanging="360"/>
        <w:rPr>
          <w:lang w:eastAsia="sk-SK"/>
        </w:rPr>
      </w:pPr>
      <w:r w:rsidR="00367F35">
        <w:rPr>
          <w:lang w:eastAsia="sk-SK"/>
        </w:rPr>
        <w:t xml:space="preserve">  </w:t>
      </w:r>
      <w:r>
        <w:rPr>
          <w:lang w:eastAsia="sk-SK"/>
        </w:rPr>
        <w:t xml:space="preserve">- </w:t>
      </w:r>
      <w:r w:rsidR="008449CD">
        <w:rPr>
          <w:lang w:eastAsia="sk-SK"/>
        </w:rPr>
        <w:t xml:space="preserve"> </w:t>
      </w:r>
      <w:r>
        <w:rPr>
          <w:lang w:eastAsia="sk-SK"/>
        </w:rPr>
        <w:t>Výnos</w:t>
      </w:r>
      <w:r w:rsidR="008449CD">
        <w:rPr>
          <w:lang w:eastAsia="sk-SK"/>
        </w:rPr>
        <w:t xml:space="preserve">  </w:t>
      </w:r>
      <w:r>
        <w:rPr>
          <w:lang w:eastAsia="sk-SK"/>
        </w:rPr>
        <w:t xml:space="preserve"> </w:t>
      </w:r>
      <w:r w:rsidR="00367F35">
        <w:rPr>
          <w:lang w:eastAsia="sk-SK"/>
        </w:rPr>
        <w:t xml:space="preserve">Ministerstva </w:t>
      </w:r>
      <w:r w:rsidR="008449CD">
        <w:rPr>
          <w:lang w:eastAsia="sk-SK"/>
        </w:rPr>
        <w:t xml:space="preserve">  </w:t>
      </w:r>
      <w:r w:rsidR="00367F35">
        <w:rPr>
          <w:lang w:eastAsia="sk-SK"/>
        </w:rPr>
        <w:t xml:space="preserve">pôdohospodárstva </w:t>
      </w:r>
      <w:r w:rsidR="008449CD">
        <w:rPr>
          <w:lang w:eastAsia="sk-SK"/>
        </w:rPr>
        <w:t xml:space="preserve">  </w:t>
      </w:r>
      <w:r w:rsidR="00367F35">
        <w:rPr>
          <w:lang w:eastAsia="sk-SK"/>
        </w:rPr>
        <w:t xml:space="preserve">Slovenskej republiky </w:t>
      </w:r>
      <w:r>
        <w:rPr>
          <w:lang w:eastAsia="sk-SK"/>
        </w:rPr>
        <w:t xml:space="preserve"> z </w:t>
      </w:r>
      <w:r w:rsidR="008449CD">
        <w:rPr>
          <w:lang w:eastAsia="sk-SK"/>
        </w:rPr>
        <w:t xml:space="preserve">  </w:t>
      </w:r>
      <w:r>
        <w:rPr>
          <w:lang w:eastAsia="sk-SK"/>
        </w:rPr>
        <w:t>24. jún</w:t>
      </w:r>
      <w:r>
        <w:rPr>
          <w:lang w:eastAsia="sk-SK"/>
        </w:rPr>
        <w:t>a 2002 č. 1519/2002-100, ktorým sa ustanovuje rozsah výživového tvrdenia, spôsob uvádzania výživovej hodnoty potravín a spôsob jej výpočtu (oznámenie č. 394/2002 Z .z.) v znení neskorších predpisov.</w:t>
      </w:r>
    </w:p>
    <w:p w:rsidR="00FE2CD3">
      <w:pPr>
        <w:ind w:left="357"/>
        <w:jc w:val="both"/>
        <w:rPr>
          <w:lang w:eastAsia="cs-CZ"/>
        </w:rPr>
      </w:pPr>
    </w:p>
    <w:p w:rsidR="00AF267F">
      <w:pPr>
        <w:ind w:left="357"/>
        <w:jc w:val="both"/>
        <w:rPr>
          <w:lang w:eastAsia="cs-CZ"/>
        </w:rPr>
      </w:pPr>
    </w:p>
    <w:p w:rsidR="00FE2CD3" w:rsidP="00AF267F">
      <w:pPr>
        <w:ind w:left="360" w:hanging="360"/>
        <w:rPr>
          <w:b/>
        </w:rPr>
      </w:pPr>
      <w:r>
        <w:rPr>
          <w:b/>
        </w:rPr>
        <w:t xml:space="preserve">5.   Stupeň zlučiteľnosti návrhu </w:t>
      </w:r>
      <w:r w:rsidR="00AE531F">
        <w:rPr>
          <w:b/>
        </w:rPr>
        <w:t>právneho predpisu</w:t>
      </w:r>
      <w:r>
        <w:rPr>
          <w:b/>
        </w:rPr>
        <w:t xml:space="preserve"> s právom Európskych spoločenstiev a</w:t>
      </w:r>
      <w:r w:rsidR="00AE531F">
        <w:rPr>
          <w:b/>
        </w:rPr>
        <w:t xml:space="preserve">lebo </w:t>
      </w:r>
      <w:r>
        <w:rPr>
          <w:b/>
        </w:rPr>
        <w:t xml:space="preserve"> právom Európskej únie</w:t>
      </w:r>
    </w:p>
    <w:p w:rsidR="00FE2CD3">
      <w:pPr>
        <w:numPr>
          <w:ilvl w:val="0"/>
          <w:numId w:val="25"/>
        </w:numPr>
      </w:pPr>
      <w:r>
        <w:t>úplný</w:t>
      </w:r>
    </w:p>
    <w:p w:rsidR="00FE2CD3">
      <w:pPr>
        <w:ind w:left="360"/>
      </w:pPr>
    </w:p>
    <w:p w:rsidR="00FE2CD3">
      <w:pPr>
        <w:rPr>
          <w:b/>
        </w:rPr>
      </w:pPr>
      <w:r>
        <w:rPr>
          <w:b/>
        </w:rPr>
        <w:t>6. Gestor</w:t>
      </w:r>
      <w:r w:rsidR="00AE531F">
        <w:rPr>
          <w:b/>
        </w:rPr>
        <w:t xml:space="preserve"> a spolupracujúce rezorty</w:t>
      </w:r>
      <w:r>
        <w:rPr>
          <w:b/>
        </w:rPr>
        <w:t>:</w:t>
      </w:r>
    </w:p>
    <w:p w:rsidR="00FE2CD3">
      <w:r w:rsidR="00AE531F">
        <w:t xml:space="preserve">      </w:t>
      </w:r>
      <w:r>
        <w:t>Bezpredmetné.</w:t>
      </w:r>
    </w:p>
    <w:p w:rsidR="00FE2CD3"/>
    <w:p w:rsidR="00AE531F"/>
    <w:p w:rsidR="00FE2CD3">
      <w:pPr>
        <w:jc w:val="both"/>
      </w:pPr>
    </w:p>
    <w:p w:rsidR="00FE2CD3">
      <w:r>
        <w:rPr>
          <w:b/>
        </w:rPr>
        <w:t>Osobitná časť</w:t>
      </w:r>
    </w:p>
    <w:p w:rsidR="00FE2CD3"/>
    <w:p w:rsidR="00FE2CD3">
      <w:pPr>
        <w:rPr>
          <w:b/>
        </w:rPr>
      </w:pPr>
      <w:r>
        <w:rPr>
          <w:b/>
        </w:rPr>
        <w:t>K bodu 1</w:t>
      </w:r>
    </w:p>
    <w:p w:rsidR="00FE2CD3">
      <w:pPr>
        <w:ind w:firstLine="708"/>
        <w:jc w:val="both"/>
      </w:pPr>
      <w:r>
        <w:t>V § 1 sa v súlade s legislatívou EÚ dopĺňa požiadavka na bezpečnosť potravín a to na všetkých stupňoch výroby, spracovania a distribúcie, ako základná požiadavka nariadenia E</w:t>
      </w:r>
      <w:r w:rsidR="00AF267F">
        <w:t xml:space="preserve">urópskeho parlamentu </w:t>
      </w:r>
      <w:r>
        <w:t>a Rady č. 178/2002 ako aj nadväzujúcich nariadení. Novoupravuje v súlade s nariadením E</w:t>
      </w:r>
      <w:r w:rsidR="00AF267F">
        <w:t>urópskeho parlamentu</w:t>
      </w:r>
      <w:r>
        <w:t xml:space="preserve"> a Rady č. 882/2004 aj úradnú kontrolu potravín.</w:t>
      </w:r>
    </w:p>
    <w:p w:rsidR="00FE2CD3">
      <w:pPr>
        <w:jc w:val="both"/>
      </w:pPr>
    </w:p>
    <w:p w:rsidR="00FE2CD3">
      <w:pPr>
        <w:jc w:val="both"/>
        <w:rPr>
          <w:b/>
        </w:rPr>
      </w:pPr>
      <w:r>
        <w:rPr>
          <w:b/>
        </w:rPr>
        <w:t xml:space="preserve">K bodom 2 </w:t>
      </w:r>
    </w:p>
    <w:p w:rsidR="00FE2CD3">
      <w:pPr>
        <w:ind w:firstLine="708"/>
        <w:jc w:val="both"/>
      </w:pPr>
      <w:r w:rsidR="00AF267F">
        <w:t>Legislatívno-technická úprava</w:t>
      </w:r>
      <w:r>
        <w:t>.</w:t>
      </w:r>
    </w:p>
    <w:p w:rsidR="00FE2CD3">
      <w:pPr>
        <w:jc w:val="both"/>
      </w:pPr>
    </w:p>
    <w:p w:rsidR="00AF267F" w:rsidRPr="00AF267F">
      <w:pPr>
        <w:jc w:val="both"/>
        <w:rPr>
          <w:b/>
        </w:rPr>
      </w:pPr>
      <w:r w:rsidRPr="00AF267F">
        <w:rPr>
          <w:b/>
        </w:rPr>
        <w:t>K bodu 3</w:t>
      </w:r>
    </w:p>
    <w:p w:rsidR="00AF267F">
      <w:pPr>
        <w:jc w:val="both"/>
      </w:pPr>
      <w:r>
        <w:tab/>
        <w:t>Ustanovuje sa, že sa tento zákon nevzťahuje na kontroly súvisiace s organizovaním spoločného trhu s poľnohospodárskymi výrobkami.</w:t>
      </w:r>
    </w:p>
    <w:p w:rsidR="00AF267F">
      <w:pPr>
        <w:jc w:val="both"/>
      </w:pPr>
    </w:p>
    <w:p w:rsidR="00FE2CD3">
      <w:pPr>
        <w:jc w:val="both"/>
        <w:rPr>
          <w:b/>
        </w:rPr>
      </w:pPr>
      <w:r>
        <w:rPr>
          <w:b/>
        </w:rPr>
        <w:t xml:space="preserve">K bodu 4 </w:t>
      </w:r>
    </w:p>
    <w:p w:rsidR="00FE2CD3">
      <w:pPr>
        <w:ind w:firstLine="708"/>
        <w:jc w:val="both"/>
      </w:pPr>
      <w:r>
        <w:t>Doplnením poznámky pod čiarou k požiadavkám na vodu sa tieto upresňujú v súlade s legislatívou EÚ.</w:t>
      </w:r>
    </w:p>
    <w:p w:rsidR="00FE2CD3">
      <w:pPr>
        <w:jc w:val="both"/>
        <w:rPr>
          <w:b/>
        </w:rPr>
      </w:pPr>
    </w:p>
    <w:p w:rsidR="00FE2CD3">
      <w:pPr>
        <w:jc w:val="both"/>
        <w:rPr>
          <w:b/>
        </w:rPr>
      </w:pPr>
      <w:r>
        <w:rPr>
          <w:b/>
        </w:rPr>
        <w:t xml:space="preserve">K bodom 5 </w:t>
      </w:r>
    </w:p>
    <w:p w:rsidR="00FE2CD3">
      <w:pPr>
        <w:ind w:firstLine="708"/>
        <w:jc w:val="both"/>
      </w:pPr>
      <w:r>
        <w:t xml:space="preserve">V nadväznosti na novoprijaté </w:t>
      </w:r>
      <w:r w:rsidR="00AF267F">
        <w:t>n</w:t>
      </w:r>
      <w:r>
        <w:t>ariadenia E</w:t>
      </w:r>
      <w:r w:rsidR="00AF267F">
        <w:t>urópskeho parlamentu</w:t>
      </w:r>
      <w:r>
        <w:t xml:space="preserve"> a Rady sa dopĺňajú vo vymedzení pojmov ďalšie, uplatňované pri ich aplikácii v národnej legislatíve. Dopĺňa sa definícia bezpečných potravín (v súlade s </w:t>
      </w:r>
      <w:r w:rsidR="00AF267F">
        <w:t>n</w:t>
      </w:r>
      <w:r>
        <w:t xml:space="preserve">ariadením 178/2002), vypúšťa sa odsek upravujúci klasifikáciu tiel jatočných zvierat. </w:t>
      </w:r>
    </w:p>
    <w:p w:rsidR="00FE2CD3">
      <w:pPr>
        <w:jc w:val="both"/>
      </w:pPr>
    </w:p>
    <w:p w:rsidR="00FE2CD3">
      <w:pPr>
        <w:pStyle w:val="Heading2"/>
      </w:pPr>
      <w:r>
        <w:t>K</w:t>
      </w:r>
      <w:r w:rsidR="00AF267F">
        <w:t> </w:t>
      </w:r>
      <w:r>
        <w:t>bodu</w:t>
      </w:r>
      <w:r w:rsidR="00AF267F">
        <w:t xml:space="preserve"> 6</w:t>
      </w:r>
      <w:r>
        <w:t xml:space="preserve"> </w:t>
      </w:r>
      <w:r w:rsidR="00C6614B">
        <w:t xml:space="preserve"> a 7</w:t>
      </w:r>
    </w:p>
    <w:p w:rsidR="00FE2CD3">
      <w:pPr>
        <w:pStyle w:val="Styl1"/>
        <w:rPr>
          <w:lang w:eastAsia="sk-SK"/>
        </w:rPr>
      </w:pPr>
      <w:r>
        <w:rPr>
          <w:lang w:eastAsia="sk-SK"/>
        </w:rPr>
        <w:tab/>
        <w:t xml:space="preserve">Pre nadbytočnosť sa ustanovenie vypúšťa. </w:t>
      </w:r>
    </w:p>
    <w:p w:rsidR="00FE2CD3">
      <w:pPr>
        <w:jc w:val="both"/>
      </w:pPr>
    </w:p>
    <w:p w:rsidR="00FE2CD3">
      <w:pPr>
        <w:pStyle w:val="Heading2"/>
      </w:pPr>
      <w:r>
        <w:t xml:space="preserve">K bodu 8 </w:t>
      </w:r>
    </w:p>
    <w:p w:rsidR="00FE2CD3">
      <w:pPr>
        <w:ind w:firstLine="708"/>
        <w:jc w:val="both"/>
      </w:pPr>
      <w:r>
        <w:t>Vkladajú sa nové odseky, ktorými sa spresňujú pojmy úradná kontrola, príslušný orgán, umiestnenie na trhu a maloobchod, ale aj prevádzkovateľa potravinárskeho podniku vo väzbe na nariadenie č. 882/2004.</w:t>
      </w:r>
    </w:p>
    <w:p w:rsidR="00FE2CD3">
      <w:pPr>
        <w:jc w:val="both"/>
      </w:pPr>
    </w:p>
    <w:p w:rsidR="00FE2CD3">
      <w:pPr>
        <w:jc w:val="both"/>
        <w:rPr>
          <w:b/>
        </w:rPr>
      </w:pPr>
      <w:r>
        <w:rPr>
          <w:b/>
        </w:rPr>
        <w:t>K bodom 9 až 1</w:t>
      </w:r>
      <w:r w:rsidR="00C6614B">
        <w:rPr>
          <w:b/>
        </w:rPr>
        <w:t>2</w:t>
      </w:r>
    </w:p>
    <w:p w:rsidR="00FE2CD3">
      <w:pPr>
        <w:ind w:firstLine="708"/>
        <w:jc w:val="both"/>
      </w:pPr>
      <w:r>
        <w:t>Predmetnými zmenami sa v zákone dopĺňa požiadavka o povinnosť dodržiavať nielen národnú legislatívu, ale aj legislatívu spoločenstva. Ide o priamu aplikáciu nariadení, úprava povinností všetkých, ktorí potraviny vyrábajú, manipulujú s nimi alebo ich uvádzajú do obehu.</w:t>
      </w:r>
    </w:p>
    <w:p w:rsidR="00FE2CD3">
      <w:pPr>
        <w:jc w:val="both"/>
      </w:pPr>
    </w:p>
    <w:p w:rsidR="0025489F">
      <w:pPr>
        <w:jc w:val="both"/>
      </w:pPr>
    </w:p>
    <w:p w:rsidR="00FE2CD3">
      <w:pPr>
        <w:jc w:val="both"/>
        <w:rPr>
          <w:b/>
        </w:rPr>
      </w:pPr>
      <w:r>
        <w:rPr>
          <w:b/>
        </w:rPr>
        <w:t>K bodom 1</w:t>
      </w:r>
      <w:r w:rsidR="00C6614B">
        <w:rPr>
          <w:b/>
        </w:rPr>
        <w:t>3</w:t>
      </w:r>
      <w:r>
        <w:rPr>
          <w:b/>
        </w:rPr>
        <w:t xml:space="preserve"> a</w:t>
      </w:r>
      <w:r w:rsidR="00C6614B">
        <w:rPr>
          <w:b/>
        </w:rPr>
        <w:t>ž</w:t>
      </w:r>
      <w:r>
        <w:rPr>
          <w:b/>
        </w:rPr>
        <w:t xml:space="preserve"> 16</w:t>
      </w:r>
    </w:p>
    <w:p w:rsidR="00FE2CD3">
      <w:pPr>
        <w:ind w:firstLine="708"/>
        <w:jc w:val="both"/>
      </w:pPr>
      <w:r>
        <w:t>V § 4  odseku 2 sa nahrádza slovo „evidencia“ slovom „záznamy“, ktoré presnejšie vystihuje požiadavky upravené legislatívou EÚ a rozširuje sa o povinnosti vyplývajúce z príslušných nariadení EÚ.</w:t>
      </w:r>
    </w:p>
    <w:p w:rsidR="00AF267F">
      <w:pPr>
        <w:jc w:val="both"/>
      </w:pPr>
    </w:p>
    <w:p w:rsidR="00FE2CD3">
      <w:pPr>
        <w:jc w:val="both"/>
        <w:rPr>
          <w:b/>
        </w:rPr>
      </w:pPr>
      <w:r>
        <w:rPr>
          <w:b/>
        </w:rPr>
        <w:t>K bodu 17</w:t>
      </w:r>
    </w:p>
    <w:p w:rsidR="00FE2CD3">
      <w:pPr>
        <w:ind w:firstLine="708"/>
        <w:jc w:val="both"/>
      </w:pPr>
      <w:r>
        <w:t xml:space="preserve">V § 4 ods. 2 sa ukladá povinnosť pre všetkých podnikateľov zabezpečovať pravidelné odborné vzdelávanie zamestnancov. Doplnením poznámky pod čiarou sa upresňuje o akú oblasť vzdelávania ide, konkrétne o hygiene potravín podľa </w:t>
      </w:r>
      <w:r w:rsidR="00C6614B">
        <w:t>n</w:t>
      </w:r>
      <w:r>
        <w:t>ariadenia E</w:t>
      </w:r>
      <w:r w:rsidR="00C6614B">
        <w:t>urópskeho parlamentu</w:t>
      </w:r>
      <w:r>
        <w:t xml:space="preserve"> a Rady č. 852/2004.</w:t>
      </w:r>
    </w:p>
    <w:p w:rsidR="00FE2CD3">
      <w:pPr>
        <w:ind w:left="360" w:hanging="360"/>
        <w:jc w:val="both"/>
      </w:pPr>
    </w:p>
    <w:p w:rsidR="00FE2CD3">
      <w:pPr>
        <w:jc w:val="both"/>
        <w:rPr>
          <w:b/>
        </w:rPr>
      </w:pPr>
      <w:r>
        <w:rPr>
          <w:b/>
        </w:rPr>
        <w:t>K bodom 18 a 19</w:t>
      </w:r>
    </w:p>
    <w:p w:rsidR="00FE2CD3">
      <w:pPr>
        <w:ind w:firstLine="708"/>
        <w:jc w:val="both"/>
      </w:pPr>
      <w:r>
        <w:t>V § 4 ods. 2 sa ruší písmeno g) nakoľko registrácia výrobkov je v predkladanom návrhu nahradená registráciou prevádzok v súlade s legislatívou EÚ (</w:t>
      </w:r>
      <w:r w:rsidR="00C6614B">
        <w:t>n</w:t>
      </w:r>
      <w:r>
        <w:t>ariadenie E</w:t>
      </w:r>
      <w:r w:rsidR="00C6614B">
        <w:t>urópskeho parlamentu</w:t>
      </w:r>
      <w:r>
        <w:t xml:space="preserve"> a Rady č. 852/2004 a 853/2004), zároveň sa upresňuje usmiestnenie odkazu.</w:t>
      </w:r>
    </w:p>
    <w:p w:rsidR="00FE2CD3">
      <w:pPr>
        <w:ind w:left="360" w:hanging="360"/>
        <w:jc w:val="both"/>
      </w:pPr>
    </w:p>
    <w:p w:rsidR="00FE2CD3">
      <w:pPr>
        <w:jc w:val="both"/>
        <w:rPr>
          <w:b/>
        </w:rPr>
      </w:pPr>
      <w:r>
        <w:rPr>
          <w:b/>
        </w:rPr>
        <w:t>K bod</w:t>
      </w:r>
      <w:r w:rsidR="002E7326">
        <w:rPr>
          <w:b/>
        </w:rPr>
        <w:t>om</w:t>
      </w:r>
      <w:r>
        <w:rPr>
          <w:b/>
        </w:rPr>
        <w:t xml:space="preserve"> 20</w:t>
      </w:r>
      <w:r w:rsidR="00C6614B">
        <w:rPr>
          <w:b/>
        </w:rPr>
        <w:t xml:space="preserve"> a 21</w:t>
      </w:r>
    </w:p>
    <w:p w:rsidR="00FE2CD3">
      <w:pPr>
        <w:ind w:firstLine="708"/>
        <w:jc w:val="both"/>
      </w:pPr>
      <w:r>
        <w:t xml:space="preserve">Zrušením § 4 ods. 7 sa ruší splnomocnenie na vydanie predpisu na registráciu výrobkov. Predpis už bol vydaný ako </w:t>
      </w:r>
      <w:r w:rsidR="00C6614B">
        <w:t>v</w:t>
      </w:r>
      <w:r>
        <w:t>yhláška MP SR č. 240/2002 Z.z. o registrácii vyrábaných potravín a dovážaných potravín a aj zrušený na základe požiadavky EÚ zákonom č. 472/2003, ktorým sa mení a dopĺňa zákon NR SR č. 152/1995 Z.z. o potravinách v znení neskorších predpisov a o zmene a doplnení niektorých zákonov.</w:t>
      </w:r>
    </w:p>
    <w:p w:rsidR="00FE2CD3">
      <w:pPr>
        <w:ind w:left="360" w:hanging="360"/>
        <w:jc w:val="both"/>
      </w:pPr>
    </w:p>
    <w:p w:rsidR="00FE2CD3">
      <w:pPr>
        <w:jc w:val="both"/>
        <w:rPr>
          <w:b/>
        </w:rPr>
      </w:pPr>
      <w:r>
        <w:rPr>
          <w:b/>
        </w:rPr>
        <w:t>K bodu 2</w:t>
      </w:r>
      <w:r w:rsidR="00C6614B">
        <w:rPr>
          <w:b/>
        </w:rPr>
        <w:t>2</w:t>
      </w:r>
    </w:p>
    <w:p w:rsidR="00FE2CD3">
      <w:pPr>
        <w:ind w:firstLine="360"/>
        <w:jc w:val="both"/>
      </w:pPr>
      <w:r>
        <w:t>Doplnením slova „bezpečnosť“ sa spresňuje povinnosť výrobcov, v súlade s legislatívou EÚ, rozšírením dotknutých paragrafov o nutnosť vyrábať a dodávať potraviny nielen zdravotne neškodné a kvalitné, ale aj bezpečné.</w:t>
      </w:r>
    </w:p>
    <w:p w:rsidR="00FE2CD3">
      <w:pPr>
        <w:ind w:left="360" w:hanging="360"/>
        <w:jc w:val="both"/>
      </w:pPr>
    </w:p>
    <w:p w:rsidR="00FE2CD3">
      <w:pPr>
        <w:jc w:val="both"/>
        <w:rPr>
          <w:b/>
        </w:rPr>
      </w:pPr>
      <w:r>
        <w:rPr>
          <w:b/>
        </w:rPr>
        <w:t>K bodu 2</w:t>
      </w:r>
      <w:r w:rsidR="00C6614B">
        <w:rPr>
          <w:b/>
        </w:rPr>
        <w:t>3</w:t>
      </w:r>
    </w:p>
    <w:p w:rsidR="00FE2CD3">
      <w:pPr>
        <w:ind w:firstLine="360"/>
        <w:jc w:val="both"/>
      </w:pPr>
      <w:r>
        <w:t>§ 5 ods. 4 sa vypúšťa, v súlade so zmenami európskej legislatívy v oblasti schvaľovania a registrácie prevádzok.</w:t>
      </w:r>
    </w:p>
    <w:p w:rsidR="00FE2CD3">
      <w:pPr>
        <w:ind w:left="360" w:hanging="360"/>
        <w:jc w:val="both"/>
      </w:pPr>
    </w:p>
    <w:p w:rsidR="00FE2CD3">
      <w:pPr>
        <w:jc w:val="both"/>
        <w:rPr>
          <w:b/>
        </w:rPr>
      </w:pPr>
      <w:r>
        <w:rPr>
          <w:b/>
        </w:rPr>
        <w:t>K bodom 2</w:t>
      </w:r>
      <w:r w:rsidR="00C6614B">
        <w:rPr>
          <w:b/>
        </w:rPr>
        <w:t>4</w:t>
      </w:r>
      <w:r>
        <w:rPr>
          <w:b/>
        </w:rPr>
        <w:t xml:space="preserve"> a 2</w:t>
      </w:r>
      <w:r w:rsidR="00C6614B">
        <w:rPr>
          <w:b/>
        </w:rPr>
        <w:t>5</w:t>
      </w:r>
    </w:p>
    <w:p w:rsidR="00FE2CD3">
      <w:pPr>
        <w:ind w:firstLine="360"/>
        <w:jc w:val="both"/>
      </w:pPr>
      <w:r>
        <w:t xml:space="preserve">Navrhovanou zmenou sa ruší pôvodné ohlasovanie výroby potravín, ktoré sa vykonávalo v súlade s § 6 ods. 1, a nahrádza sa , v súlade s Nariadením EP a Rady č. 852/2004 o hygiene potravín, registráciou prevádzkární. Dôvodom je potreba vedenia aktuálneho registra prevádzok, a ukladá sa tiež povinnosť pre prevádzkovateľov oznamovať orgánom úradnej kontroly všetky zmeny súvisiace so zmenou činnosti prevádzkárne až po jej prípadné uzatvorenie. Zároveň je potrebné zmeniť názov § 6. </w:t>
      </w:r>
    </w:p>
    <w:p w:rsidR="00FE2CD3">
      <w:pPr>
        <w:ind w:left="360" w:hanging="360"/>
        <w:jc w:val="both"/>
      </w:pPr>
    </w:p>
    <w:p w:rsidR="00FE2CD3">
      <w:pPr>
        <w:jc w:val="both"/>
        <w:rPr>
          <w:b/>
        </w:rPr>
      </w:pPr>
      <w:r>
        <w:rPr>
          <w:b/>
        </w:rPr>
        <w:t>K bodu  2</w:t>
      </w:r>
      <w:r w:rsidR="00C6614B">
        <w:rPr>
          <w:b/>
        </w:rPr>
        <w:t>6</w:t>
      </w:r>
    </w:p>
    <w:p w:rsidR="00FE2CD3">
      <w:pPr>
        <w:ind w:firstLine="708"/>
        <w:jc w:val="both"/>
      </w:pPr>
      <w:r>
        <w:t>Ukladá sa orgánom úradnej kontroly viesť aktuálny zoznam zaregistrovaných prevádzkární.</w:t>
      </w:r>
    </w:p>
    <w:p w:rsidR="00FE2CD3">
      <w:pPr>
        <w:ind w:left="360" w:hanging="360"/>
        <w:jc w:val="both"/>
      </w:pPr>
    </w:p>
    <w:p w:rsidR="00FE2CD3">
      <w:pPr>
        <w:jc w:val="both"/>
        <w:rPr>
          <w:b/>
        </w:rPr>
      </w:pPr>
      <w:r>
        <w:rPr>
          <w:b/>
        </w:rPr>
        <w:t>K bodu 2</w:t>
      </w:r>
      <w:r w:rsidR="00C6614B">
        <w:rPr>
          <w:b/>
        </w:rPr>
        <w:t>7</w:t>
      </w:r>
    </w:p>
    <w:p w:rsidR="00FE2CD3">
      <w:pPr>
        <w:ind w:firstLine="708"/>
        <w:jc w:val="both"/>
      </w:pPr>
      <w:r>
        <w:t>Upresnením § 6 ods. 3 písm. a bod 4 sa upravuje povinnosť podnikateľov neuvádzať do obehu potraviny, ktoré nezodpovedajú požiadavkám na bezpečnosť, zdravotnú neškodnosť a kvalitu napr. v súlade s Nariadením EP a Rady č. 178/2002.</w:t>
      </w:r>
    </w:p>
    <w:p w:rsidR="00FE2CD3">
      <w:pPr>
        <w:ind w:left="360" w:hanging="360"/>
        <w:jc w:val="both"/>
      </w:pPr>
    </w:p>
    <w:p w:rsidR="0025489F">
      <w:pPr>
        <w:ind w:left="360" w:hanging="360"/>
        <w:jc w:val="both"/>
      </w:pPr>
    </w:p>
    <w:p w:rsidR="00FE2CD3">
      <w:pPr>
        <w:jc w:val="both"/>
        <w:rPr>
          <w:b/>
        </w:rPr>
      </w:pPr>
      <w:r>
        <w:rPr>
          <w:b/>
        </w:rPr>
        <w:t>K bodu  2</w:t>
      </w:r>
      <w:r w:rsidR="00C6614B">
        <w:rPr>
          <w:b/>
        </w:rPr>
        <w:t>8</w:t>
      </w:r>
    </w:p>
    <w:p w:rsidR="00FE2CD3">
      <w:pPr>
        <w:ind w:firstLine="708"/>
        <w:jc w:val="both"/>
      </w:pPr>
      <w:r>
        <w:t>Zrušením § 6a  sa z pôsobnosti zákona o potravinách vyníma klasifikácia tiel jatočných zvierat, ktorá vecne patrí do oblasti organizácie trhu.</w:t>
      </w:r>
    </w:p>
    <w:p w:rsidR="00FE2CD3">
      <w:pPr>
        <w:jc w:val="both"/>
      </w:pPr>
    </w:p>
    <w:p w:rsidR="00C6614B">
      <w:pPr>
        <w:jc w:val="both"/>
        <w:rPr>
          <w:b/>
        </w:rPr>
      </w:pPr>
      <w:r w:rsidR="00FE2CD3">
        <w:rPr>
          <w:b/>
        </w:rPr>
        <w:t>K bod</w:t>
      </w:r>
      <w:r>
        <w:rPr>
          <w:b/>
        </w:rPr>
        <w:t>om</w:t>
      </w:r>
      <w:r w:rsidR="00FE2CD3">
        <w:rPr>
          <w:b/>
        </w:rPr>
        <w:t xml:space="preserve"> 2</w:t>
      </w:r>
      <w:r>
        <w:rPr>
          <w:b/>
        </w:rPr>
        <w:t>9</w:t>
      </w:r>
      <w:r w:rsidR="00CA4449">
        <w:rPr>
          <w:b/>
        </w:rPr>
        <w:t xml:space="preserve"> </w:t>
      </w:r>
      <w:r>
        <w:rPr>
          <w:b/>
        </w:rPr>
        <w:t>a 30</w:t>
      </w:r>
    </w:p>
    <w:p w:rsidR="00C6614B" w:rsidRPr="00C6614B">
      <w:pPr>
        <w:jc w:val="both"/>
      </w:pPr>
      <w:r>
        <w:rPr>
          <w:b/>
        </w:rPr>
        <w:tab/>
      </w:r>
      <w:r>
        <w:t>Ustanovuje sa, že za výmenu informácií ak ide o riziko súvisiace s bezpečnosťou potravín, zodpovedajú úrady úradnej kontroly potravín.</w:t>
      </w:r>
    </w:p>
    <w:p w:rsidR="00C6614B">
      <w:pPr>
        <w:jc w:val="both"/>
        <w:rPr>
          <w:b/>
        </w:rPr>
      </w:pPr>
    </w:p>
    <w:p w:rsidR="00FE2CD3">
      <w:pPr>
        <w:jc w:val="both"/>
        <w:rPr>
          <w:b/>
        </w:rPr>
      </w:pPr>
      <w:r w:rsidR="00C6614B">
        <w:rPr>
          <w:b/>
        </w:rPr>
        <w:t>K bodu</w:t>
      </w:r>
      <w:r>
        <w:rPr>
          <w:b/>
        </w:rPr>
        <w:t xml:space="preserve"> </w:t>
      </w:r>
      <w:r w:rsidR="00C6614B">
        <w:rPr>
          <w:b/>
        </w:rPr>
        <w:t>31</w:t>
      </w:r>
    </w:p>
    <w:p w:rsidR="00FE2CD3">
      <w:pPr>
        <w:ind w:firstLine="708"/>
        <w:jc w:val="both"/>
      </w:pPr>
      <w:r>
        <w:t>V § 6b sa rušia odseky upravujúce hodnotenie a riadenie rizika, informácie o riziku a novo sa upravuje pôsobnosť ministerstva a ministerstva zdravotníctva vo vzťahu k povereniu fyzických alebo právnických osôb, ktoré môžu pripravovať vedecké stanoviská a vedecké poradenstvo.</w:t>
      </w:r>
    </w:p>
    <w:p w:rsidR="00FE2CD3">
      <w:pPr>
        <w:ind w:left="360" w:hanging="360"/>
        <w:jc w:val="both"/>
      </w:pPr>
    </w:p>
    <w:p w:rsidR="00FE2CD3">
      <w:pPr>
        <w:jc w:val="both"/>
        <w:rPr>
          <w:b/>
        </w:rPr>
      </w:pPr>
      <w:r>
        <w:rPr>
          <w:b/>
        </w:rPr>
        <w:t>K bodu 3</w:t>
      </w:r>
      <w:r w:rsidR="00C6614B">
        <w:rPr>
          <w:b/>
        </w:rPr>
        <w:t>2</w:t>
      </w:r>
    </w:p>
    <w:p w:rsidR="00FE2CD3">
      <w:pPr>
        <w:ind w:firstLine="708"/>
        <w:jc w:val="both"/>
      </w:pPr>
      <w:r>
        <w:t>V nadväznosti na členstvo SR v EÚ sa upresnili podmienky pre dovoz z tretích krajín a v rámci spoločenstva, ako aj podmienky, ktoré musí spĺňať vývoz a reexport v súlade s </w:t>
      </w:r>
      <w:r w:rsidR="00C6614B">
        <w:t>n</w:t>
      </w:r>
      <w:r>
        <w:t>ariadením E</w:t>
      </w:r>
      <w:r w:rsidR="00C6614B">
        <w:t>urópskeho parlamentu</w:t>
      </w:r>
      <w:r>
        <w:t xml:space="preserve"> a Rady č. 882/2004.</w:t>
      </w:r>
    </w:p>
    <w:p w:rsidR="00FE2CD3">
      <w:pPr>
        <w:ind w:left="360" w:hanging="360"/>
        <w:jc w:val="both"/>
      </w:pPr>
    </w:p>
    <w:p w:rsidR="00FE2CD3">
      <w:pPr>
        <w:jc w:val="both"/>
        <w:rPr>
          <w:b/>
        </w:rPr>
      </w:pPr>
      <w:r>
        <w:rPr>
          <w:b/>
        </w:rPr>
        <w:t>K bodom 3</w:t>
      </w:r>
      <w:r w:rsidR="00C6614B">
        <w:rPr>
          <w:b/>
        </w:rPr>
        <w:t>3 až 36</w:t>
      </w:r>
    </w:p>
    <w:p w:rsidR="00FE2CD3">
      <w:pPr>
        <w:ind w:firstLine="360"/>
        <w:jc w:val="both"/>
      </w:pPr>
      <w:r>
        <w:t xml:space="preserve">V § 10 až 12, ktoré upravujú podmienky skladovania, prepravy a predaja potravín sa dopĺňa povinnosť prevádzkovateľov potravinárskych podnikov dodržiavať i predpisy Spoločenstva najmä v oblasti hygieny a to plnením podmienok upravených </w:t>
      </w:r>
      <w:r w:rsidR="00C6614B">
        <w:t>n</w:t>
      </w:r>
      <w:r>
        <w:t>ariadením E</w:t>
      </w:r>
      <w:r w:rsidR="00C6614B">
        <w:t>urópskeho parlamentu</w:t>
      </w:r>
      <w:r>
        <w:t xml:space="preserve"> a Rady č. 852/2004 o hygiene potravín.</w:t>
      </w:r>
    </w:p>
    <w:p w:rsidR="00FE2CD3">
      <w:pPr>
        <w:jc w:val="both"/>
      </w:pPr>
    </w:p>
    <w:p w:rsidR="00FE2CD3">
      <w:pPr>
        <w:jc w:val="both"/>
        <w:rPr>
          <w:b/>
        </w:rPr>
      </w:pPr>
      <w:r>
        <w:rPr>
          <w:b/>
        </w:rPr>
        <w:t>K bodom 3</w:t>
      </w:r>
      <w:r w:rsidR="00C6614B">
        <w:rPr>
          <w:b/>
        </w:rPr>
        <w:t xml:space="preserve">7 </w:t>
      </w:r>
      <w:r>
        <w:rPr>
          <w:b/>
        </w:rPr>
        <w:t>a 3</w:t>
      </w:r>
      <w:r w:rsidR="00C6614B">
        <w:rPr>
          <w:b/>
        </w:rPr>
        <w:t>8</w:t>
      </w:r>
    </w:p>
    <w:p w:rsidR="00FE2CD3">
      <w:pPr>
        <w:ind w:firstLine="708"/>
        <w:jc w:val="both"/>
        <w:rPr>
          <w:b/>
        </w:rPr>
      </w:pPr>
      <w:r>
        <w:t>Upravuje sa definícia tabakových výrobkov a v nadväznosti na zmenu zákona o ochrane nefajčiarov bolo potrebné doplniť požiadavku na povinné označovanie tabakových výrobkov aj o obsah oxidu uhoľnatého v súlade s legislatívou EÚ, ktorá je zapracovaná komplexne v citovanom zákone.</w:t>
      </w:r>
    </w:p>
    <w:p w:rsidR="00FE2CD3">
      <w:pPr>
        <w:ind w:left="360" w:hanging="360"/>
        <w:jc w:val="both"/>
      </w:pPr>
    </w:p>
    <w:p w:rsidR="00FE2CD3">
      <w:pPr>
        <w:jc w:val="both"/>
        <w:rPr>
          <w:b/>
        </w:rPr>
      </w:pPr>
      <w:r>
        <w:rPr>
          <w:b/>
        </w:rPr>
        <w:t>K bodu 3</w:t>
      </w:r>
      <w:r w:rsidR="00C6614B">
        <w:rPr>
          <w:b/>
        </w:rPr>
        <w:t>9</w:t>
      </w:r>
      <w:r>
        <w:rPr>
          <w:b/>
        </w:rPr>
        <w:t xml:space="preserve"> </w:t>
      </w:r>
    </w:p>
    <w:p w:rsidR="00FE2CD3">
      <w:pPr>
        <w:pStyle w:val="Styl1"/>
        <w:rPr>
          <w:bCs/>
          <w:lang w:eastAsia="sk-SK"/>
        </w:rPr>
      </w:pPr>
      <w:r>
        <w:rPr>
          <w:bCs/>
          <w:lang w:eastAsia="sk-SK"/>
        </w:rPr>
        <w:tab/>
        <w:t xml:space="preserve">Legislatívno-technické upresnenie. </w:t>
      </w:r>
    </w:p>
    <w:p w:rsidR="00FE2CD3">
      <w:pPr>
        <w:jc w:val="both"/>
        <w:rPr>
          <w:bCs/>
        </w:rPr>
      </w:pPr>
    </w:p>
    <w:p w:rsidR="00FE2CD3">
      <w:pPr>
        <w:jc w:val="both"/>
        <w:rPr>
          <w:b/>
        </w:rPr>
      </w:pPr>
      <w:r>
        <w:rPr>
          <w:b/>
        </w:rPr>
        <w:t xml:space="preserve">K bodom </w:t>
      </w:r>
      <w:r w:rsidR="00C6614B">
        <w:rPr>
          <w:b/>
        </w:rPr>
        <w:t>40 a 41</w:t>
      </w:r>
    </w:p>
    <w:p w:rsidR="00FE2CD3">
      <w:pPr>
        <w:ind w:firstLine="708"/>
        <w:jc w:val="both"/>
      </w:pPr>
      <w:r>
        <w:t>V súlade s </w:t>
      </w:r>
      <w:r w:rsidR="00C6614B">
        <w:t>n</w:t>
      </w:r>
      <w:r>
        <w:t xml:space="preserve">ariadením </w:t>
      </w:r>
      <w:r w:rsidR="00C6614B">
        <w:t>Európskeho parlamentu</w:t>
      </w:r>
      <w:r>
        <w:t xml:space="preserve"> a Rady č. 882/2004 sa menia orgány potravinového dozoru na orgány úradnej kontroly (napr. v názve štvrtej časti zákona) a § 18 upresňuje nad čím sa úradná kontrola vykonáva i s odvolaním sa na príslušné </w:t>
      </w:r>
      <w:r w:rsidR="00C6614B">
        <w:t>n</w:t>
      </w:r>
      <w:r>
        <w:t xml:space="preserve">ariadenia (napr. osobná hygiena podľa prílohy II kapitola 8 </w:t>
      </w:r>
      <w:r w:rsidR="00C6614B">
        <w:t>n</w:t>
      </w:r>
      <w:r>
        <w:t xml:space="preserve">ariadenia 852/2004, vybraných článkov </w:t>
      </w:r>
      <w:r w:rsidR="00C6614B">
        <w:t>n</w:t>
      </w:r>
      <w:r>
        <w:t xml:space="preserve">ariadenia 882/2004 a pod.). </w:t>
      </w:r>
    </w:p>
    <w:p w:rsidR="00FE2CD3">
      <w:pPr>
        <w:ind w:firstLine="708"/>
        <w:jc w:val="both"/>
        <w:rPr>
          <w:b/>
        </w:rPr>
      </w:pPr>
      <w:r>
        <w:t>V  paragrafe 19 sa ustanovujú právomoci orgánov úradnej kontroly na základe zistení porušení pri výkone úradnej kontroly ako napr. zákaz výroby manipulácie alebo uvádzania do obehu výrobkov nezodpovedajúcich podmienkam práva EÚ, tomuto zákonu alebo potravinovému kódexu, návrhy na zrušenie živnostenského oprávnenia, rozhodnú o uzatvorení prevádzky a pod.</w:t>
      </w:r>
    </w:p>
    <w:p w:rsidR="00FE2CD3">
      <w:pPr>
        <w:ind w:firstLine="708"/>
        <w:jc w:val="both"/>
      </w:pPr>
      <w:r>
        <w:t xml:space="preserve">V § 20 v súlade s príslušnými článkami </w:t>
      </w:r>
      <w:r w:rsidR="00C6614B">
        <w:t>n</w:t>
      </w:r>
      <w:r>
        <w:t>ariadenia 882/2004 o úradných kontrolách potravín sa upravujú podmienky odberu vzoriek, pričom sa rozširuje aj o právo prevádzkovateľa, aby mal dostatok vzoriek i pre doplnkové stanovisko znalca, upresňuje spôsob manipulácie so vzorkami a spôsob ich označovania ale upravuje aj výkon úradnej kontroly nad rámec normálnej kontrolnej činnosti a úhradu nákladov s tým spojených. Okrem toho sú týmto paragrafom upravené oprávnenia zamestnancov úradnej kontroly potravín pri výkone úradnej kontroly.</w:t>
      </w:r>
    </w:p>
    <w:p w:rsidR="00FE2CD3">
      <w:pPr>
        <w:jc w:val="both"/>
      </w:pPr>
    </w:p>
    <w:p w:rsidR="00FE2CD3">
      <w:pPr>
        <w:jc w:val="both"/>
        <w:rPr>
          <w:b/>
        </w:rPr>
      </w:pPr>
      <w:r>
        <w:rPr>
          <w:b/>
        </w:rPr>
        <w:t>K bod</w:t>
      </w:r>
      <w:r w:rsidR="00972073">
        <w:rPr>
          <w:b/>
        </w:rPr>
        <w:t>om</w:t>
      </w:r>
      <w:r>
        <w:rPr>
          <w:b/>
        </w:rPr>
        <w:t xml:space="preserve"> 4</w:t>
      </w:r>
      <w:r w:rsidR="00C6614B">
        <w:rPr>
          <w:b/>
        </w:rPr>
        <w:t>2 a 43</w:t>
      </w:r>
    </w:p>
    <w:p w:rsidR="00FE2CD3">
      <w:pPr>
        <w:ind w:firstLine="708"/>
        <w:jc w:val="both"/>
      </w:pPr>
      <w:r>
        <w:t>V § 21 sa upravuje pôsobnosť orgánov úradnej kontroly a dopĺňa sa ich pôsobnosť vo vzťahu k legislatíve spoločenstva uvedenej v poznámke pod čiarou.</w:t>
      </w:r>
    </w:p>
    <w:p w:rsidR="00FE2CD3">
      <w:pPr>
        <w:ind w:firstLine="708"/>
        <w:jc w:val="both"/>
      </w:pPr>
      <w:r>
        <w:t xml:space="preserve">V § 21 ods. 1 sa vypúšťajú z organizácie úradnej kontroly krajské veterinárne a potravinové správy, čo je v súlade s pripravovanou novelou zákona o veterinárnej starostlivosti. </w:t>
      </w:r>
    </w:p>
    <w:p w:rsidR="00FE2CD3">
      <w:pPr>
        <w:jc w:val="both"/>
      </w:pPr>
    </w:p>
    <w:p w:rsidR="00FE2CD3">
      <w:pPr>
        <w:jc w:val="both"/>
        <w:rPr>
          <w:b/>
        </w:rPr>
      </w:pPr>
      <w:r>
        <w:rPr>
          <w:b/>
        </w:rPr>
        <w:t>K bodu 4</w:t>
      </w:r>
      <w:r w:rsidR="00C6614B">
        <w:rPr>
          <w:b/>
        </w:rPr>
        <w:t>4</w:t>
      </w:r>
    </w:p>
    <w:p w:rsidR="00FE2CD3">
      <w:pPr>
        <w:pStyle w:val="Styl1"/>
        <w:rPr>
          <w:bCs/>
          <w:lang w:eastAsia="sk-SK"/>
        </w:rPr>
      </w:pPr>
      <w:r>
        <w:rPr>
          <w:bCs/>
          <w:lang w:eastAsia="sk-SK"/>
        </w:rPr>
        <w:tab/>
        <w:t xml:space="preserve">Dopĺňa sa povinnosť vypracovať výročné správy tak, ako to vyžaduje EÚ. </w:t>
      </w:r>
    </w:p>
    <w:p w:rsidR="00FE2CD3">
      <w:pPr>
        <w:pStyle w:val="Styl1"/>
        <w:rPr>
          <w:bCs/>
          <w:lang w:eastAsia="sk-SK"/>
        </w:rPr>
      </w:pPr>
    </w:p>
    <w:p w:rsidR="00FE2CD3">
      <w:pPr>
        <w:jc w:val="both"/>
        <w:rPr>
          <w:b/>
        </w:rPr>
      </w:pPr>
      <w:r>
        <w:rPr>
          <w:b/>
        </w:rPr>
        <w:t>K bodu 4</w:t>
      </w:r>
      <w:r w:rsidR="00C6614B">
        <w:rPr>
          <w:b/>
        </w:rPr>
        <w:t>5</w:t>
      </w:r>
    </w:p>
    <w:p w:rsidR="00FE2CD3">
      <w:pPr>
        <w:ind w:firstLine="708"/>
        <w:jc w:val="both"/>
      </w:pPr>
      <w:r>
        <w:t xml:space="preserve">V § 21 sa dopĺňa odsek 3, ktorým sa vytvára priestor na delegovanie osobitných úloh (v súlade s čl. 5 </w:t>
      </w:r>
      <w:r w:rsidR="009221C2">
        <w:t>n</w:t>
      </w:r>
      <w:r>
        <w:t>ariadenia 882/2004) súvisiacich s úradnou kontrolou aj na iné kontrolné subjekty a ukladá sa povinnosť ministerstvám informovať o takomto poverení Európsku komisiu.</w:t>
      </w:r>
    </w:p>
    <w:p w:rsidR="00FE2CD3">
      <w:pPr>
        <w:ind w:firstLine="360"/>
        <w:jc w:val="both"/>
      </w:pPr>
    </w:p>
    <w:p w:rsidR="00FE2CD3">
      <w:pPr>
        <w:jc w:val="both"/>
        <w:rPr>
          <w:b/>
        </w:rPr>
      </w:pPr>
      <w:r>
        <w:rPr>
          <w:b/>
        </w:rPr>
        <w:t>K bodu 4</w:t>
      </w:r>
      <w:r w:rsidR="00C6614B">
        <w:rPr>
          <w:b/>
        </w:rPr>
        <w:t>6</w:t>
      </w:r>
    </w:p>
    <w:p w:rsidR="00FE2CD3">
      <w:pPr>
        <w:ind w:firstLine="708"/>
        <w:jc w:val="both"/>
      </w:pPr>
      <w:r>
        <w:t>V nadväznosti na novú legislatívnu úpravu v EÚ  (</w:t>
      </w:r>
      <w:r w:rsidR="009221C2">
        <w:t>n</w:t>
      </w:r>
      <w:r>
        <w:t xml:space="preserve">ariadenie č. 882/2004) sa ruší v § 22 ods. 1 písm. b – autorizácia referenčných laboratórií a problematika laboratórií sa komplexne rieši v § 25. </w:t>
      </w:r>
    </w:p>
    <w:p w:rsidR="00FE2CD3">
      <w:pPr>
        <w:ind w:firstLine="708"/>
        <w:jc w:val="both"/>
      </w:pPr>
      <w:r>
        <w:t xml:space="preserve">Zmena § 22 ods. 2 sa navrhuje v súlade s požiadavkami upravenými v jednotlivých článkoch </w:t>
      </w:r>
      <w:r w:rsidR="009221C2">
        <w:t>n</w:t>
      </w:r>
      <w:r>
        <w:t>ariadenia č. 882/2004 – vypracovanie integrovaného viacročného plánu kontrol podľa čl. 41 až 43, predkladanie výročných správ Európskej komisii podľa čl. 44, poverenie kontrolných subjektov určitými osobitnými úlohami súvisiacimi s úradnými kontrolami podľa čl. 5 ods. 33, kontroly, schvaľovanie a revízia pohotovostných plánov – podľa  čl. 13. s cieľom dosiahnuť priame prepojenie národnej  a európskej legislatívy.</w:t>
      </w:r>
    </w:p>
    <w:p w:rsidR="00FE2CD3">
      <w:pPr>
        <w:jc w:val="both"/>
      </w:pPr>
    </w:p>
    <w:p w:rsidR="00FE2CD3">
      <w:pPr>
        <w:jc w:val="both"/>
        <w:rPr>
          <w:b/>
        </w:rPr>
      </w:pPr>
      <w:r>
        <w:rPr>
          <w:b/>
        </w:rPr>
        <w:t>K bodu 4</w:t>
      </w:r>
      <w:r w:rsidR="009221C2">
        <w:rPr>
          <w:b/>
        </w:rPr>
        <w:t>7</w:t>
      </w:r>
    </w:p>
    <w:p w:rsidR="00FE2CD3">
      <w:pPr>
        <w:ind w:firstLine="708"/>
        <w:jc w:val="both"/>
      </w:pPr>
      <w:r>
        <w:t>Ustanovenie § 22 o odsek 5 vyplýva z povinností členského štátu podľa čl. 35 Nariadenia č. 882/2004, menovať jeden alebo viac orgánov, ktoré podľa potreby budú spolupracovať so styčnými orgánmi  iných členských štátov. Ďalej z tohto ustanovenia vyplýva povinnosť informovať Európsku komisiu  a ostatné členské štáty o všetkých relevantných podrobných údajoch o menovaných styčných orgánoch.</w:t>
      </w:r>
    </w:p>
    <w:p w:rsidR="00FE2CD3">
      <w:pPr>
        <w:ind w:firstLine="360"/>
        <w:jc w:val="both"/>
      </w:pPr>
    </w:p>
    <w:p w:rsidR="00CA4449" w:rsidP="00CA4449">
      <w:pPr>
        <w:jc w:val="both"/>
        <w:rPr>
          <w:b/>
        </w:rPr>
      </w:pPr>
      <w:r>
        <w:rPr>
          <w:b/>
        </w:rPr>
        <w:t>K bodu 4</w:t>
      </w:r>
      <w:r w:rsidR="009221C2">
        <w:rPr>
          <w:b/>
        </w:rPr>
        <w:t>8</w:t>
      </w:r>
    </w:p>
    <w:p w:rsidR="00CA4449" w:rsidP="00CA4449">
      <w:pPr>
        <w:jc w:val="both"/>
      </w:pPr>
      <w:r>
        <w:tab/>
        <w:t>Upravuje sa, že kontrolu geneticky modifikovaných potravín nevykonávajú orgány Štátnej veterinárnej a potravinovej správy SR pri ich  používaní v službách spoločného stravovania.</w:t>
      </w:r>
    </w:p>
    <w:p w:rsidR="00CA4449" w:rsidRPr="00CA4449" w:rsidP="00CA4449">
      <w:pPr>
        <w:jc w:val="both"/>
      </w:pPr>
    </w:p>
    <w:p w:rsidR="00FE2CD3">
      <w:pPr>
        <w:jc w:val="both"/>
        <w:rPr>
          <w:b/>
        </w:rPr>
      </w:pPr>
      <w:r>
        <w:rPr>
          <w:b/>
        </w:rPr>
        <w:t>K bodu 4</w:t>
      </w:r>
      <w:r w:rsidR="009221C2">
        <w:rPr>
          <w:b/>
        </w:rPr>
        <w:t>9</w:t>
      </w:r>
    </w:p>
    <w:p w:rsidR="00FE2CD3">
      <w:pPr>
        <w:ind w:firstLine="708"/>
        <w:jc w:val="both"/>
      </w:pPr>
      <w:r>
        <w:t xml:space="preserve">V § 23 sa menia odseky 2 až </w:t>
      </w:r>
      <w:r w:rsidR="009221C2">
        <w:t>7</w:t>
      </w:r>
      <w:r>
        <w:t>, ktorými sa ustanovuje spolupráca pri určovaní miesta vstupu pre kontrolu dovozu potravín rastlinného pôvodu s Colným riaditeľstvom SR; ďalej sa ukladá prevádzkovateľom uhradiť náklady spojené s úradnou kontrolou v prípade podozrenia, pozastavenia, osobitného došetrenia až po vrátenie zásielo</w:t>
      </w:r>
      <w:smartTag w:uri="urn:schemas-microsoft-com:office:smarttags" w:element="PersonName">
        <w:r>
          <w:t>k.</w:t>
        </w:r>
      </w:smartTag>
    </w:p>
    <w:p w:rsidR="00FE2CD3">
      <w:pPr>
        <w:ind w:firstLine="708"/>
        <w:jc w:val="both"/>
      </w:pPr>
      <w:r>
        <w:t>Odsekom 5 sa v súlade s čl. 4 ods. 6 nariadenia č. 882/2004 ukladá vykonávať audity úradných kontrol.</w:t>
      </w:r>
    </w:p>
    <w:p w:rsidR="009221C2">
      <w:pPr>
        <w:jc w:val="both"/>
        <w:rPr>
          <w:b/>
        </w:rPr>
      </w:pPr>
    </w:p>
    <w:p w:rsidR="00FE2CD3">
      <w:pPr>
        <w:jc w:val="both"/>
        <w:rPr>
          <w:b/>
        </w:rPr>
      </w:pPr>
      <w:r w:rsidR="009221C2">
        <w:rPr>
          <w:b/>
        </w:rPr>
        <w:t>K bodu 50</w:t>
      </w:r>
    </w:p>
    <w:p w:rsidR="00FE2CD3">
      <w:pPr>
        <w:ind w:firstLine="360"/>
        <w:jc w:val="both"/>
      </w:pPr>
      <w:r>
        <w:t>Novým znením § 25 sa upravuje pôsobnosť ministerstiev pri menovaní úradných laboratórií (čl. 12 nariadenia 882/2004), ďalej národných referenčných laboratórií  (čl. 32 a 33 nariadenia 882/2004), ustanovujú sa požiadavky na úradné laboratóriá (čl. 12 nariadenia 882/2004), metódy odberu vzoriek a spôsob vykonávania analýz podľa predpisov EÚ prípadne použitie validovaných metód, ak iné neexistujú a požiadavky na vzdelávanie zamestnancov vykonávajúcich úradnú kontrolu.</w:t>
      </w:r>
    </w:p>
    <w:p w:rsidR="00972073">
      <w:pPr>
        <w:jc w:val="both"/>
        <w:rPr>
          <w:b/>
        </w:rPr>
      </w:pPr>
    </w:p>
    <w:p w:rsidR="00FE2CD3">
      <w:pPr>
        <w:jc w:val="both"/>
        <w:rPr>
          <w:b/>
        </w:rPr>
      </w:pPr>
      <w:r>
        <w:rPr>
          <w:b/>
        </w:rPr>
        <w:t xml:space="preserve">K bodu </w:t>
      </w:r>
      <w:r w:rsidR="00CA4449">
        <w:rPr>
          <w:b/>
        </w:rPr>
        <w:t>5</w:t>
      </w:r>
      <w:r w:rsidR="009221C2">
        <w:rPr>
          <w:b/>
        </w:rPr>
        <w:t>1</w:t>
      </w:r>
    </w:p>
    <w:p w:rsidR="00FE2CD3">
      <w:pPr>
        <w:ind w:firstLine="708"/>
        <w:jc w:val="both"/>
      </w:pPr>
      <w:r>
        <w:t>Text § 28 ods. 1 sa rozširuje o možnosť ukladať pokuty orgánmi úradnej kontroly, ak podnikateľ postupuje nielen v rozpore s týmto zákonom, ale aj v rozpore s legislatívo</w:t>
      </w:r>
      <w:r w:rsidR="009221C2">
        <w:t>u Európskeho spoločenstva, konkretizujú sa výšky pokuty za porušenie povinností  a to podľa závažnosti porušenia týchto povinností.</w:t>
      </w:r>
    </w:p>
    <w:p w:rsidR="009221C2">
      <w:pPr>
        <w:jc w:val="both"/>
        <w:rPr>
          <w:b/>
        </w:rPr>
      </w:pPr>
    </w:p>
    <w:p w:rsidR="00FE2CD3">
      <w:pPr>
        <w:jc w:val="both"/>
        <w:rPr>
          <w:b/>
        </w:rPr>
      </w:pPr>
      <w:r>
        <w:rPr>
          <w:b/>
        </w:rPr>
        <w:t>K bodom 5</w:t>
      </w:r>
      <w:r w:rsidR="009221C2">
        <w:rPr>
          <w:b/>
        </w:rPr>
        <w:t>2</w:t>
      </w:r>
      <w:r>
        <w:rPr>
          <w:b/>
        </w:rPr>
        <w:t xml:space="preserve"> a 5</w:t>
      </w:r>
      <w:r w:rsidR="009221C2">
        <w:rPr>
          <w:b/>
        </w:rPr>
        <w:t>3</w:t>
      </w:r>
    </w:p>
    <w:p w:rsidR="00FE2CD3">
      <w:pPr>
        <w:pStyle w:val="Styl1"/>
        <w:rPr>
          <w:bCs/>
          <w:lang w:eastAsia="sk-SK"/>
        </w:rPr>
      </w:pPr>
      <w:r>
        <w:rPr>
          <w:bCs/>
          <w:lang w:eastAsia="sk-SK"/>
        </w:rPr>
        <w:tab/>
        <w:t xml:space="preserve">Vypúšťajú sa úlohy v oblasti tabakových výrobkov. </w:t>
      </w:r>
    </w:p>
    <w:p w:rsidR="00FE2CD3">
      <w:pPr>
        <w:jc w:val="both"/>
        <w:rPr>
          <w:bCs/>
        </w:rPr>
      </w:pPr>
    </w:p>
    <w:p w:rsidR="00FE2CD3">
      <w:pPr>
        <w:jc w:val="both"/>
      </w:pPr>
      <w:r>
        <w:rPr>
          <w:b/>
        </w:rPr>
        <w:t>K bodu 5</w:t>
      </w:r>
      <w:r w:rsidR="009221C2">
        <w:rPr>
          <w:b/>
        </w:rPr>
        <w:t>4</w:t>
      </w:r>
    </w:p>
    <w:p w:rsidR="00FE2CD3">
      <w:pPr>
        <w:jc w:val="both"/>
      </w:pPr>
      <w:r>
        <w:tab/>
        <w:t>Doplňuje sa pôsobnosť ministerstva zdravotníctva vo veciach hygieny potravín.</w:t>
      </w:r>
    </w:p>
    <w:p w:rsidR="00FE2CD3">
      <w:pPr>
        <w:jc w:val="both"/>
      </w:pPr>
    </w:p>
    <w:p w:rsidR="00FE2CD3">
      <w:pPr>
        <w:jc w:val="both"/>
        <w:rPr>
          <w:b/>
        </w:rPr>
      </w:pPr>
      <w:r>
        <w:rPr>
          <w:b/>
        </w:rPr>
        <w:t>K bodu 5</w:t>
      </w:r>
      <w:r w:rsidR="009221C2">
        <w:rPr>
          <w:b/>
        </w:rPr>
        <w:t>5</w:t>
      </w:r>
    </w:p>
    <w:p w:rsidR="00FE2CD3">
      <w:pPr>
        <w:ind w:firstLine="708"/>
        <w:jc w:val="both"/>
      </w:pPr>
      <w:r>
        <w:t>V texte § 31 ods. 2 sa v nadväznosti na zmeny vykonané v § 19 vypúšťa text „okrem konania podľa § 19 ods. 4 písm. b)“ nakoľko výnimka zo správneho konania je teraz osobitne upravená v texte § 20 ods. 11.</w:t>
      </w:r>
    </w:p>
    <w:p w:rsidR="00FE2CD3">
      <w:pPr>
        <w:jc w:val="both"/>
        <w:rPr>
          <w:b/>
        </w:rPr>
      </w:pPr>
    </w:p>
    <w:p w:rsidR="00A203CD">
      <w:pPr>
        <w:jc w:val="both"/>
        <w:rPr>
          <w:b/>
        </w:rPr>
      </w:pPr>
    </w:p>
    <w:p w:rsidR="00A203CD">
      <w:pPr>
        <w:jc w:val="both"/>
        <w:rPr>
          <w:b/>
        </w:rPr>
      </w:pPr>
    </w:p>
    <w:p w:rsidR="00FE2CD3">
      <w:pPr>
        <w:jc w:val="both"/>
        <w:rPr>
          <w:b/>
        </w:rPr>
      </w:pPr>
      <w:r>
        <w:rPr>
          <w:b/>
        </w:rPr>
        <w:t xml:space="preserve">K bodu </w:t>
      </w:r>
      <w:r w:rsidR="009221C2">
        <w:rPr>
          <w:b/>
        </w:rPr>
        <w:t>56</w:t>
      </w:r>
    </w:p>
    <w:p w:rsidR="00FE2CD3">
      <w:pPr>
        <w:ind w:firstLine="708"/>
        <w:jc w:val="both"/>
      </w:pPr>
      <w:r>
        <w:t>Navrhovanou zmenou v bode 39 sa jednotne v celom znení zákona nahrádza pojem „potravinový dozor“ v súlade s Nariadením č. 882/2004 pojmom „úradná kontrola“ v príslušnom gramatickom tvare.</w:t>
      </w:r>
    </w:p>
    <w:p w:rsidR="00CA4449">
      <w:pPr>
        <w:jc w:val="both"/>
        <w:rPr>
          <w:b/>
        </w:rPr>
      </w:pPr>
    </w:p>
    <w:p w:rsidR="00FE2CD3">
      <w:pPr>
        <w:jc w:val="both"/>
        <w:rPr>
          <w:b/>
        </w:rPr>
      </w:pPr>
      <w:r>
        <w:rPr>
          <w:b/>
        </w:rPr>
        <w:t xml:space="preserve">K bodu </w:t>
      </w:r>
      <w:r w:rsidR="009221C2">
        <w:rPr>
          <w:b/>
        </w:rPr>
        <w:t>57</w:t>
      </w:r>
    </w:p>
    <w:p w:rsidR="00FE2CD3">
      <w:pPr>
        <w:ind w:firstLine="708"/>
        <w:jc w:val="both"/>
      </w:pPr>
      <w:r>
        <w:t>Obdobne ako v bode 48 sa v celom texte zákona slová podnikateľ alebo výrobca nahrádza jednotným pojmom – prevádzkovateľ potravinárskeho podniku, čo je v súlade s pojmami používanými v nariadeniach EP a Rady.</w:t>
      </w:r>
    </w:p>
    <w:p w:rsidR="00FE2CD3">
      <w:pPr>
        <w:jc w:val="both"/>
      </w:pPr>
    </w:p>
    <w:p w:rsidR="00FE2CD3">
      <w:pPr>
        <w:jc w:val="both"/>
        <w:rPr>
          <w:b/>
        </w:rPr>
      </w:pPr>
      <w:r>
        <w:rPr>
          <w:b/>
        </w:rPr>
        <w:t xml:space="preserve">K bodu  </w:t>
      </w:r>
      <w:r w:rsidR="009221C2">
        <w:rPr>
          <w:b/>
        </w:rPr>
        <w:t>58</w:t>
      </w:r>
    </w:p>
    <w:p w:rsidR="00FE2CD3">
      <w:pPr>
        <w:ind w:firstLine="708"/>
        <w:jc w:val="both"/>
      </w:pPr>
      <w:r>
        <w:t>V celom texte zákona sa nahrádzajú slová „uvádzanie do obehu“ slovami „umiestnenie na trh“ v príslušnom gramatickom tvare, čím sa dosiahne zhoda s legislatívou EÚ.</w:t>
      </w:r>
    </w:p>
    <w:p w:rsidR="00FE2CD3">
      <w:pPr>
        <w:jc w:val="both"/>
      </w:pPr>
    </w:p>
    <w:p w:rsidR="00FE2CD3">
      <w:pPr>
        <w:jc w:val="both"/>
        <w:rPr>
          <w:b/>
        </w:rPr>
      </w:pPr>
      <w:r>
        <w:rPr>
          <w:b/>
        </w:rPr>
        <w:t xml:space="preserve">K bodu  </w:t>
      </w:r>
      <w:r w:rsidR="009221C2">
        <w:rPr>
          <w:b/>
        </w:rPr>
        <w:t>59</w:t>
      </w:r>
    </w:p>
    <w:p w:rsidR="00FE2CD3">
      <w:pPr>
        <w:ind w:firstLine="708"/>
        <w:jc w:val="both"/>
      </w:pPr>
      <w:r>
        <w:t xml:space="preserve">§ 33 odkazuje na prílohu 2 zákona, v ktorej sú uvedené </w:t>
      </w:r>
      <w:r w:rsidR="009221C2">
        <w:t>n</w:t>
      </w:r>
      <w:r>
        <w:t>ariadenia E</w:t>
      </w:r>
      <w:r w:rsidR="009221C2">
        <w:t>urópskeho parlamentu</w:t>
      </w:r>
      <w:r>
        <w:t xml:space="preserve"> a Rady, ktoré sa týmto zákonom vykonávajú.</w:t>
      </w:r>
    </w:p>
    <w:p w:rsidR="00FE2CD3">
      <w:pPr>
        <w:jc w:val="both"/>
      </w:pPr>
    </w:p>
    <w:p w:rsidR="00FE2CD3">
      <w:pPr>
        <w:jc w:val="both"/>
      </w:pPr>
      <w:r>
        <w:rPr>
          <w:b/>
        </w:rPr>
        <w:t>K</w:t>
      </w:r>
      <w:r w:rsidR="009221C2">
        <w:rPr>
          <w:b/>
        </w:rPr>
        <w:t> </w:t>
      </w:r>
      <w:r>
        <w:rPr>
          <w:b/>
        </w:rPr>
        <w:t>bodu</w:t>
      </w:r>
      <w:r w:rsidR="009221C2">
        <w:rPr>
          <w:b/>
        </w:rPr>
        <w:t xml:space="preserve"> 60 </w:t>
      </w:r>
    </w:p>
    <w:p w:rsidR="00FE2CD3">
      <w:pPr>
        <w:jc w:val="both"/>
      </w:pPr>
      <w:r>
        <w:tab/>
        <w:t>Uvádza sa, v súlade s legislatívnymi pravidlami vlády, príloha obsahujúca právne predpisy EÚ.</w:t>
      </w:r>
    </w:p>
    <w:p w:rsidR="00972073">
      <w:pPr>
        <w:jc w:val="both"/>
        <w:rPr>
          <w:b/>
        </w:rPr>
      </w:pPr>
    </w:p>
    <w:p w:rsidR="0025489F">
      <w:pPr>
        <w:jc w:val="both"/>
        <w:rPr>
          <w:b/>
        </w:rPr>
      </w:pPr>
    </w:p>
    <w:p w:rsidR="00FE2CD3">
      <w:pPr>
        <w:jc w:val="both"/>
        <w:rPr>
          <w:b/>
        </w:rPr>
      </w:pPr>
      <w:r w:rsidR="00CA4449">
        <w:rPr>
          <w:b/>
        </w:rPr>
        <w:t>K čl.</w:t>
      </w:r>
      <w:r>
        <w:rPr>
          <w:b/>
        </w:rPr>
        <w:t xml:space="preserve"> II </w:t>
      </w:r>
    </w:p>
    <w:p w:rsidR="00FE2CD3">
      <w:pPr>
        <w:ind w:firstLine="708"/>
        <w:jc w:val="both"/>
      </w:pPr>
      <w:r>
        <w:t>Navrhuje sa splnomocniť predsedu Národnej rady Slovenskej republiky na vydanie úplného znenia zákona NR SR  č. 152/2005 Z. z. v znení neskorších predpisov.</w:t>
      </w:r>
    </w:p>
    <w:p w:rsidR="00FE2CD3">
      <w:pPr>
        <w:jc w:val="both"/>
      </w:pPr>
    </w:p>
    <w:p w:rsidR="00FE2CD3">
      <w:pPr>
        <w:jc w:val="both"/>
        <w:rPr>
          <w:b/>
        </w:rPr>
      </w:pPr>
      <w:r w:rsidR="00CA4449">
        <w:rPr>
          <w:b/>
        </w:rPr>
        <w:t>K čl.</w:t>
      </w:r>
      <w:r>
        <w:rPr>
          <w:b/>
        </w:rPr>
        <w:t xml:space="preserve"> III</w:t>
      </w:r>
    </w:p>
    <w:p w:rsidR="00FE2CD3">
      <w:pPr>
        <w:ind w:firstLine="672"/>
        <w:jc w:val="both"/>
      </w:pPr>
      <w:r>
        <w:tab/>
        <w:t>Navrhuje sa účinnosť zákona od 1.</w:t>
      </w:r>
      <w:r w:rsidR="00F031BB">
        <w:t xml:space="preserve"> </w:t>
      </w:r>
      <w:r w:rsidR="0074016D">
        <w:t>júna</w:t>
      </w:r>
      <w:r>
        <w:t xml:space="preserve"> 2006, s výnimkou bodov 43 a 45, ktoré nadobúdajú účinnosť 1. januára 2007</w:t>
      </w:r>
      <w:r>
        <w:rPr>
          <w:b/>
        </w:rPr>
        <w:t>.</w:t>
      </w:r>
    </w:p>
    <w:p w:rsidR="00FE2CD3">
      <w:pPr>
        <w:ind w:firstLine="672"/>
        <w:jc w:val="both"/>
      </w:pPr>
    </w:p>
    <w:p w:rsidR="00FE2CD3">
      <w:pPr>
        <w:jc w:val="both"/>
      </w:pPr>
    </w:p>
    <w:p w:rsidR="00FE2CD3">
      <w:pPr>
        <w:jc w:val="both"/>
      </w:pPr>
    </w:p>
    <w:p w:rsidR="0025489F">
      <w:pPr>
        <w:jc w:val="both"/>
      </w:pPr>
      <w:r>
        <w:t xml:space="preserve">Bratislava, 18. januára 2006 </w:t>
      </w:r>
    </w:p>
    <w:p w:rsidR="0025489F">
      <w:pPr>
        <w:jc w:val="both"/>
      </w:pPr>
    </w:p>
    <w:p w:rsidR="0025489F">
      <w:pPr>
        <w:jc w:val="both"/>
      </w:pPr>
    </w:p>
    <w:p w:rsidR="0025489F">
      <w:pPr>
        <w:jc w:val="both"/>
      </w:pPr>
    </w:p>
    <w:p w:rsidR="0025489F" w:rsidP="0025489F">
      <w:pPr>
        <w:jc w:val="center"/>
      </w:pPr>
    </w:p>
    <w:p w:rsidR="0025489F" w:rsidP="0025489F">
      <w:pPr>
        <w:jc w:val="center"/>
      </w:pPr>
      <w:r>
        <w:t>Mikuláš Dzurinda</w:t>
      </w:r>
      <w:r w:rsidR="004B67C8">
        <w:t xml:space="preserve"> </w:t>
      </w:r>
      <w:r w:rsidR="00FA1487">
        <w:t xml:space="preserve"> v. r.</w:t>
      </w:r>
    </w:p>
    <w:p w:rsidR="0025489F" w:rsidP="0025489F">
      <w:pPr>
        <w:jc w:val="center"/>
      </w:pPr>
      <w:r>
        <w:t>predseda vlády</w:t>
      </w:r>
    </w:p>
    <w:p w:rsidR="0025489F" w:rsidP="0025489F">
      <w:pPr>
        <w:jc w:val="center"/>
      </w:pPr>
      <w:r>
        <w:t>Slovenskej republiky</w:t>
      </w:r>
    </w:p>
    <w:p w:rsidR="0025489F" w:rsidP="0025489F">
      <w:pPr>
        <w:jc w:val="center"/>
      </w:pPr>
    </w:p>
    <w:p w:rsidR="0025489F" w:rsidP="0025489F">
      <w:pPr>
        <w:jc w:val="center"/>
      </w:pPr>
    </w:p>
    <w:p w:rsidR="0025489F" w:rsidP="0025489F">
      <w:pPr>
        <w:jc w:val="center"/>
      </w:pPr>
    </w:p>
    <w:p w:rsidR="0025489F" w:rsidP="0025489F">
      <w:pPr>
        <w:jc w:val="center"/>
      </w:pPr>
      <w:r>
        <w:t>Zsolt  Simon</w:t>
      </w:r>
      <w:r w:rsidR="004B67C8">
        <w:t xml:space="preserve"> </w:t>
      </w:r>
      <w:r w:rsidR="00FA1487">
        <w:t xml:space="preserve"> v. r.</w:t>
      </w:r>
    </w:p>
    <w:p w:rsidR="0025489F" w:rsidP="0025489F">
      <w:pPr>
        <w:jc w:val="center"/>
      </w:pPr>
      <w:r>
        <w:t>minister pôdohospodárstva</w:t>
      </w:r>
    </w:p>
    <w:p w:rsidR="0025489F" w:rsidP="0025489F">
      <w:pPr>
        <w:jc w:val="center"/>
      </w:pPr>
      <w:r>
        <w:t>Slovenskej republiky</w:t>
      </w:r>
    </w:p>
    <w:p w:rsidR="00FE2CD3">
      <w:pPr>
        <w:jc w:val="both"/>
      </w:pPr>
    </w:p>
    <w:sectPr>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Tahoma">
    <w:panose1 w:val="020B0604030504040204"/>
    <w:charset w:val="EE"/>
    <w:family w:val="swiss"/>
    <w:pitch w:val="variable"/>
    <w:sig w:usb0="6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67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487">
      <w:rPr>
        <w:rStyle w:val="PageNumber"/>
        <w:noProof/>
      </w:rPr>
      <w:t>10</w:t>
    </w:r>
    <w:r>
      <w:rPr>
        <w:rStyle w:val="PageNumber"/>
      </w:rPr>
      <w:fldChar w:fldCharType="end"/>
    </w:r>
  </w:p>
  <w:p w:rsidR="004B67C8">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87B"/>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
    <w:nsid w:val="06AB07D9"/>
    <w:multiLevelType w:val="singleLevel"/>
    <w:tmpl w:val="5AC6B17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188E2F58"/>
    <w:multiLevelType w:val="singleLevel"/>
    <w:tmpl w:val="17BCCA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1C2A1F3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4">
    <w:nsid w:val="1C2D2488"/>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5">
    <w:nsid w:val="1C830758"/>
    <w:multiLevelType w:val="hybridMultilevel"/>
    <w:tmpl w:val="CF80181A"/>
    <w:lvl w:ilvl="0">
      <w:start w:val="6"/>
      <w:numFmt w:val="decimal"/>
      <w:lvlText w:val="%1."/>
      <w:lvlJc w:val="left"/>
      <w:pPr>
        <w:tabs>
          <w:tab w:val="num" w:pos="360"/>
        </w:tabs>
        <w:ind w:left="360" w:hanging="360"/>
      </w:pPr>
      <w:rPr>
        <w:rFonts w:hint="default"/>
        <w:b/>
        <w:bCs/>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F1044C"/>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7">
    <w:nsid w:val="1DE049B7"/>
    <w:multiLevelType w:val="singleLevel"/>
    <w:tmpl w:val="4C6C623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1E73677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9">
    <w:nsid w:val="1F943B80"/>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0">
    <w:nsid w:val="20AE5ABD"/>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1">
    <w:nsid w:val="261A772A"/>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2">
    <w:nsid w:val="28E6297C"/>
    <w:multiLevelType w:val="hybridMultilevel"/>
    <w:tmpl w:val="6AFA65BA"/>
    <w:lvl w:ilvl="0">
      <w:start w:val="1"/>
      <w:numFmt w:val="decimal"/>
      <w:lvlText w:val="%1."/>
      <w:lvlJc w:val="left"/>
      <w:pPr>
        <w:tabs>
          <w:tab w:val="num" w:pos="1060"/>
        </w:tabs>
        <w:ind w:left="10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3579E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4">
    <w:nsid w:val="3EA6213A"/>
    <w:multiLevelType w:val="multilevel"/>
    <w:tmpl w:val="163A0944"/>
    <w:lvl w:ilvl="0">
      <w:start w:val="1"/>
      <w:numFmt w:val="decimal"/>
      <w:lvlText w:val="%1."/>
      <w:lvlJc w:val="left"/>
      <w:pPr>
        <w:tabs>
          <w:tab w:val="num" w:pos="360"/>
        </w:tabs>
        <w:ind w:left="360" w:hanging="360"/>
      </w:pPr>
      <w:rPr>
        <w:b/>
      </w:rPr>
    </w:lvl>
    <w:lvl w:ilvl="1">
      <w:start w:val="3"/>
      <w:numFmt w:val="bullet"/>
      <w:lvlText w:val="–"/>
      <w:lvlJc w:val="left"/>
      <w:pPr>
        <w:tabs>
          <w:tab w:val="num" w:pos="1222"/>
        </w:tabs>
        <w:ind w:left="1222" w:hanging="360"/>
      </w:pPr>
      <w:rPr>
        <w:rFonts w:ascii="Times New Roman" w:eastAsia="Times New Roman" w:hAnsi="Times New Roman" w:cs="Times New Roman" w:hint="default"/>
      </w:r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5">
    <w:nsid w:val="4B08276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6">
    <w:nsid w:val="4D8A59B9"/>
    <w:multiLevelType w:val="hybridMultilevel"/>
    <w:tmpl w:val="AC36403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FEE186F"/>
    <w:multiLevelType w:val="hybridMultilevel"/>
    <w:tmpl w:val="1A24570E"/>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A84C7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9">
    <w:nsid w:val="6CB4105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0">
    <w:nsid w:val="72AB6BE2"/>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1">
    <w:nsid w:val="7A601042"/>
    <w:multiLevelType w:val="hybridMultilevel"/>
    <w:tmpl w:val="475AC5A0"/>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7"/>
    <w:lvlOverride w:ilvl="0">
      <w:startOverride w:val="2"/>
    </w:lvlOverride>
  </w:num>
  <w:num w:numId="9">
    <w:abstractNumId w:val="1"/>
    <w:lvlOverride w:ilvl="0">
      <w:startOverride w:val="3"/>
    </w:lvlOverride>
  </w:num>
  <w:num w:numId="10">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4"/>
  </w:num>
  <w:num w:numId="14">
    <w:abstractNumId w:val="10"/>
  </w:num>
  <w:num w:numId="15">
    <w:abstractNumId w:val="13"/>
  </w:num>
  <w:num w:numId="16">
    <w:abstractNumId w:val="20"/>
  </w:num>
  <w:num w:numId="17">
    <w:abstractNumId w:val="3"/>
  </w:num>
  <w:num w:numId="18">
    <w:abstractNumId w:val="0"/>
  </w:num>
  <w:num w:numId="19">
    <w:abstractNumId w:val="15"/>
  </w:num>
  <w:num w:numId="20">
    <w:abstractNumId w:val="9"/>
  </w:num>
  <w:num w:numId="21">
    <w:abstractNumId w:val="19"/>
  </w:num>
  <w:num w:numId="22">
    <w:abstractNumId w:val="6"/>
  </w:num>
  <w:num w:numId="23">
    <w:abstractNumId w:val="18"/>
  </w:num>
  <w:num w:numId="24">
    <w:abstractNumId w:val="11"/>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3C17"/>
    <w:rsid w:val="00053B18"/>
    <w:rsid w:val="00183C17"/>
    <w:rsid w:val="00192978"/>
    <w:rsid w:val="001C18DD"/>
    <w:rsid w:val="0025489F"/>
    <w:rsid w:val="00290AEA"/>
    <w:rsid w:val="002D1745"/>
    <w:rsid w:val="002E7326"/>
    <w:rsid w:val="00316DCA"/>
    <w:rsid w:val="00367F35"/>
    <w:rsid w:val="003B0C8C"/>
    <w:rsid w:val="004B67C8"/>
    <w:rsid w:val="00515B5E"/>
    <w:rsid w:val="00573207"/>
    <w:rsid w:val="00606708"/>
    <w:rsid w:val="0061435F"/>
    <w:rsid w:val="0074016D"/>
    <w:rsid w:val="008449CD"/>
    <w:rsid w:val="009221C2"/>
    <w:rsid w:val="00972073"/>
    <w:rsid w:val="00A203CD"/>
    <w:rsid w:val="00AE531F"/>
    <w:rsid w:val="00AF267F"/>
    <w:rsid w:val="00B623AC"/>
    <w:rsid w:val="00BA72D2"/>
    <w:rsid w:val="00C6614B"/>
    <w:rsid w:val="00CA4449"/>
    <w:rsid w:val="00DC22C9"/>
    <w:rsid w:val="00F031BB"/>
    <w:rsid w:val="00FA1487"/>
    <w:rsid w:val="00FE2CD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uiPriority w:val="9"/>
    <w:qFormat/>
    <w:pPr>
      <w:spacing w:before="150" w:after="150"/>
      <w:ind w:left="450" w:right="450"/>
      <w:outlineLvl w:val="0"/>
    </w:pPr>
    <w:rPr>
      <w:b/>
      <w:bCs/>
      <w:color w:val="757D8D"/>
      <w:kern w:val="36"/>
      <w:sz w:val="26"/>
      <w:szCs w:val="26"/>
    </w:rPr>
  </w:style>
  <w:style w:type="paragraph" w:styleId="Heading2">
    <w:name w:val="heading 2"/>
    <w:basedOn w:val="Normal"/>
    <w:next w:val="Normal"/>
    <w:uiPriority w:val="9"/>
    <w:qFormat/>
    <w:pPr>
      <w:keepNext/>
      <w:jc w:val="both"/>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1">
    <w:name w:val="Styl1"/>
    <w:basedOn w:val="Normal"/>
    <w:pPr>
      <w:jc w:val="both"/>
    </w:pPr>
    <w:rPr>
      <w:lang w:eastAsia="cs-CZ"/>
    </w:rPr>
  </w:style>
  <w:style w:type="paragraph" w:styleId="BodyTextIndent">
    <w:name w:val="Body Text Indent"/>
    <w:basedOn w:val="Normal"/>
    <w:pPr>
      <w:spacing w:after="120"/>
      <w:ind w:left="283"/>
    </w:pPr>
    <w:rPr>
      <w:lang w:eastAsia="cs-CZ"/>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NormalWeb">
    <w:name w:val="Normal (Web)"/>
    <w:basedOn w:val="Normal"/>
    <w:pPr>
      <w:spacing w:before="150" w:after="150"/>
      <w:ind w:left="675" w:right="525"/>
    </w:pPr>
    <w:rPr>
      <w:sz w:val="19"/>
      <w:szCs w:val="19"/>
    </w:rPr>
  </w:style>
  <w:style w:type="paragraph" w:customStyle="1" w:styleId="Normlnywebov8">
    <w:name w:val="Normálny (webový)8"/>
    <w:basedOn w:val="Normal"/>
    <w:pPr>
      <w:spacing w:before="75" w:after="75"/>
      <w:ind w:left="225" w:right="225"/>
    </w:pPr>
    <w:rPr>
      <w:sz w:val="22"/>
      <w:szCs w:val="22"/>
    </w:rPr>
  </w:style>
  <w:style w:type="character" w:customStyle="1" w:styleId="formtitledesc1">
    <w:name w:val="formtitledesc1"/>
    <w:basedOn w:val="DefaultParagraphFont"/>
    <w:rPr>
      <w:rFonts w:ascii="Arial" w:hAnsi="Arial" w:cs="Arial" w:hint="default"/>
      <w:b/>
      <w:bCs/>
      <w:color w:val="0000AA"/>
      <w:sz w:val="18"/>
      <w:szCs w:val="18"/>
      <w:u w:val="none"/>
      <w:effect w:val="none"/>
    </w:rPr>
  </w:style>
  <w:style w:type="character" w:styleId="Emphasis">
    <w:name w:val="Emphasis"/>
    <w:basedOn w:val="DefaultParagraphFont"/>
    <w:uiPriority w:val="20"/>
    <w:qFormat/>
    <w:rPr>
      <w:i/>
      <w:iCs/>
    </w:rPr>
  </w:style>
  <w:style w:type="paragraph" w:styleId="BodyText">
    <w:name w:val="Body Text"/>
    <w:basedOn w:val="Normal"/>
    <w:pPr>
      <w:jc w:val="both"/>
    </w:pPr>
    <w:rPr>
      <w:b/>
    </w:rPr>
  </w:style>
  <w:style w:type="paragraph" w:customStyle="1" w:styleId="nzovprvnehoaktuE">
    <w:name w:val="názov právneho aktu EÚ"/>
    <w:basedOn w:val="Normal"/>
    <w:pPr>
      <w:spacing w:before="120"/>
      <w:jc w:val="center"/>
    </w:pPr>
    <w:rPr>
      <w:b/>
      <w:szCs w:val="20"/>
    </w:rPr>
  </w:style>
  <w:style w:type="paragraph" w:styleId="BodyText2">
    <w:name w:val="Body Text 2"/>
    <w:basedOn w:val="Normal"/>
    <w:rPr>
      <w:color w:val="000000"/>
    </w:rPr>
  </w:style>
  <w:style w:type="paragraph" w:styleId="BodyText3">
    <w:name w:val="Body Text 3"/>
    <w:basedOn w:val="Normal"/>
    <w:pPr>
      <w:spacing w:after="120"/>
    </w:pPr>
    <w:rPr>
      <w:sz w:val="16"/>
      <w:szCs w:val="16"/>
    </w:rPr>
  </w:style>
  <w:style w:type="character" w:styleId="Hyperlink">
    <w:name w:val="Hyperlink"/>
    <w:basedOn w:val="DefaultParagraphFont"/>
    <w:rPr>
      <w:color w:val="000000"/>
      <w:u w:val="none"/>
      <w:effect w:val="none"/>
    </w:rPr>
  </w:style>
  <w:style w:type="paragraph" w:styleId="BalloonText">
    <w:name w:val="Balloon Text"/>
    <w:basedOn w:val="Normal"/>
    <w:semiHidden/>
    <w:rsid w:val="00316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215</TotalTime>
  <Pages>1</Pages>
  <Words>3665</Words>
  <Characters>20896</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Dôvodová správa</vt:lpstr>
    </vt:vector>
  </TitlesOfParts>
  <Company>Ministerstvo Pôdohospodárstva SR</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Andrea Jučáková</dc:creator>
  <cp:lastModifiedBy>Vaše meno</cp:lastModifiedBy>
  <cp:revision>67</cp:revision>
  <cp:lastPrinted>2006-01-20T10:34:00Z</cp:lastPrinted>
  <dcterms:created xsi:type="dcterms:W3CDTF">2005-09-28T08:00:00Z</dcterms:created>
  <dcterms:modified xsi:type="dcterms:W3CDTF">2006-01-20T10:37:00Z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1770025677</vt:i4>
  </property>
  <property fmtid="{D5CDD505-2E9C-101B-9397-08002B2CF9AE}" pid="3" name="_AuthorEmail">
    <vt:lpwstr>helena.holakovska@land.gov.sk</vt:lpwstr>
  </property>
  <property fmtid="{D5CDD505-2E9C-101B-9397-08002B2CF9AE}" pid="4" name="_AuthorEmailDisplayName">
    <vt:lpwstr>Holakovská Helena</vt:lpwstr>
  </property>
  <property fmtid="{D5CDD505-2E9C-101B-9397-08002B2CF9AE}" pid="5" name="_EmailSubject">
    <vt:lpwstr>zákon o potravinách</vt:lpwstr>
  </property>
  <property fmtid="{D5CDD505-2E9C-101B-9397-08002B2CF9AE}" pid="6" name="_PreviousAdHocReviewCycleID">
    <vt:i4>696536523</vt:i4>
  </property>
  <property fmtid="{D5CDD505-2E9C-101B-9397-08002B2CF9AE}" pid="7" name="_ReviewingToolsShownOnce">
    <vt:lpwstr/>
  </property>
</Properties>
</file>