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2E25" w:rsidP="00323DC7">
      <w:pPr>
        <w:spacing w:line="340" w:lineRule="exact"/>
        <w:rPr>
          <w:rFonts w:ascii="Arial" w:hAnsi="Arial" w:cs="Arial"/>
        </w:rPr>
      </w:pPr>
    </w:p>
    <w:p w:rsidR="00B418B7" w:rsidP="00323DC7">
      <w:pPr>
        <w:spacing w:line="340" w:lineRule="exact"/>
        <w:rPr>
          <w:rFonts w:ascii="Arial" w:hAnsi="Arial" w:cs="Arial"/>
        </w:rPr>
      </w:pP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  <w:r w:rsidRPr="00392E25">
        <w:rPr>
          <w:rFonts w:ascii="Arial" w:hAnsi="Arial" w:cs="Arial"/>
          <w:b/>
        </w:rPr>
        <w:t>NÁVRH</w:t>
      </w: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  <w:r w:rsidRPr="00392E25">
        <w:rPr>
          <w:rFonts w:ascii="Arial" w:hAnsi="Arial" w:cs="Arial"/>
          <w:b/>
        </w:rPr>
        <w:t>ZÁKON</w:t>
      </w: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  <w:r w:rsidRPr="00392E25">
        <w:rPr>
          <w:rFonts w:ascii="Arial" w:hAnsi="Arial" w:cs="Arial"/>
          <w:b/>
        </w:rPr>
        <w:t>z ..............2005,</w:t>
      </w: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</w:p>
    <w:p w:rsidR="00392E25" w:rsidRPr="00392E25" w:rsidP="00323DC7">
      <w:pPr>
        <w:spacing w:line="340" w:lineRule="exact"/>
        <w:jc w:val="both"/>
        <w:rPr>
          <w:rFonts w:ascii="Arial" w:hAnsi="Arial" w:cs="Arial"/>
          <w:b/>
        </w:rPr>
      </w:pPr>
      <w:r w:rsidRPr="00392E25">
        <w:rPr>
          <w:rFonts w:ascii="Arial" w:hAnsi="Arial" w:cs="Arial"/>
          <w:b/>
        </w:rPr>
        <w:t>ktorým sa mení a dopĺňa zákon č. 120/1993 Z.z. o platových pomeroch niektorých ústavných činiteľov Slovenskej republiky v znení neskorších predpisov</w:t>
      </w: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P="00323DC7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</w:t>
      </w:r>
      <w:r w:rsidRPr="00392E25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sa uzniesla na tomto zákone:</w:t>
      </w: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RPr="00392E25" w:rsidP="00323DC7">
      <w:pPr>
        <w:spacing w:line="340" w:lineRule="exact"/>
        <w:jc w:val="center"/>
        <w:rPr>
          <w:rFonts w:ascii="Arial" w:hAnsi="Arial" w:cs="Arial"/>
          <w:b/>
        </w:rPr>
      </w:pPr>
      <w:r w:rsidRPr="00392E25">
        <w:rPr>
          <w:rFonts w:ascii="Arial" w:hAnsi="Arial" w:cs="Arial"/>
          <w:b/>
        </w:rPr>
        <w:t>Čl. I</w:t>
      </w:r>
    </w:p>
    <w:p w:rsidR="00392E25" w:rsidP="00323DC7">
      <w:pPr>
        <w:spacing w:line="340" w:lineRule="exact"/>
        <w:jc w:val="center"/>
        <w:rPr>
          <w:rFonts w:ascii="Arial" w:hAnsi="Arial" w:cs="Arial"/>
        </w:rPr>
      </w:pPr>
    </w:p>
    <w:p w:rsidR="00392E25" w:rsidP="00A81657">
      <w:pPr>
        <w:pStyle w:val="Header"/>
        <w:tabs>
          <w:tab w:val="clear" w:pos="4536"/>
          <w:tab w:val="clear" w:pos="9072"/>
        </w:tabs>
        <w:spacing w:line="340" w:lineRule="exact"/>
        <w:ind w:firstLine="708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>Zákon č. 120/1993 Z.z. o platových pomeroch niektorých ústavných činiteľov Slovenskej republiky v znení zákona č. 374/1994 Z.z., zákona č. 304/1995 Z.z., zákona č. 277/1998 Z.z., zákona č. 57/1999 Z.z., zákona č. 447/2000 Z.z., zákona č. 175/2002 Z</w:t>
      </w:r>
      <w:r>
        <w:rPr>
          <w:rFonts w:ascii="Arial" w:hAnsi="Arial" w:cs="Times New Roman"/>
          <w:sz w:val="24"/>
          <w:lang w:val="sk-SK"/>
        </w:rPr>
        <w:t>.z.</w:t>
      </w:r>
      <w:r w:rsidR="00A81657">
        <w:rPr>
          <w:rFonts w:ascii="Arial" w:hAnsi="Arial" w:cs="Times New Roman"/>
          <w:sz w:val="24"/>
          <w:lang w:val="sk-SK"/>
        </w:rPr>
        <w:t>,</w:t>
      </w:r>
      <w:r>
        <w:rPr>
          <w:rFonts w:ascii="Arial" w:hAnsi="Arial" w:cs="Times New Roman"/>
          <w:sz w:val="24"/>
          <w:lang w:val="sk-SK"/>
        </w:rPr>
        <w:t xml:space="preserve"> zákona č. 413/2002 Z.z., zákona č. 668/2002 Z.z., zákona č. 461/2003 Z.z., zákona č. 391/2004 Z.z. a zákona č. 81/2005 Z.z. sa mení a dopĺňa takto: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</w:r>
    </w:p>
    <w:p w:rsidR="00392E25" w:rsidP="00323DC7">
      <w:pPr>
        <w:pStyle w:val="Header"/>
        <w:numPr>
          <w:ilvl w:val="0"/>
          <w:numId w:val="1"/>
        </w:numPr>
        <w:tabs>
          <w:tab w:val="left" w:pos="360"/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>§ 22c znie: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center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>„§ 22c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  <w:t xml:space="preserve">Paušálne náhrady a cestovné náhrady pri zahraničných cestách 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 w:rsidR="00CD02AF">
        <w:rPr>
          <w:rFonts w:ascii="Arial" w:hAnsi="Arial" w:cs="Times New Roman"/>
          <w:sz w:val="24"/>
          <w:lang w:val="sk-SK"/>
        </w:rPr>
        <w:tab/>
        <w:t xml:space="preserve">(1) </w:t>
      </w:r>
      <w:r>
        <w:rPr>
          <w:rFonts w:ascii="Arial" w:hAnsi="Arial" w:cs="Times New Roman"/>
          <w:sz w:val="24"/>
          <w:lang w:val="sk-SK"/>
        </w:rPr>
        <w:t>Generálnemu</w:t>
      </w:r>
      <w:r>
        <w:rPr>
          <w:rFonts w:ascii="Arial" w:hAnsi="Arial" w:cs="Times New Roman"/>
          <w:sz w:val="24"/>
          <w:lang w:val="sk-SK"/>
        </w:rPr>
        <w:t xml:space="preserve"> prokurátorovi patria paušálne náhrady vo výške</w:t>
      </w:r>
      <w:r w:rsidR="00CD02AF">
        <w:rPr>
          <w:rFonts w:ascii="Arial" w:hAnsi="Arial" w:cs="Times New Roman"/>
          <w:sz w:val="24"/>
          <w:lang w:val="sk-SK"/>
        </w:rPr>
        <w:t xml:space="preserve"> 80% mesačného platu, a to začínajúc prvým dňom mesiaca, v ktorom bol do funkcie generálneho prokurátora vymenovaný. 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 w:rsidR="00CD02AF">
        <w:rPr>
          <w:rFonts w:ascii="Arial" w:hAnsi="Arial" w:cs="Times New Roman"/>
          <w:sz w:val="24"/>
          <w:lang w:val="sk-SK"/>
        </w:rPr>
        <w:tab/>
        <w:t>(2) Výšk</w:t>
      </w:r>
      <w:r w:rsidR="00760341">
        <w:rPr>
          <w:rFonts w:ascii="Arial" w:hAnsi="Arial" w:cs="Times New Roman"/>
          <w:sz w:val="24"/>
          <w:lang w:val="sk-SK"/>
        </w:rPr>
        <w:t>u</w:t>
      </w:r>
      <w:r>
        <w:rPr>
          <w:rFonts w:ascii="Arial" w:hAnsi="Arial" w:cs="Times New Roman"/>
          <w:sz w:val="24"/>
          <w:lang w:val="sk-SK"/>
        </w:rPr>
        <w:t xml:space="preserve"> náhrady pri zahraničných cestách, ktoré súvisia s výkonom funkcie generálneho prokurátora</w:t>
      </w:r>
      <w:r w:rsidR="00CD02AF">
        <w:rPr>
          <w:rFonts w:ascii="Arial" w:hAnsi="Arial" w:cs="Times New Roman"/>
          <w:sz w:val="24"/>
          <w:lang w:val="sk-SK"/>
        </w:rPr>
        <w:t>,</w:t>
      </w:r>
      <w:r w:rsidR="00760341">
        <w:rPr>
          <w:rFonts w:ascii="Arial" w:hAnsi="Arial" w:cs="Times New Roman"/>
          <w:sz w:val="24"/>
          <w:lang w:val="sk-SK"/>
        </w:rPr>
        <w:t xml:space="preserve"> určí národná rada uznesením. </w:t>
      </w:r>
      <w:r w:rsidR="00CD02AF">
        <w:rPr>
          <w:rFonts w:ascii="Arial" w:hAnsi="Arial" w:cs="Times New Roman"/>
          <w:sz w:val="24"/>
          <w:lang w:val="sk-SK"/>
        </w:rPr>
        <w:t xml:space="preserve"> </w:t>
      </w:r>
    </w:p>
    <w:p w:rsidR="007B715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760341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760341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numPr>
          <w:ilvl w:val="0"/>
          <w:numId w:val="1"/>
        </w:numPr>
        <w:tabs>
          <w:tab w:val="left" w:pos="360"/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 xml:space="preserve">Za § 22d sa vkladá nový § 22e, ktorý znie: 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center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>„§ 22e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  <w:t>Generálnemu prokurátorovi patria náležitosti a náhrady vyplývajúce z osobitného zákona.“.</w:t>
      </w:r>
      <w:r>
        <w:rPr>
          <w:rFonts w:ascii="Arial" w:hAnsi="Arial" w:cs="Times New Roman"/>
          <w:sz w:val="24"/>
          <w:vertAlign w:val="superscript"/>
          <w:lang w:val="sk-SK"/>
        </w:rPr>
        <w:t>8b)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  <w:t>8b) Zákon č. 154/2001 Z.z. o prokurátoroch a právnych čakateľoch prokuratúry v znení neskorších predpisov.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23DC7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</w:p>
    <w:p w:rsidR="00392E25" w:rsidRP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center"/>
        <w:rPr>
          <w:rFonts w:ascii="Arial" w:hAnsi="Arial" w:cs="Times New Roman"/>
          <w:b/>
          <w:sz w:val="24"/>
          <w:lang w:val="sk-SK"/>
        </w:rPr>
      </w:pPr>
      <w:r w:rsidRPr="00392E25">
        <w:rPr>
          <w:rFonts w:ascii="Arial" w:hAnsi="Arial" w:cs="Times New Roman"/>
          <w:b/>
          <w:sz w:val="24"/>
          <w:lang w:val="sk-SK"/>
        </w:rPr>
        <w:t>Čl. II</w:t>
      </w: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center"/>
        <w:rPr>
          <w:rFonts w:ascii="Arial" w:hAnsi="Arial" w:cs="Times New Roman"/>
          <w:sz w:val="24"/>
          <w:lang w:val="sk-SK"/>
        </w:rPr>
      </w:pPr>
    </w:p>
    <w:p w:rsidR="00392E25" w:rsidP="00323DC7">
      <w:pPr>
        <w:pStyle w:val="Header"/>
        <w:tabs>
          <w:tab w:val="clear" w:pos="4536"/>
          <w:tab w:val="clear" w:pos="9072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  <w:t xml:space="preserve">Tento zákon nadobúda účinnosť dňom 1. </w:t>
      </w:r>
      <w:r w:rsidR="009133F1">
        <w:rPr>
          <w:rFonts w:ascii="Arial" w:hAnsi="Arial" w:cs="Times New Roman"/>
          <w:sz w:val="24"/>
          <w:lang w:val="sk-SK"/>
        </w:rPr>
        <w:t xml:space="preserve">marca </w:t>
      </w:r>
      <w:r>
        <w:rPr>
          <w:rFonts w:ascii="Arial" w:hAnsi="Arial" w:cs="Times New Roman"/>
          <w:sz w:val="24"/>
          <w:lang w:val="sk-SK"/>
        </w:rPr>
        <w:t>2006.</w:t>
      </w:r>
    </w:p>
    <w:p w:rsidR="00392E25" w:rsidP="00323DC7">
      <w:pPr>
        <w:spacing w:line="340" w:lineRule="exact"/>
        <w:jc w:val="both"/>
        <w:rPr>
          <w:rFonts w:ascii="Arial" w:hAnsi="Arial" w:cs="Arial"/>
        </w:rPr>
      </w:pPr>
    </w:p>
    <w:p w:rsidR="00392E25" w:rsidP="00323DC7">
      <w:pPr>
        <w:spacing w:line="340" w:lineRule="exact"/>
        <w:jc w:val="center"/>
        <w:rPr>
          <w:rFonts w:ascii="Arial" w:hAnsi="Arial" w:cs="Arial"/>
        </w:rPr>
      </w:pPr>
    </w:p>
    <w:p w:rsidR="00392E25" w:rsidRPr="00392E25" w:rsidP="00323DC7">
      <w:pPr>
        <w:spacing w:line="340" w:lineRule="exact"/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012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23DC7"/>
    <w:rsid w:val="00392E25"/>
    <w:rsid w:val="00760341"/>
    <w:rsid w:val="007B7155"/>
    <w:rsid w:val="009133F1"/>
    <w:rsid w:val="00A81657"/>
    <w:rsid w:val="00B418B7"/>
    <w:rsid w:val="00CD02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392E25"/>
    <w:pPr>
      <w:tabs>
        <w:tab w:val="center" w:pos="4536"/>
        <w:tab w:val="right" w:pos="9072"/>
      </w:tabs>
      <w:overflowPunct w:val="0"/>
      <w:autoSpaceDE/>
      <w:autoSpaceDN/>
      <w:jc w:val="left"/>
      <w:textAlignment w:val="baseline"/>
    </w:pPr>
    <w:rPr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1</Pages>
  <Words>207</Words>
  <Characters>1184</Characters>
  <Application>Microsoft Office Word</Application>
  <DocSecurity>0</DocSecurity>
  <Lines>0</Lines>
  <Paragraphs>0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GENERÁLNA PROKURATÚRA SLOVENSKEJ REPUBLIKY</dc:title>
  <dc:creator>Ľudmila Dugovičová</dc:creator>
  <cp:lastModifiedBy>EbriVier</cp:lastModifiedBy>
  <cp:revision>9</cp:revision>
  <cp:lastPrinted>2005-11-10T08:16:00Z</cp:lastPrinted>
  <dcterms:created xsi:type="dcterms:W3CDTF">2005-11-02T12:50:00Z</dcterms:created>
  <dcterms:modified xsi:type="dcterms:W3CDTF">2005-11-14T12:27:00Z</dcterms:modified>
</cp:coreProperties>
</file>