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ackground w:color="00b8ff">
    <v:background id="_x0000_s1025" filled="t" fillcolor="#00b8ff">
      <v:fill color2="black"/>
      <v:shadow color="#020000"/>
    </v:background>
  </w:background>
  <w:body>
    <w:p w:rsidR="008A4E38">
      <w:pPr>
        <w:pBdr>
          <w:bottom w:val="single" w:sz="1" w:space="1" w:color="000000"/>
        </w:pBdr>
        <w:jc w:val="center"/>
        <w:rPr>
          <w:b/>
          <w:sz w:val="28"/>
          <w:szCs w:val="28"/>
        </w:rPr>
      </w:pPr>
    </w:p>
    <w:p w:rsidR="00D41156">
      <w:pPr>
        <w:pBdr>
          <w:bottom w:val="single" w:sz="1" w:space="1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NÁRODNÁ RADA SLOVENSKEJ REPUBLIKY</w:t>
      </w:r>
    </w:p>
    <w:p w:rsidR="00D41156">
      <w:pPr>
        <w:rPr>
          <w:b/>
        </w:rPr>
      </w:pPr>
    </w:p>
    <w:p w:rsidR="00D41156">
      <w:pPr>
        <w:jc w:val="center"/>
      </w:pPr>
      <w:r>
        <w:t>III. volebné obdobie</w:t>
      </w:r>
    </w:p>
    <w:p w:rsidR="00D41156">
      <w:pPr>
        <w:jc w:val="center"/>
      </w:pPr>
    </w:p>
    <w:p w:rsidR="00D41156">
      <w:pPr>
        <w:jc w:val="center"/>
      </w:pPr>
    </w:p>
    <w:p w:rsidR="00D41156">
      <w:pPr>
        <w:jc w:val="center"/>
        <w:rPr>
          <w:sz w:val="28"/>
          <w:szCs w:val="28"/>
        </w:rPr>
      </w:pPr>
      <w:r>
        <w:rPr>
          <w:sz w:val="28"/>
          <w:szCs w:val="28"/>
        </w:rPr>
        <w:t>NÁVRH</w:t>
      </w:r>
    </w:p>
    <w:p w:rsidR="00D41156">
      <w:pPr>
        <w:jc w:val="center"/>
        <w:rPr>
          <w:sz w:val="28"/>
          <w:szCs w:val="28"/>
        </w:rPr>
      </w:pPr>
    </w:p>
    <w:p w:rsidR="00D41156">
      <w:pPr>
        <w:jc w:val="center"/>
        <w:rPr>
          <w:sz w:val="28"/>
          <w:szCs w:val="28"/>
        </w:rPr>
      </w:pPr>
      <w:r>
        <w:rPr>
          <w:sz w:val="28"/>
          <w:szCs w:val="28"/>
        </w:rPr>
        <w:t>Zákon</w:t>
      </w:r>
    </w:p>
    <w:p w:rsidR="00D41156">
      <w:pPr>
        <w:jc w:val="center"/>
        <w:rPr>
          <w:sz w:val="28"/>
          <w:szCs w:val="28"/>
        </w:rPr>
      </w:pPr>
    </w:p>
    <w:p w:rsidR="00D41156">
      <w:pPr>
        <w:jc w:val="center"/>
        <w:rPr>
          <w:sz w:val="28"/>
          <w:szCs w:val="28"/>
        </w:rPr>
      </w:pPr>
      <w:r>
        <w:rPr>
          <w:sz w:val="28"/>
          <w:szCs w:val="28"/>
        </w:rPr>
        <w:t>z .......... 2005</w:t>
      </w:r>
    </w:p>
    <w:p w:rsidR="00D41156">
      <w:pPr>
        <w:jc w:val="center"/>
        <w:rPr>
          <w:b/>
        </w:rPr>
      </w:pPr>
    </w:p>
    <w:p w:rsidR="00D41156">
      <w:pPr>
        <w:jc w:val="both"/>
      </w:pPr>
      <w:r>
        <w:t>ktorým sa dopĺňa zákon č.161/2005 Z. z. o navrátení vlastníctva k nehnuteľným veciam cirkvám a náboženským spoločnostiam a prechode vlastníctva k niektorým nehnuteľnostiam</w:t>
      </w:r>
    </w:p>
    <w:p w:rsidR="00D41156">
      <w:pPr>
        <w:jc w:val="both"/>
      </w:pPr>
    </w:p>
    <w:p w:rsidR="00D41156">
      <w:pPr>
        <w:jc w:val="both"/>
      </w:pPr>
    </w:p>
    <w:p w:rsidR="00D41156">
      <w:pPr>
        <w:jc w:val="both"/>
      </w:pPr>
    </w:p>
    <w:p w:rsidR="00D41156">
      <w:pPr>
        <w:jc w:val="both"/>
      </w:pPr>
      <w:r>
        <w:t>Národná rada Slovenskej republiky sa uzniesla na tomto zákone:</w:t>
      </w:r>
    </w:p>
    <w:p w:rsidR="00D41156">
      <w:pPr>
        <w:jc w:val="both"/>
      </w:pPr>
    </w:p>
    <w:p w:rsidR="00D41156">
      <w:pPr>
        <w:jc w:val="both"/>
      </w:pPr>
    </w:p>
    <w:p w:rsidR="00D41156">
      <w:pPr>
        <w:jc w:val="center"/>
        <w:rPr>
          <w:b/>
        </w:rPr>
      </w:pPr>
      <w:r>
        <w:rPr>
          <w:b/>
        </w:rPr>
        <w:t>Čl. I</w:t>
      </w:r>
    </w:p>
    <w:p w:rsidR="00D41156">
      <w:pPr>
        <w:jc w:val="center"/>
        <w:rPr>
          <w:b/>
        </w:rPr>
      </w:pPr>
    </w:p>
    <w:p w:rsidR="00D41156">
      <w:pPr>
        <w:jc w:val="both"/>
      </w:pPr>
      <w:r>
        <w:tab/>
        <w:t>Zákon č. 161/2005 Z. z. o navrátení vlastníctva k nehnuteľným veciam cirkvám a náboženským spoločnostiam a prechode vlastníctva k niektorým nehnuteľnostiam sa dopĺňa  takto:</w:t>
      </w:r>
    </w:p>
    <w:p w:rsidR="00D41156">
      <w:pPr>
        <w:jc w:val="both"/>
      </w:pPr>
    </w:p>
    <w:p w:rsidR="00D41156">
      <w:pPr>
        <w:jc w:val="both"/>
      </w:pPr>
      <w:r>
        <w:t>V §7 sa za slovo „obcí“ vkladá: „ , právnických osôb, ktoré sú vlastníkmi niektorej z nehnuteľných vecí uvedených v prílohách tohto zákona“.</w:t>
      </w:r>
    </w:p>
    <w:p w:rsidR="00D41156">
      <w:pPr>
        <w:jc w:val="both"/>
      </w:pPr>
    </w:p>
    <w:p w:rsidR="00D41156">
      <w:pPr>
        <w:jc w:val="both"/>
      </w:pPr>
    </w:p>
    <w:p w:rsidR="00D41156">
      <w:pPr>
        <w:jc w:val="center"/>
        <w:rPr>
          <w:b/>
        </w:rPr>
      </w:pPr>
      <w:r>
        <w:rPr>
          <w:b/>
        </w:rPr>
        <w:t>Čl. II</w:t>
      </w:r>
    </w:p>
    <w:p w:rsidR="00D41156">
      <w:pPr>
        <w:jc w:val="both"/>
      </w:pPr>
    </w:p>
    <w:p w:rsidR="00D41156">
      <w:pPr>
        <w:jc w:val="both"/>
      </w:pPr>
      <w:r>
        <w:t>Tento zákon nadobúda účinnosť dňom vyhlásenia.</w:t>
      </w:r>
    </w:p>
    <w:p w:rsidR="00D41156">
      <w:pPr>
        <w:jc w:val="both"/>
      </w:pPr>
    </w:p>
    <w:p w:rsidR="00D41156">
      <w:pPr>
        <w:jc w:val="both"/>
      </w:pPr>
    </w:p>
    <w:p w:rsidR="00D41156">
      <w:pPr>
        <w:jc w:val="both"/>
      </w:pPr>
    </w:p>
    <w:p w:rsidR="00D41156"/>
    <w:p w:rsidR="00D41156"/>
    <w:p w:rsidR="00D41156"/>
    <w:p w:rsidR="00D41156"/>
    <w:p w:rsidR="00D41156"/>
    <w:p w:rsidR="00D41156"/>
    <w:p w:rsidR="00D41156"/>
    <w:p w:rsidR="00D41156"/>
    <w:p w:rsidR="00D41156"/>
    <w:p w:rsidR="00D41156"/>
    <w:p w:rsidR="00D41156"/>
    <w:p w:rsidR="00D41156"/>
    <w:p w:rsidR="00D41156"/>
    <w:p w:rsidR="008A4E38"/>
    <w:p w:rsidR="00D41156">
      <w:pPr>
        <w:rPr>
          <w:b/>
          <w:sz w:val="28"/>
          <w:szCs w:val="28"/>
        </w:rPr>
      </w:pPr>
    </w:p>
    <w:p w:rsidR="00D41156">
      <w:pPr>
        <w:rPr>
          <w:b/>
          <w:sz w:val="28"/>
          <w:szCs w:val="28"/>
        </w:rPr>
      </w:pPr>
      <w:r>
        <w:rPr>
          <w:b/>
          <w:sz w:val="28"/>
          <w:szCs w:val="28"/>
        </w:rPr>
        <w:t>Dôvodová správa</w:t>
      </w:r>
    </w:p>
    <w:p w:rsidR="00D41156">
      <w:pPr>
        <w:rPr>
          <w:b/>
          <w:sz w:val="28"/>
          <w:szCs w:val="28"/>
        </w:rPr>
      </w:pPr>
    </w:p>
    <w:p w:rsidR="00D41156">
      <w:pPr>
        <w:rPr>
          <w:b/>
        </w:rPr>
      </w:pPr>
      <w:r>
        <w:rPr>
          <w:b/>
        </w:rPr>
        <w:t>Všeobecná časť</w:t>
      </w:r>
    </w:p>
    <w:p w:rsidR="00D41156"/>
    <w:p w:rsidR="00D41156">
      <w:pPr>
        <w:ind w:firstLine="708"/>
        <w:jc w:val="both"/>
      </w:pPr>
      <w:r>
        <w:t>Účelom novely predmetného zákona je odstrániť nedostatky pôvodného zákona v určení subjektov vlastníckeho práva. Pôvodný zámer navrhovateľov zákona a vôľa Národnej rady Slovenskej republiky vo väzbe na napravenie majetkových krívd voči Evanjelickej cirkvi a.v. (ďalej ECAV) na Slovensku v prípade navrátenia budovy Prešovského kolégia Východného dištriktu ECAV na Slovensku, ktorá je uvedená v prílohe č. 2 bod 1 zákona 161/2005 Z. z., nie je možné naplniť z hľadiska nezadefinovania subjektu, od ktorého prechádza vlastníctvo na ECAV na Slovensku. Napriek podpísanému Memorandu o dobrej vôli k riešeniu niektorých spoločných problémov medzi Prešovskou univerzitou v Prešove a ECAV na Slovensku, nie je možné duch zákona naplniť bez prijatia tejto novely.</w:t>
      </w:r>
    </w:p>
    <w:p w:rsidR="00D41156">
      <w:pPr>
        <w:ind w:firstLine="360"/>
        <w:jc w:val="both"/>
      </w:pPr>
      <w:r>
        <w:t xml:space="preserve">Táto novela zároveň rešpektuje aj prijaté vyhlásenie  Národnej rady Slovenskej republiky, pretože nedochádza k novému otváraniu problematiky reštitúcii, pritom len zabezpečuje dôsledné naplnenie úmyslu zákona 161/2005 Z. z. spresnením jeho dikcie. </w:t>
      </w:r>
    </w:p>
    <w:p w:rsidR="00D41156"/>
    <w:p w:rsidR="00D41156"/>
    <w:p w:rsidR="00D41156"/>
    <w:p w:rsidR="00D41156">
      <w:pPr>
        <w:numPr>
          <w:ilvl w:val="0"/>
          <w:numId w:val="1"/>
        </w:numPr>
        <w:tabs>
          <w:tab w:val="left" w:pos="720"/>
        </w:tabs>
        <w:ind w:left="360"/>
        <w:jc w:val="both"/>
      </w:pPr>
      <w:r>
        <w:t>Zhodnotenie finančných vplyvov:</w:t>
      </w:r>
    </w:p>
    <w:p w:rsidR="00D41156">
      <w:pPr>
        <w:tabs>
          <w:tab w:val="left" w:pos="360"/>
        </w:tabs>
        <w:ind w:left="360" w:hanging="360"/>
        <w:jc w:val="both"/>
      </w:pPr>
    </w:p>
    <w:p w:rsidR="00D41156">
      <w:pPr>
        <w:numPr>
          <w:ilvl w:val="1"/>
          <w:numId w:val="1"/>
        </w:numPr>
        <w:tabs>
          <w:tab w:val="left" w:pos="1080"/>
          <w:tab w:val="left" w:pos="1440"/>
        </w:tabs>
        <w:ind w:left="720"/>
        <w:jc w:val="both"/>
      </w:pPr>
      <w:r>
        <w:t>Odhad dopadov na štátny rozpočet: žiadne negatívne dopady</w:t>
      </w:r>
    </w:p>
    <w:p w:rsidR="00D41156">
      <w:pPr>
        <w:numPr>
          <w:ilvl w:val="1"/>
          <w:numId w:val="1"/>
        </w:numPr>
        <w:tabs>
          <w:tab w:val="left" w:pos="1080"/>
          <w:tab w:val="left" w:pos="1440"/>
        </w:tabs>
        <w:ind w:left="720"/>
        <w:jc w:val="both"/>
      </w:pPr>
      <w:r>
        <w:t xml:space="preserve">Odhad dopadov na rozpočet štátnych fondov: žiadne negatívne dopady. </w:t>
      </w:r>
    </w:p>
    <w:p w:rsidR="00D41156">
      <w:pPr>
        <w:numPr>
          <w:ilvl w:val="1"/>
          <w:numId w:val="1"/>
        </w:numPr>
        <w:tabs>
          <w:tab w:val="left" w:pos="1080"/>
          <w:tab w:val="left" w:pos="1440"/>
        </w:tabs>
        <w:ind w:left="720"/>
        <w:jc w:val="both"/>
      </w:pPr>
      <w:r>
        <w:t>Odhad dopadov na rozpočty vyšších územných celkov a obcí: žiadne negatívne dopady</w:t>
      </w:r>
    </w:p>
    <w:p w:rsidR="00D41156">
      <w:pPr>
        <w:numPr>
          <w:ilvl w:val="1"/>
          <w:numId w:val="1"/>
        </w:numPr>
        <w:tabs>
          <w:tab w:val="left" w:pos="1080"/>
          <w:tab w:val="left" w:pos="1440"/>
        </w:tabs>
        <w:ind w:left="720"/>
        <w:jc w:val="both"/>
      </w:pPr>
      <w:r>
        <w:t>Odhad dopadov na rozpočet Sociálnej poisťovne a rozpočet Národného úradu práce: žiadne negatívne dopady</w:t>
      </w:r>
    </w:p>
    <w:p w:rsidR="00D41156">
      <w:pPr>
        <w:numPr>
          <w:ilvl w:val="1"/>
          <w:numId w:val="1"/>
        </w:numPr>
        <w:tabs>
          <w:tab w:val="left" w:pos="1080"/>
          <w:tab w:val="left" w:pos="1440"/>
        </w:tabs>
        <w:ind w:left="720"/>
        <w:jc w:val="both"/>
      </w:pPr>
      <w:r>
        <w:t xml:space="preserve">Odhad dopadov na rozpočet Fondu národného majetku a rozpočet Slovenského pozemkového fondu: žiadne negatívne dopady </w:t>
      </w:r>
    </w:p>
    <w:p w:rsidR="00D41156">
      <w:pPr>
        <w:tabs>
          <w:tab w:val="left" w:pos="360"/>
        </w:tabs>
        <w:ind w:left="360" w:hanging="360"/>
        <w:jc w:val="both"/>
      </w:pPr>
    </w:p>
    <w:p w:rsidR="00D41156">
      <w:pPr>
        <w:tabs>
          <w:tab w:val="left" w:pos="360"/>
        </w:tabs>
        <w:ind w:left="360" w:hanging="360"/>
        <w:jc w:val="both"/>
      </w:pPr>
    </w:p>
    <w:p w:rsidR="00D41156">
      <w:pPr>
        <w:numPr>
          <w:ilvl w:val="0"/>
          <w:numId w:val="1"/>
        </w:numPr>
        <w:tabs>
          <w:tab w:val="left" w:pos="720"/>
        </w:tabs>
        <w:ind w:left="360"/>
        <w:jc w:val="both"/>
      </w:pPr>
      <w:r>
        <w:t>Zhodnotenie ekonomických vplyvov: žiadne negatívne dopady</w:t>
      </w:r>
    </w:p>
    <w:p w:rsidR="00D41156">
      <w:pPr>
        <w:tabs>
          <w:tab w:val="left" w:pos="360"/>
        </w:tabs>
        <w:ind w:left="360" w:hanging="360"/>
        <w:jc w:val="both"/>
      </w:pPr>
    </w:p>
    <w:p w:rsidR="00D41156">
      <w:pPr>
        <w:numPr>
          <w:ilvl w:val="0"/>
          <w:numId w:val="1"/>
        </w:numPr>
        <w:tabs>
          <w:tab w:val="left" w:pos="720"/>
        </w:tabs>
        <w:ind w:left="360"/>
        <w:jc w:val="both"/>
      </w:pPr>
      <w:r>
        <w:t>Zhodnotenie environmentálnych vplyvov: žiadne negatívne dopady</w:t>
      </w:r>
    </w:p>
    <w:p w:rsidR="00D41156">
      <w:pPr>
        <w:tabs>
          <w:tab w:val="left" w:pos="360"/>
        </w:tabs>
        <w:ind w:left="360" w:hanging="360"/>
        <w:jc w:val="both"/>
      </w:pPr>
    </w:p>
    <w:p w:rsidR="00D41156">
      <w:pPr>
        <w:numPr>
          <w:ilvl w:val="0"/>
          <w:numId w:val="1"/>
        </w:numPr>
        <w:tabs>
          <w:tab w:val="left" w:pos="720"/>
        </w:tabs>
        <w:ind w:left="360"/>
        <w:jc w:val="both"/>
      </w:pPr>
      <w:r>
        <w:t>Zhodnotenie vplyvov na zamestnanosť: žiadne negatívne dopady</w:t>
      </w:r>
    </w:p>
    <w:p w:rsidR="00D41156"/>
    <w:p w:rsidR="00D41156"/>
    <w:p w:rsidR="00D41156"/>
    <w:p w:rsidR="00D41156"/>
    <w:p w:rsidR="00D41156"/>
    <w:p w:rsidR="00D41156"/>
    <w:p w:rsidR="00D41156"/>
    <w:p w:rsidR="00D41156"/>
    <w:p w:rsidR="00D41156"/>
    <w:p w:rsidR="00D41156"/>
    <w:p w:rsidR="00D41156"/>
    <w:p w:rsidR="00D41156"/>
    <w:p w:rsidR="00D41156"/>
    <w:p w:rsidR="00D41156"/>
    <w:p w:rsidR="008A4E38"/>
    <w:p w:rsidR="00D41156">
      <w:pPr>
        <w:rPr>
          <w:b/>
        </w:rPr>
      </w:pPr>
    </w:p>
    <w:p w:rsidR="00D41156">
      <w:pPr>
        <w:rPr>
          <w:b/>
        </w:rPr>
      </w:pPr>
      <w:r>
        <w:rPr>
          <w:b/>
        </w:rPr>
        <w:t>Osobitná časť</w:t>
      </w:r>
    </w:p>
    <w:p w:rsidR="00D41156"/>
    <w:p w:rsidR="00D41156">
      <w:pPr>
        <w:jc w:val="center"/>
        <w:rPr>
          <w:b/>
        </w:rPr>
      </w:pPr>
      <w:r>
        <w:rPr>
          <w:b/>
        </w:rPr>
        <w:t>Čl. I</w:t>
      </w:r>
    </w:p>
    <w:p w:rsidR="00D41156">
      <w:pPr>
        <w:jc w:val="both"/>
      </w:pPr>
    </w:p>
    <w:p w:rsidR="00D41156">
      <w:pPr>
        <w:jc w:val="both"/>
      </w:pPr>
      <w:r>
        <w:t>V §7 sa doplnením uvedených slov upresňujú subjekty, od ktorých prechádza vlastníctvo na subjekty uvedené v §7 písm. a), b),c) tohto zákona.</w:t>
      </w:r>
    </w:p>
    <w:p w:rsidR="00D41156">
      <w:pPr>
        <w:jc w:val="center"/>
        <w:rPr>
          <w:b/>
        </w:rPr>
      </w:pPr>
      <w:r>
        <w:rPr>
          <w:b/>
        </w:rPr>
        <w:t>Čl. II</w:t>
      </w:r>
    </w:p>
    <w:p w:rsidR="00D41156"/>
    <w:p w:rsidR="00D41156">
      <w:r>
        <w:t>Tento článok ustanovuje dátum nadobudnutia účinnosti zákona.</w:t>
      </w:r>
    </w:p>
    <w:p w:rsidR="00D41156"/>
    <w:p w:rsidR="00D41156"/>
    <w:p w:rsidR="00D41156"/>
    <w:p w:rsidR="00D41156"/>
    <w:p w:rsidR="00D41156"/>
    <w:p w:rsidR="00D41156"/>
    <w:p w:rsidR="00D41156"/>
    <w:p w:rsidR="00D41156"/>
    <w:p w:rsidR="00D41156"/>
    <w:p w:rsidR="00D41156"/>
    <w:p w:rsidR="00D41156"/>
    <w:p w:rsidR="00D41156"/>
    <w:p w:rsidR="00D41156"/>
    <w:p w:rsidR="00D41156"/>
    <w:p w:rsidR="00D41156"/>
    <w:p w:rsidR="00D41156"/>
    <w:p w:rsidR="00D41156"/>
    <w:p w:rsidR="00D41156"/>
    <w:p w:rsidR="00D41156"/>
    <w:p w:rsidR="00D41156"/>
    <w:p w:rsidR="00D41156"/>
    <w:p w:rsidR="00D41156"/>
    <w:p w:rsidR="00D41156"/>
    <w:p w:rsidR="00D41156"/>
    <w:p w:rsidR="00D41156"/>
    <w:p w:rsidR="00D41156"/>
    <w:p w:rsidR="00D41156"/>
    <w:p w:rsidR="00D41156"/>
    <w:p w:rsidR="00D41156"/>
    <w:p w:rsidR="00D41156"/>
    <w:p w:rsidR="00D41156"/>
    <w:p w:rsidR="00D41156"/>
    <w:p w:rsidR="00D41156"/>
    <w:p w:rsidR="00D41156"/>
    <w:p w:rsidR="00D41156"/>
    <w:p w:rsidR="00D41156"/>
    <w:p w:rsidR="00D41156"/>
    <w:p w:rsidR="00D41156"/>
    <w:p w:rsidR="00D41156"/>
    <w:p w:rsidR="00D41156"/>
    <w:p w:rsidR="008A4E38"/>
    <w:p w:rsidR="008A4E38"/>
    <w:p w:rsidR="00D41156"/>
    <w:p w:rsidR="00D41156">
      <w:pPr>
        <w:jc w:val="center"/>
        <w:rPr>
          <w:b/>
        </w:rPr>
      </w:pPr>
      <w:r>
        <w:rPr>
          <w:b/>
        </w:rPr>
        <w:t>DOLOŽKA ZLUČITEĽNOSTI</w:t>
      </w:r>
    </w:p>
    <w:p w:rsidR="00D41156">
      <w:pPr>
        <w:jc w:val="both"/>
      </w:pPr>
    </w:p>
    <w:p w:rsidR="00D41156">
      <w:pPr>
        <w:jc w:val="both"/>
      </w:pPr>
    </w:p>
    <w:p w:rsidR="00D41156">
      <w:pPr>
        <w:jc w:val="both"/>
      </w:pPr>
      <w:r>
        <w:t>návrhu zákona s právom Európskej únie</w:t>
      </w:r>
    </w:p>
    <w:p w:rsidR="00D41156">
      <w:pPr>
        <w:jc w:val="center"/>
        <w:rPr>
          <w:b/>
        </w:rPr>
      </w:pPr>
    </w:p>
    <w:p w:rsidR="00D41156">
      <w:pPr>
        <w:jc w:val="center"/>
        <w:rPr>
          <w:b/>
        </w:rPr>
      </w:pPr>
    </w:p>
    <w:p w:rsidR="00D41156">
      <w:pPr>
        <w:jc w:val="center"/>
        <w:rPr>
          <w:b/>
        </w:rPr>
      </w:pPr>
    </w:p>
    <w:p w:rsidR="00D41156">
      <w:pPr>
        <w:jc w:val="both"/>
      </w:pPr>
      <w:r>
        <w:t>1. Navrhovateľ zákona:  skupina poslancov; Národnej rady Slovenskej republiky</w:t>
      </w:r>
    </w:p>
    <w:p w:rsidR="00D41156">
      <w:pPr>
        <w:jc w:val="both"/>
      </w:pPr>
    </w:p>
    <w:p w:rsidR="00D41156">
      <w:pPr>
        <w:jc w:val="both"/>
      </w:pPr>
      <w:r>
        <w:t>2) Názov návrhu zákona: Zákon, ktorým sa mení a dopĺňa zákon č. 161/2005 Z. z. o navrátení      vlastníctva k nehnuteľným veciam cirkvám a náboženským spoločnostiam a prechode vlastníctva k niektorým nehnuteľnostiam</w:t>
      </w:r>
    </w:p>
    <w:p w:rsidR="00D41156">
      <w:pPr>
        <w:jc w:val="both"/>
      </w:pPr>
    </w:p>
    <w:p w:rsidR="00D41156">
      <w:pPr>
        <w:jc w:val="both"/>
      </w:pPr>
      <w:r>
        <w:t>3) V práve Európskej únie je problematika návrhu zákona:  n e u p r a v e n á</w:t>
      </w:r>
    </w:p>
    <w:p w:rsidR="00D41156">
      <w:pPr>
        <w:jc w:val="both"/>
      </w:pPr>
    </w:p>
    <w:p w:rsidR="00D41156">
      <w:pPr>
        <w:jc w:val="both"/>
      </w:pPr>
      <w:r>
        <w:t>4) Návrh zákona svojou problematikou:  nepatrí medzi prioritné oblasti aproximácie práva uvedené v čl. 70 Európskej dohody o pridružení a svojou problematikou nepatrí ani medzi priority odporúčané v Bielej knihe</w:t>
      </w:r>
    </w:p>
    <w:p w:rsidR="00D41156">
      <w:pPr>
        <w:jc w:val="both"/>
      </w:pPr>
    </w:p>
    <w:p w:rsidR="00D41156">
      <w:pPr>
        <w:jc w:val="both"/>
      </w:pPr>
      <w:r>
        <w:t>5) Charakteristika právnych noriem Európskej únie, ktorými je upravená problematika návrhu zákona:  nie je upravená v práve Európskych spoločenstiev; nie je upravení v práve Európskej únie</w:t>
      </w:r>
    </w:p>
    <w:p w:rsidR="00D41156">
      <w:pPr>
        <w:jc w:val="both"/>
      </w:pPr>
    </w:p>
    <w:p w:rsidR="00D41156">
      <w:pPr>
        <w:jc w:val="both"/>
      </w:pPr>
      <w:r>
        <w:t>6) Vyjadrenie stupňa kompatibility s právnou normou Európskej únie: vzhľadom na vnútroštátny charakter upravovanej problematiky je bezpredmetné vyjadrovanie stupňa zlučiteľnosti návrhu právneho predpisu s právom ES/SÚ</w:t>
      </w:r>
    </w:p>
    <w:p w:rsidR="00D41156">
      <w:pPr>
        <w:jc w:val="both"/>
      </w:pPr>
    </w:p>
    <w:p w:rsidR="00D41156">
      <w:pPr>
        <w:jc w:val="center"/>
      </w:pPr>
    </w:p>
    <w:p w:rsidR="00D41156"/>
    <w:p w:rsidR="00D41156"/>
    <w:p w:rsidR="00D41156"/>
    <w:p w:rsidR="00D41156"/>
    <w:p w:rsidR="00D41156"/>
    <w:p w:rsidR="00D41156"/>
    <w:p w:rsidR="00D41156"/>
    <w:p w:rsidR="00D41156"/>
    <w:p w:rsidR="00D41156"/>
    <w:p w:rsidR="00D41156"/>
    <w:p w:rsidR="00D41156"/>
    <w:p w:rsidR="00D41156"/>
    <w:p w:rsidR="00D41156"/>
    <w:p w:rsidR="00D41156"/>
    <w:p w:rsidR="00D41156"/>
    <w:p w:rsidR="00D41156"/>
    <w:p w:rsidR="00D41156"/>
    <w:p w:rsidR="008A4E38"/>
    <w:p w:rsidR="008A4E38"/>
    <w:p w:rsidR="00D41156"/>
    <w:p w:rsidR="00D41156"/>
    <w:p w:rsidR="00D41156"/>
    <w:p w:rsidR="00D41156"/>
    <w:p w:rsidR="00D41156"/>
    <w:sectPr>
      <w:footnotePr>
        <w:pos w:val="beneathText"/>
      </w:footnotePr>
      <w:pgSz w:w="11905" w:h="16837"/>
      <w:pgMar w:top="1418" w:right="1418" w:bottom="1418" w:left="1418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isplayHorizontalDrawingGridEvery w:val="0"/>
  <w:characterSpacingControl w:val="doNotCompress"/>
  <w:footnotePr>
    <w:pos w:val="beneathText"/>
  </w:footnotePr>
  <w:compat>
    <w:noLeading/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8A4E38"/>
    <w:rsid w:val="00D4115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Times New Roman" w:hAnsi="Times New Roman" w:cs="Times New Roman"/>
      <w:color w:val="auto"/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character" w:customStyle="1" w:styleId="WW-Predvolenpsmoodseku">
    <w:name w:val="WW-Predvolené písmo odseku"/>
  </w:style>
  <w:style w:type="paragraph" w:styleId="BodyText">
    <w:name w:val="Body Text"/>
    <w:basedOn w:val="Normal"/>
    <w:pPr>
      <w:spacing w:before="0" w:after="120"/>
      <w:jc w:val="left"/>
    </w:pPr>
  </w:style>
  <w:style w:type="paragraph" w:styleId="List">
    <w:name w:val="List"/>
    <w:basedOn w:val="BodyText"/>
    <w:pPr>
      <w:jc w:val="left"/>
    </w:pPr>
    <w:rPr>
      <w:rFonts w:cs="Tahoma"/>
    </w:rPr>
  </w:style>
  <w:style w:type="paragraph" w:customStyle="1" w:styleId="Popisok">
    <w:name w:val="Popisok"/>
    <w:basedOn w:val="Normal"/>
    <w:pPr>
      <w:suppressLineNumbers/>
      <w:spacing w:before="120" w:after="120"/>
      <w:jc w:val="left"/>
    </w:pPr>
    <w:rPr>
      <w:rFonts w:cs="Tahoma"/>
      <w:i/>
      <w:iCs/>
      <w:sz w:val="20"/>
      <w:szCs w:val="20"/>
    </w:rPr>
  </w:style>
  <w:style w:type="paragraph" w:customStyle="1" w:styleId="Obsah">
    <w:name w:val="Obsah"/>
    <w:basedOn w:val="Normal"/>
    <w:pPr>
      <w:suppressLineNumbers/>
      <w:jc w:val="left"/>
    </w:pPr>
    <w:rPr>
      <w:rFonts w:cs="Tahoma"/>
    </w:rPr>
  </w:style>
  <w:style w:type="paragraph" w:customStyle="1" w:styleId="Obsahrmca">
    <w:name w:val="Obsah rámca"/>
    <w:basedOn w:val="BodyTex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4</Pages>
  <Words>567</Words>
  <Characters>3232</Characters>
  <Application>Microsoft Office Word</Application>
  <DocSecurity>0</DocSecurity>
  <Lines>0</Lines>
  <Paragraphs>0</Paragraphs>
  <ScaleCrop>false</ScaleCrop>
  <Company>Kancelaria NR SR</Company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</dc:title>
  <dc:creator>Administrator</dc:creator>
  <cp:lastModifiedBy>gaspjarm</cp:lastModifiedBy>
  <cp:revision>4</cp:revision>
  <cp:lastPrinted>2005-09-29T10:44:17Z</cp:lastPrinted>
  <dcterms:created xsi:type="dcterms:W3CDTF">1995-11-21T15:41:00Z</dcterms:created>
  <dcterms:modified xsi:type="dcterms:W3CDTF">2005-10-04T13:35:00Z</dcterms:modified>
</cp:coreProperties>
</file>