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734B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83734B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83734B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83734B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83734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 volebné obdobie</w:t>
      </w:r>
    </w:p>
    <w:p w:rsidR="0083734B">
      <w:pPr>
        <w:jc w:val="both"/>
        <w:rPr>
          <w:rFonts w:ascii="Times New Roman" w:hAnsi="Times New Roman" w:cs="Times New Roman"/>
          <w:b/>
          <w:sz w:val="28"/>
        </w:rPr>
      </w:pP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Návrh zákona z ........2005,</w:t>
      </w: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</w:p>
    <w:p w:rsidR="0083734B">
      <w:pPr>
        <w:pStyle w:val="Block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dopĺňa zákon </w:t>
      </w:r>
    </w:p>
    <w:p w:rsidR="0083734B">
      <w:pPr>
        <w:pStyle w:val="Block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446/2001 Z. z. o majetku vyšších územných celkov v znení zákona č. 521/2003 Z. z.</w:t>
      </w:r>
    </w:p>
    <w:p w:rsidR="0083734B">
      <w:pPr>
        <w:pStyle w:val="BlockText"/>
        <w:rPr>
          <w:rFonts w:ascii="Times New Roman" w:hAnsi="Times New Roman" w:cs="Times New Roman"/>
          <w:b/>
        </w:rPr>
      </w:pP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</w:p>
    <w:p w:rsidR="0083734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 sa uzniesla na tomto</w:t>
      </w:r>
      <w:r>
        <w:rPr>
          <w:rFonts w:ascii="Times New Roman" w:hAnsi="Times New Roman" w:cs="Times New Roman"/>
          <w:sz w:val="24"/>
        </w:rPr>
        <w:t xml:space="preserve"> zákone:</w:t>
      </w:r>
    </w:p>
    <w:p w:rsidR="0083734B">
      <w:pPr>
        <w:jc w:val="center"/>
        <w:rPr>
          <w:rFonts w:ascii="Times New Roman" w:hAnsi="Times New Roman" w:cs="Times New Roman"/>
          <w:sz w:val="24"/>
        </w:rPr>
      </w:pPr>
    </w:p>
    <w:p w:rsidR="0083734B">
      <w:pPr>
        <w:jc w:val="center"/>
        <w:rPr>
          <w:rFonts w:ascii="Times New Roman" w:hAnsi="Times New Roman" w:cs="Times New Roman"/>
          <w:sz w:val="24"/>
        </w:rPr>
      </w:pPr>
    </w:p>
    <w:p w:rsidR="0083734B">
      <w:pPr>
        <w:pStyle w:val="Heading1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Čl. I</w:t>
      </w:r>
    </w:p>
    <w:p w:rsidR="0083734B">
      <w:pPr>
        <w:pStyle w:val="BlockText"/>
        <w:jc w:val="both"/>
        <w:rPr>
          <w:rFonts w:ascii="Times New Roman" w:hAnsi="Times New Roman" w:cs="Times New Roman"/>
          <w:b/>
        </w:rPr>
      </w:pPr>
    </w:p>
    <w:p w:rsidR="0083734B">
      <w:pPr>
        <w:pStyle w:val="BlockTex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446/2001 Z. z. o majetku vyšších územných celkov v znení zákona č. 521/2003 Z. z. sa dopĺňa takto:</w:t>
      </w: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9 ods. 5 sa za slovo „o“ vkladajú slová „obec alebo o“. </w:t>
      </w: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pStyle w:val="Heading1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Čl. II</w:t>
      </w: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zákon nadobúda účinnosť 15. novembra 2005.</w:t>
      </w: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ô v o d o v á   s p r á v a</w:t>
      </w: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</w:p>
    <w:p w:rsidR="0083734B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Všeobecná časť</w:t>
      </w: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reaguje na znevýhodnenie niektorých obcí pri nadobúdaní vlastníckeho práva k majetku vyššieho územného celku. Na obce, ktorých starosta, ako štatutárny orgán, je poslancom zastupiteľstva vyššieho územného celku, nemôže totiž vyšší územný celok previesť vlastnícke právo k svojmu majetku ináč ako verejnou obchodnou súťažou.</w:t>
      </w:r>
    </w:p>
    <w:p w:rsidR="0083734B">
      <w:pPr>
        <w:pStyle w:val="BodyTextIndent"/>
        <w:rPr>
          <w:rFonts w:ascii="Times New Roman" w:hAnsi="Times New Roman" w:cs="Times New Roman"/>
        </w:rPr>
      </w:pPr>
    </w:p>
    <w:p w:rsidR="0083734B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potrebné, najmä v súvislosti s dosiahnutím racionálneho a adresnejšieho využívania majetku, prevedeného na vyšší územný celok pri presune kompetencií, vytvoriť rovnaké podmienky na  jeho využívanie na verejnoprospešné účely všetkými obcami, v ktorých katastri sa príslušný majetok nachádza. Teda aj obcami, ktorých starostovia sú súčasne poslancami vyššieho územného celku.</w:t>
      </w:r>
    </w:p>
    <w:p w:rsidR="0083734B">
      <w:pPr>
        <w:pStyle w:val="BodyTextIndent"/>
        <w:rPr>
          <w:rFonts w:ascii="Times New Roman" w:hAnsi="Times New Roman" w:cs="Times New Roman"/>
        </w:rPr>
      </w:pPr>
    </w:p>
    <w:p w:rsidR="0083734B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racionalizačných a úsporných opatreniach niektorý majetok, prevedený do vlastníctva vyšších územných celkov v súvislosti s presunom kompetencií, prestal byť využívaný na verejnoprospešné účely v rámci celého regiónu. Jedná sa napr. o majetok v oblasti sociálnych vecí, zdravotníctva a kultúry.   </w:t>
      </w: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Navrhovaná zákonná úprava umožňuje vyššiemu územnému celku previesť bez verejnej súťaže majetok využívaný na verejnoprospešné účely za rovnakých podmienok do vlastníctva každej obce, v ktorej katastri sa nachádza, teda aj obce, ktorej starosta je súčasne poslancom príslušného vyššieho územného celku. </w:t>
      </w:r>
    </w:p>
    <w:p w:rsidR="008373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373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zákona je v súlade s Ústavou Slovenskej republiky, ústavnými zákonmi, zákonmi, inými všeobecne záväznými právnymi predpismi, ako aj s medzinárodným</w:t>
      </w:r>
      <w:r>
        <w:rPr>
          <w:rFonts w:ascii="Times New Roman" w:hAnsi="Times New Roman" w:cs="Times New Roman"/>
          <w:sz w:val="24"/>
        </w:rPr>
        <w:t>i zmluvami, ktorými je Slovenská republika viazaná.</w:t>
      </w:r>
    </w:p>
    <w:p w:rsidR="008373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373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zákona nepredpokladá dopad na štátny roz</w:t>
      </w:r>
      <w:r>
        <w:rPr>
          <w:rFonts w:ascii="Times New Roman" w:hAnsi="Times New Roman" w:cs="Times New Roman"/>
          <w:sz w:val="24"/>
        </w:rPr>
        <w:t>počet, ani na rozpočty obcí a rozpočty vyšších územných celkov. Nebude mať dopad na hospodárenie verejnoprávnych inštitúcií a nebude zakladať nároky na pracovné sily, organizačné zabezpečenie a nebude mať dopad na životné prostredie.</w:t>
      </w:r>
    </w:p>
    <w:p w:rsidR="008373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373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Vzhľadom na obsah doložky zlučiteľnosti nie je potrebná tabuľka zhody.</w:t>
      </w:r>
    </w:p>
    <w:p w:rsidR="008373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3734B">
      <w:pPr>
        <w:pStyle w:val="Heading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B. Osobitná časť</w:t>
      </w:r>
    </w:p>
    <w:p w:rsidR="0083734B">
      <w:pPr>
        <w:rPr>
          <w:rFonts w:ascii="Times New Roman" w:hAnsi="Times New Roman" w:cs="Times New Roman"/>
        </w:rPr>
      </w:pPr>
    </w:p>
    <w:p w:rsidR="0083734B">
      <w:pPr>
        <w:pStyle w:val="BodyText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K čl. I.</w:t>
      </w:r>
    </w:p>
    <w:p w:rsidR="0083734B">
      <w:pPr>
        <w:jc w:val="both"/>
        <w:rPr>
          <w:rFonts w:ascii="Times New Roman" w:hAnsi="Times New Roman" w:cs="Times New Roman"/>
          <w:b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Navrhovanou zákonnou úpravou sa odstraňuje nerovnoprávne postavenie obcí pri nadobúdaní vlastníckeho práva a vytvárajú sa lepšie podmienky na efektívnejšie, hospodárnejšie a adresnejšie využívanie verejného majetku..</w:t>
      </w: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 w:rsidR="0083734B">
      <w:pPr>
        <w:jc w:val="both"/>
        <w:rPr>
          <w:rFonts w:ascii="Times New Roman" w:hAnsi="Times New Roman" w:cs="Times New Roman"/>
          <w:b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Nadobudnutie účinnosti tohto zákona sa navrhuje v súlade s predpokladaným priebehom legislatívneho procesu.</w:t>
      </w:r>
    </w:p>
    <w:p w:rsidR="0083734B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83734B">
      <w:pPr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DOLOŽKA ZLUČITEĽNOSTI</w:t>
      </w:r>
      <w:r>
        <w:rPr>
          <w:rFonts w:ascii="Times New Roman" w:hAnsi="Times New Roman" w:cs="Times New Roman"/>
          <w:sz w:val="24"/>
        </w:rPr>
        <w:t xml:space="preserve"> </w:t>
      </w: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právneho predpisu </w:t>
      </w: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 právom Európskych spoločenstiev a právom Európskej únie</w:t>
      </w:r>
    </w:p>
    <w:p w:rsidR="0083734B">
      <w:pPr>
        <w:jc w:val="center"/>
        <w:rPr>
          <w:rFonts w:ascii="Times New Roman" w:hAnsi="Times New Roman" w:cs="Times New Roman"/>
          <w:b/>
          <w:sz w:val="24"/>
        </w:rPr>
      </w:pPr>
    </w:p>
    <w:p w:rsidR="0083734B">
      <w:pPr>
        <w:numPr>
          <w:ilvl w:val="0"/>
          <w:numId w:val="4"/>
        </w:numPr>
        <w:tabs>
          <w:tab w:val="left" w:pos="70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Navrhovateľ zákona:</w:t>
      </w:r>
    </w:p>
    <w:p w:rsidR="0083734B">
      <w:pPr>
        <w:pStyle w:val="Heading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Skupina poslancov Národnej rady Slovenskej republiky</w:t>
      </w: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numPr>
          <w:ilvl w:val="0"/>
          <w:numId w:val="4"/>
        </w:numPr>
        <w:tabs>
          <w:tab w:val="left" w:pos="70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Názov návrhu zákona:</w:t>
      </w:r>
    </w:p>
    <w:p w:rsidR="0083734B">
      <w:pPr>
        <w:pStyle w:val="BlockTex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Zákon, ktorým sa dopĺňa zákon č. 446/2001 Z. z. o majetku vyšších územných celkov v znení zákona č. 521/2003 Z. z.</w:t>
      </w:r>
    </w:p>
    <w:p w:rsidR="0083734B">
      <w:pPr>
        <w:pStyle w:val="BlockText"/>
        <w:rPr>
          <w:rFonts w:ascii="Times New Roman" w:hAnsi="Times New Roman" w:cs="Times New Roman"/>
          <w:b/>
        </w:rPr>
      </w:pPr>
    </w:p>
    <w:p w:rsidR="0083734B">
      <w:pPr>
        <w:jc w:val="both"/>
        <w:rPr>
          <w:rFonts w:ascii="Times New Roman" w:hAnsi="Times New Roman" w:cs="Times New Roman"/>
          <w:sz w:val="24"/>
        </w:rPr>
      </w:pPr>
    </w:p>
    <w:p w:rsidR="0083734B">
      <w:pPr>
        <w:pStyle w:val="BodyText2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Záväzky Slovenskej republiky vo vzťahu k Európskym spoločenstvám a Európskej únii:</w:t>
      </w:r>
    </w:p>
    <w:p w:rsidR="0083734B">
      <w:pPr>
        <w:pStyle w:val="BodyTex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členstvo Slovenskej republiky v Európskej únii je vyjadrovanie záväzkov Slovenskej republiky vo vzťahu k Európskym spoločenstvám a k Európskej únii z hľadiska priorít aproximácie práva podľa čl. 70 Európskej dohody o pridružení, Bielej knihy, Partnerstva pre vstup, Národného programu pre prijatie acquis communautaire, screeningu, Pravidelnej správy Európskej komisie o stave pripravenosti Slovenskej republiky na členstvo v Európskej únii </w:t>
      </w:r>
      <w:r>
        <w:rPr>
          <w:rFonts w:ascii="Times New Roman" w:hAnsi="Times New Roman" w:cs="Times New Roman"/>
          <w:b/>
        </w:rPr>
        <w:t>bezpredmetné</w:t>
      </w:r>
      <w:r>
        <w:rPr>
          <w:rFonts w:ascii="Times New Roman" w:hAnsi="Times New Roman" w:cs="Times New Roman"/>
        </w:rPr>
        <w:t xml:space="preserve">. S prihliadnutím na výlučne vnútroštátny charakter návrhu zákona je vyjadrovanie sa k záväzkom podľa Aktu o podmienkach pristúpenia Slovenskej republiky k Európskej únii </w:t>
      </w:r>
      <w:r>
        <w:rPr>
          <w:rFonts w:ascii="Times New Roman" w:hAnsi="Times New Roman" w:cs="Times New Roman"/>
          <w:b/>
        </w:rPr>
        <w:t>bezpredmetné</w:t>
      </w:r>
      <w:r>
        <w:rPr>
          <w:rFonts w:ascii="Times New Roman" w:hAnsi="Times New Roman" w:cs="Times New Roman"/>
        </w:rPr>
        <w:t>.</w:t>
      </w:r>
    </w:p>
    <w:p w:rsidR="0083734B">
      <w:pPr>
        <w:pStyle w:val="BodyText"/>
        <w:ind w:left="709"/>
        <w:rPr>
          <w:rFonts w:ascii="Times New Roman" w:hAnsi="Times New Roman" w:cs="Times New Roman"/>
        </w:rPr>
      </w:pPr>
    </w:p>
    <w:p w:rsidR="0083734B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Problematika návrhu zákona:</w:t>
      </w:r>
    </w:p>
    <w:p w:rsidR="0083734B">
      <w:pPr>
        <w:pStyle w:val="BodyText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Problematika návrhu zákona </w:t>
      </w:r>
      <w:r>
        <w:rPr>
          <w:rFonts w:ascii="Times New Roman" w:hAnsi="Times New Roman" w:cs="Times New Roman"/>
          <w:b/>
        </w:rPr>
        <w:t>nie je upravená v práve Európskych spoločenstiev, ani v práve Európskej únie.</w:t>
      </w:r>
    </w:p>
    <w:p w:rsidR="0083734B">
      <w:pPr>
        <w:pStyle w:val="BodyText"/>
        <w:rPr>
          <w:rFonts w:ascii="Times New Roman" w:hAnsi="Times New Roman" w:cs="Times New Roman"/>
        </w:rPr>
      </w:pPr>
    </w:p>
    <w:p w:rsidR="0083734B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Stupeň zlučiteľnosti návrhu zákona s právom Európskych spoločenstiev a právom Európskej únie:</w:t>
      </w:r>
    </w:p>
    <w:p w:rsidR="0083734B">
      <w:pPr>
        <w:pStyle w:val="BodyTex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vnútroštátny charakter upravovanej problematiky je vyjadrovanie stupňa zlučiteľnosti návrhu právneho predpisu s právom ES/EÚ </w:t>
      </w:r>
      <w:r>
        <w:rPr>
          <w:rFonts w:ascii="Times New Roman" w:hAnsi="Times New Roman" w:cs="Times New Roman"/>
          <w:b/>
        </w:rPr>
        <w:t>bezpredmetné.</w:t>
      </w:r>
    </w:p>
    <w:p w:rsidR="0083734B">
      <w:pPr>
        <w:pStyle w:val="BodyText"/>
        <w:rPr>
          <w:rFonts w:ascii="Times New Roman" w:hAnsi="Times New Roman" w:cs="Times New Roman"/>
        </w:rPr>
      </w:pPr>
    </w:p>
    <w:p w:rsidR="0083734B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 (spolupracujúce rezorty):</w:t>
      </w:r>
    </w:p>
    <w:p w:rsidR="0083734B">
      <w:pPr>
        <w:pStyle w:val="BodyText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bezpredmetné</w:t>
      </w:r>
    </w:p>
    <w:p w:rsidR="0083734B">
      <w:pPr>
        <w:pStyle w:val="BodyText"/>
        <w:rPr>
          <w:rFonts w:ascii="Times New Roman" w:hAnsi="Times New Roman" w:cs="Times New Roman"/>
        </w:rPr>
      </w:pPr>
    </w:p>
    <w:p w:rsidR="0083734B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Účasť expertov pri príprave návrhu zákona a ich stanovisko k zlučiteľnosti návrhu zákona s právom ES/EÚ:</w:t>
      </w:r>
    </w:p>
    <w:p w:rsidR="0083734B">
      <w:pPr>
        <w:pStyle w:val="BodyText"/>
        <w:ind w:left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Pri príprave návrhu zákona nebola účasť expertov, ani iná forma spolupráce - </w:t>
      </w:r>
      <w:r>
        <w:rPr>
          <w:rFonts w:ascii="Times New Roman" w:hAnsi="Times New Roman" w:cs="Times New Roman"/>
          <w:b/>
        </w:rPr>
        <w:t>bezpredmetné.</w:t>
      </w:r>
    </w:p>
    <w:p w:rsidR="0083734B">
      <w:pPr>
        <w:jc w:val="both"/>
        <w:rPr>
          <w:rFonts w:ascii="Arial" w:hAnsi="Arial" w:cs="Times New Roman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7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636429"/>
    <w:multiLevelType w:val="singleLevel"/>
    <w:tmpl w:val="9EF0F1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nsid w:val="2DDA5250"/>
    <w:multiLevelType w:val="singleLevel"/>
    <w:tmpl w:val="0C5C9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6104306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7E90332"/>
    <w:multiLevelType w:val="singleLevel"/>
    <w:tmpl w:val="827AF22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3734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styleId="BlockText">
    <w:name w:val="Block Text"/>
    <w:basedOn w:val="Normal"/>
    <w:pPr>
      <w:ind w:left="567" w:right="567"/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i/>
      <w:sz w:val="24"/>
    </w:rPr>
  </w:style>
  <w:style w:type="paragraph" w:styleId="Subtitle">
    <w:name w:val="Subtitle"/>
    <w:basedOn w:val="Normal"/>
    <w:qFormat/>
    <w:pPr>
      <w:jc w:val="both"/>
    </w:pPr>
    <w:rPr>
      <w:b/>
      <w:i/>
      <w:sz w:val="24"/>
      <w:u w:val="single"/>
    </w:r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348</TotalTime>
  <Pages>3</Pages>
  <Words>673</Words>
  <Characters>3837</Characters>
  <Application>Microsoft Office Word</Application>
  <DocSecurity>0</DocSecurity>
  <Lines>0</Lines>
  <Paragraphs>0</Paragraphs>
  <ScaleCrop>false</ScaleCrop>
  <Company>ZMOS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Kancelaria</dc:creator>
  <cp:lastModifiedBy>gaspjarm</cp:lastModifiedBy>
  <cp:revision>31</cp:revision>
  <cp:lastPrinted>2005-06-30T08:44:00Z</cp:lastPrinted>
  <dcterms:created xsi:type="dcterms:W3CDTF">2004-03-23T06:27:00Z</dcterms:created>
  <dcterms:modified xsi:type="dcterms:W3CDTF">2005-07-25T12:43:00Z</dcterms:modified>
</cp:coreProperties>
</file>