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0DEE">
      <w:pPr>
        <w:pStyle w:val="Heading1"/>
        <w:spacing w:line="240" w:lineRule="atLeast"/>
        <w:rPr>
          <w:rFonts w:ascii="Times New Roman" w:hAnsi="Times New Roman" w:cs="Times New Roman"/>
          <w:b/>
          <w:szCs w:val="24"/>
        </w:rPr>
      </w:pPr>
      <w:r>
        <w:rPr>
          <w:rFonts w:ascii="Times New Roman" w:hAnsi="Times New Roman" w:cs="Times New Roman"/>
          <w:b/>
          <w:szCs w:val="24"/>
        </w:rPr>
        <w:t>NÁRODNÁ RADA SLOVENSKEJ REPUBLIKY</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21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9211" w:type="dxa"/>
            <w:tcBorders>
              <w:top w:val="nil"/>
              <w:left w:val="nil"/>
              <w:bottom w:val="single" w:sz="4" w:space="0" w:color="auto"/>
              <w:right w:val="nil"/>
            </w:tcBorders>
            <w:textDirection w:val="lrTb"/>
            <w:vAlign w:val="top"/>
          </w:tcPr>
          <w:p w:rsidR="00EB0DEE">
            <w:pPr>
              <w:jc w:val="center"/>
              <w:rPr>
                <w:rFonts w:ascii="Times New Roman" w:hAnsi="Times New Roman" w:cs="Times New Roman"/>
                <w:sz w:val="24"/>
                <w:szCs w:val="24"/>
              </w:rPr>
            </w:pPr>
            <w:r>
              <w:rPr>
                <w:rFonts w:ascii="Times New Roman" w:hAnsi="Times New Roman" w:cs="Times New Roman"/>
                <w:sz w:val="24"/>
                <w:szCs w:val="24"/>
              </w:rPr>
              <w:t>III. volebné obdobie</w:t>
            </w:r>
          </w:p>
        </w:tc>
      </w:tr>
    </w:tbl>
    <w:p w:rsidR="00EB0DEE">
      <w:pPr>
        <w:pStyle w:val="Heading1"/>
        <w:spacing w:line="240" w:lineRule="atLeast"/>
        <w:jc w:val="left"/>
        <w:rPr>
          <w:rFonts w:ascii="Times New Roman" w:hAnsi="Times New Roman" w:cs="Times New Roman"/>
          <w:szCs w:val="24"/>
        </w:rPr>
      </w:pPr>
    </w:p>
    <w:p w:rsidR="00EB0DEE">
      <w:pPr>
        <w:pStyle w:val="Heading1"/>
        <w:spacing w:line="240" w:lineRule="atLeast"/>
        <w:ind w:left="3540" w:firstLine="708"/>
        <w:jc w:val="both"/>
        <w:rPr>
          <w:rFonts w:ascii="Times New Roman" w:hAnsi="Times New Roman" w:cs="Times New Roman"/>
          <w:sz w:val="20"/>
          <w:szCs w:val="24"/>
        </w:rPr>
      </w:pPr>
      <w:r>
        <w:rPr>
          <w:rFonts w:ascii="Times New Roman" w:hAnsi="Times New Roman" w:cs="Times New Roman"/>
          <w:b/>
          <w:szCs w:val="24"/>
        </w:rPr>
        <w:t xml:space="preserve">                                </w:t>
      </w:r>
    </w:p>
    <w:p w:rsidR="00EB0DEE">
      <w:pPr>
        <w:rPr>
          <w:rFonts w:ascii="Times New Roman" w:hAnsi="Times New Roman" w:cs="Times New Roman"/>
          <w:sz w:val="24"/>
          <w:szCs w:val="24"/>
        </w:rPr>
      </w:pPr>
    </w:p>
    <w:p w:rsidR="00EB0DEE">
      <w:pPr>
        <w:pStyle w:val="Heading1"/>
        <w:spacing w:line="240" w:lineRule="atLeast"/>
        <w:rPr>
          <w:rFonts w:ascii="Times New Roman" w:hAnsi="Times New Roman" w:cs="Times New Roman"/>
          <w:b/>
          <w:szCs w:val="24"/>
        </w:rPr>
      </w:pPr>
      <w:r>
        <w:rPr>
          <w:rFonts w:ascii="Times New Roman" w:hAnsi="Times New Roman" w:cs="Times New Roman"/>
          <w:b/>
          <w:szCs w:val="24"/>
        </w:rPr>
        <w:t>NÁVRH POSLANCOV NR SR BRANISLAVA OPATERNÉHO, JOZEFA HURBANA A ĽUBICE NAVRÁTILOVEJ</w:t>
      </w:r>
    </w:p>
    <w:p w:rsidR="00EB0DEE">
      <w:pPr>
        <w:spacing w:line="240" w:lineRule="atLeast"/>
        <w:jc w:val="center"/>
        <w:rPr>
          <w:rFonts w:ascii="Times New Roman" w:hAnsi="Times New Roman" w:cs="Times New Roman"/>
          <w:sz w:val="24"/>
          <w:szCs w:val="24"/>
        </w:rPr>
      </w:pPr>
    </w:p>
    <w:p w:rsidR="00EB0DE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Z á k o n</w:t>
      </w:r>
    </w:p>
    <w:p w:rsidR="00EB0DEE">
      <w:pPr>
        <w:spacing w:line="240" w:lineRule="atLeast"/>
        <w:jc w:val="center"/>
        <w:rPr>
          <w:rFonts w:ascii="Times New Roman" w:hAnsi="Times New Roman" w:cs="Times New Roman"/>
          <w:b/>
          <w:sz w:val="24"/>
          <w:szCs w:val="24"/>
        </w:rPr>
      </w:pPr>
    </w:p>
    <w:p w:rsidR="00EB0DE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z ............... 2005,  </w:t>
      </w:r>
    </w:p>
    <w:p w:rsidR="00EB0DEE">
      <w:pPr>
        <w:pStyle w:val="BodyText"/>
        <w:autoSpaceDE w:val="0"/>
        <w:autoSpaceDN w:val="0"/>
        <w:spacing w:line="240" w:lineRule="atLeast"/>
        <w:jc w:val="both"/>
        <w:rPr>
          <w:rFonts w:ascii="Times New Roman" w:hAnsi="Times New Roman" w:cs="Times New Roman"/>
          <w:b/>
          <w:color w:val="auto"/>
          <w:szCs w:val="24"/>
        </w:rPr>
      </w:pPr>
    </w:p>
    <w:p w:rsidR="00EB0DEE">
      <w:pPr>
        <w:ind w:left="-284" w:right="-143"/>
        <w:jc w:val="center"/>
        <w:rPr>
          <w:rFonts w:ascii="Times New Roman" w:hAnsi="Times New Roman" w:cs="Times New Roman"/>
          <w:b/>
          <w:szCs w:val="24"/>
        </w:rPr>
      </w:pPr>
      <w:r>
        <w:rPr>
          <w:rFonts w:ascii="Times New Roman" w:hAnsi="Times New Roman" w:cs="Times New Roman"/>
          <w:b/>
          <w:szCs w:val="24"/>
        </w:rPr>
        <w:t>ktorým sa mení a  dopĺňa zákon č. 50/1976 Zb. o územnom plánovaní a stavebnom poriadku (stavebný zákon)</w:t>
      </w:r>
    </w:p>
    <w:p w:rsidR="00EB0DEE">
      <w:pPr>
        <w:rPr>
          <w:rFonts w:ascii="Times New Roman" w:hAnsi="Times New Roman" w:cs="Times New Roman"/>
          <w:b/>
          <w:szCs w:val="24"/>
        </w:rPr>
      </w:pPr>
    </w:p>
    <w:p w:rsidR="00EB0DEE">
      <w:pPr>
        <w:pStyle w:val="BodyText"/>
        <w:autoSpaceDE w:val="0"/>
        <w:autoSpaceDN w:val="0"/>
        <w:spacing w:line="240" w:lineRule="atLeast"/>
        <w:jc w:val="center"/>
        <w:rPr>
          <w:rFonts w:ascii="Times New Roman" w:hAnsi="Times New Roman" w:cs="Times New Roman"/>
          <w:b/>
          <w:color w:val="auto"/>
          <w:szCs w:val="24"/>
        </w:rPr>
      </w:pPr>
      <w:r>
        <w:rPr>
          <w:rFonts w:ascii="Times New Roman" w:hAnsi="Times New Roman" w:cs="Times New Roman"/>
          <w:b/>
          <w:color w:val="auto"/>
          <w:szCs w:val="24"/>
        </w:rPr>
        <w:t xml:space="preserve"> v znení neskorších predpisov</w:t>
      </w:r>
    </w:p>
    <w:p w:rsidR="00EB0DEE">
      <w:pPr>
        <w:jc w:val="center"/>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z 27. apríla 1976.</w:t>
      </w:r>
    </w:p>
    <w:p w:rsidR="00EB0DEE">
      <w:pPr>
        <w:jc w:val="center"/>
        <w:rPr>
          <w:rFonts w:ascii="Times New Roman" w:hAnsi="Times New Roman" w:cs="Times New Roman"/>
          <w:b/>
          <w:szCs w:val="24"/>
        </w:rPr>
      </w:pPr>
    </w:p>
    <w:p w:rsidR="00EB0DEE">
      <w:pPr>
        <w:rPr>
          <w:rFonts w:ascii="Times New Roman" w:hAnsi="Times New Roman" w:cs="Times New Roman"/>
          <w:b/>
          <w:szCs w:val="24"/>
        </w:rPr>
      </w:pPr>
    </w:p>
    <w:p w:rsidR="00EB0DEE">
      <w:pPr>
        <w:pStyle w:val="BodyText"/>
        <w:autoSpaceDE w:val="0"/>
        <w:autoSpaceDN w:val="0"/>
        <w:spacing w:line="240" w:lineRule="atLeast"/>
        <w:jc w:val="both"/>
        <w:rPr>
          <w:rFonts w:ascii="Times New Roman" w:hAnsi="Times New Roman" w:cs="Times New Roman"/>
          <w:b/>
          <w:color w:val="auto"/>
          <w:szCs w:val="24"/>
        </w:rPr>
      </w:pPr>
    </w:p>
    <w:p w:rsidR="00EB0DEE">
      <w:pPr>
        <w:spacing w:line="240" w:lineRule="atLeast"/>
        <w:jc w:val="both"/>
        <w:rPr>
          <w:rFonts w:ascii="Times New Roman" w:hAnsi="Times New Roman" w:cs="Times New Roman"/>
          <w:sz w:val="24"/>
          <w:szCs w:val="24"/>
        </w:rPr>
      </w:pPr>
    </w:p>
    <w:p w:rsidR="00EB0DEE">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rsidR="00EB0DEE">
      <w:pPr>
        <w:spacing w:line="240" w:lineRule="atLeast"/>
        <w:jc w:val="both"/>
        <w:rPr>
          <w:rFonts w:ascii="Times New Roman" w:hAnsi="Times New Roman" w:cs="Times New Roman"/>
          <w:sz w:val="24"/>
          <w:szCs w:val="24"/>
        </w:rPr>
      </w:pPr>
    </w:p>
    <w:p w:rsidR="00EB0DEE">
      <w:pPr>
        <w:spacing w:line="240" w:lineRule="atLeast"/>
        <w:rPr>
          <w:rFonts w:ascii="Times New Roman" w:hAnsi="Times New Roman" w:cs="Times New Roman"/>
          <w:sz w:val="24"/>
          <w:szCs w:val="24"/>
        </w:rPr>
      </w:pPr>
    </w:p>
    <w:p w:rsidR="00EB0DE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Čl. I.</w:t>
      </w:r>
    </w:p>
    <w:p w:rsidR="00EB0DEE">
      <w:pPr>
        <w:spacing w:line="240" w:lineRule="atLeast"/>
        <w:jc w:val="both"/>
        <w:rPr>
          <w:rFonts w:ascii="Times New Roman" w:hAnsi="Times New Roman" w:cs="Times New Roman"/>
          <w:sz w:val="24"/>
          <w:szCs w:val="24"/>
        </w:rPr>
      </w:pPr>
    </w:p>
    <w:p w:rsidR="00EB0DEE">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Zákon č. 50/1976 Zb. sa mení a dopĺňa takto:</w:t>
      </w:r>
    </w:p>
    <w:p w:rsidR="00EB0DEE">
      <w:pPr>
        <w:spacing w:line="240" w:lineRule="atLeast"/>
        <w:jc w:val="both"/>
        <w:rPr>
          <w:rFonts w:ascii="Times New Roman" w:hAnsi="Times New Roman" w:cs="Times New Roman"/>
          <w:b/>
          <w:sz w:val="24"/>
          <w:szCs w:val="24"/>
        </w:rPr>
      </w:pPr>
    </w:p>
    <w:p w:rsidR="00EB0DEE">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V § 108 sa v odseku 2 vypúšťa písmeno o) a poznámka pod čiarou číslo 10</w:t>
      </w:r>
      <w:r>
        <w:rPr>
          <w:rFonts w:ascii="Times New Roman" w:hAnsi="Times New Roman" w:cs="Times New Roman"/>
          <w:sz w:val="24"/>
          <w:szCs w:val="24"/>
          <w:vertAlign w:val="superscript"/>
        </w:rPr>
        <w:t>ja</w:t>
      </w:r>
      <w:r>
        <w:rPr>
          <w:rFonts w:ascii="Times New Roman" w:hAnsi="Times New Roman" w:cs="Times New Roman"/>
          <w:sz w:val="24"/>
          <w:szCs w:val="24"/>
        </w:rPr>
        <w:t xml:space="preserve"> .</w:t>
      </w:r>
    </w:p>
    <w:p w:rsidR="00EB0DEE">
      <w:pPr>
        <w:spacing w:line="240" w:lineRule="atLeast"/>
        <w:ind w:left="360"/>
        <w:jc w:val="both"/>
        <w:rPr>
          <w:rFonts w:ascii="Times New Roman" w:hAnsi="Times New Roman" w:cs="Times New Roman"/>
          <w:sz w:val="24"/>
          <w:szCs w:val="24"/>
        </w:rPr>
      </w:pPr>
    </w:p>
    <w:p w:rsidR="00EB0DEE">
      <w:pPr>
        <w:spacing w:line="240" w:lineRule="atLeast"/>
        <w:jc w:val="both"/>
        <w:rPr>
          <w:rFonts w:ascii="Times New Roman" w:hAnsi="Times New Roman" w:cs="Times New Roman"/>
          <w:sz w:val="24"/>
          <w:szCs w:val="24"/>
        </w:rPr>
      </w:pPr>
    </w:p>
    <w:p w:rsidR="00EB0DEE">
      <w:pPr>
        <w:pStyle w:val="Heading1"/>
        <w:spacing w:line="240" w:lineRule="atLeast"/>
        <w:jc w:val="left"/>
        <w:rPr>
          <w:rFonts w:ascii="Times New Roman" w:hAnsi="Times New Roman" w:cs="Times New Roman"/>
          <w:b/>
          <w:szCs w:val="24"/>
        </w:rPr>
      </w:pPr>
    </w:p>
    <w:p w:rsidR="00EB0DEE">
      <w:pPr>
        <w:pStyle w:val="Heading1"/>
        <w:spacing w:line="240" w:lineRule="atLeast"/>
        <w:rPr>
          <w:rFonts w:ascii="Times New Roman" w:hAnsi="Times New Roman" w:cs="Times New Roman"/>
          <w:szCs w:val="24"/>
        </w:rPr>
      </w:pPr>
      <w:r>
        <w:rPr>
          <w:rFonts w:ascii="Times New Roman" w:hAnsi="Times New Roman" w:cs="Times New Roman"/>
          <w:b/>
          <w:szCs w:val="24"/>
        </w:rPr>
        <w:t>Čl. II.</w:t>
      </w:r>
    </w:p>
    <w:p w:rsidR="00EB0DEE">
      <w:pPr>
        <w:spacing w:line="240" w:lineRule="atLeast"/>
        <w:jc w:val="both"/>
        <w:rPr>
          <w:rFonts w:ascii="Times New Roman" w:hAnsi="Times New Roman" w:cs="Times New Roman"/>
          <w:sz w:val="24"/>
          <w:szCs w:val="24"/>
        </w:rPr>
      </w:pPr>
    </w:p>
    <w:p w:rsidR="00EB0DEE">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Tento zákon nadobúda účinnosť 1. júla 2005.</w:t>
      </w:r>
    </w:p>
    <w:p w:rsidR="00EB0DEE">
      <w:pPr>
        <w:spacing w:line="240" w:lineRule="atLeast"/>
        <w:jc w:val="both"/>
        <w:rPr>
          <w:rFonts w:ascii="Times New Roman" w:hAnsi="Times New Roman" w:cs="Times New Roman"/>
          <w:sz w:val="24"/>
          <w:szCs w:val="24"/>
        </w:rPr>
      </w:pPr>
    </w:p>
    <w:p w:rsidR="00EB0DEE">
      <w:pPr>
        <w:spacing w:line="240" w:lineRule="atLeast"/>
        <w:jc w:val="both"/>
        <w:rPr>
          <w:rFonts w:ascii="Times New Roman" w:hAnsi="Times New Roman" w:cs="Times New Roman"/>
          <w:sz w:val="24"/>
          <w:szCs w:val="24"/>
        </w:rPr>
      </w:pPr>
    </w:p>
    <w:p w:rsidR="00EB0DEE">
      <w:pPr>
        <w:pStyle w:val="Title"/>
        <w:rPr>
          <w:caps/>
          <w:szCs w:val="24"/>
        </w:rPr>
      </w:pPr>
      <w:r>
        <w:rPr>
          <w:szCs w:val="24"/>
        </w:rPr>
        <w:br w:type="page"/>
      </w:r>
      <w:r>
        <w:rPr>
          <w:caps/>
          <w:szCs w:val="24"/>
        </w:rPr>
        <w:t>Dôvodová  správa</w:t>
      </w:r>
    </w:p>
    <w:p w:rsidR="00EB0DEE">
      <w:pPr>
        <w:pStyle w:val="Subtitle"/>
        <w:ind w:firstLine="0"/>
        <w:rPr>
          <w:szCs w:val="24"/>
        </w:rPr>
      </w:pPr>
    </w:p>
    <w:p w:rsidR="00EB0DEE">
      <w:pPr>
        <w:pStyle w:val="Subtitle"/>
        <w:ind w:firstLine="0"/>
        <w:rPr>
          <w:szCs w:val="24"/>
        </w:rPr>
      </w:pPr>
      <w:r>
        <w:rPr>
          <w:szCs w:val="24"/>
        </w:rPr>
        <w:t>Všeobecná časť</w:t>
      </w:r>
    </w:p>
    <w:p w:rsidR="00EB0DEE">
      <w:pPr>
        <w:jc w:val="both"/>
        <w:rPr>
          <w:rFonts w:ascii="Times New Roman" w:hAnsi="Times New Roman" w:cs="Times New Roman"/>
          <w:szCs w:val="24"/>
        </w:rPr>
      </w:pPr>
    </w:p>
    <w:p w:rsidR="00EB0DEE">
      <w:pPr>
        <w:ind w:firstLine="708"/>
        <w:jc w:val="both"/>
        <w:rPr>
          <w:rFonts w:ascii="Times New Roman" w:hAnsi="Times New Roman" w:cs="Times New Roman"/>
          <w:szCs w:val="24"/>
        </w:rPr>
      </w:pPr>
      <w:r>
        <w:rPr>
          <w:rFonts w:ascii="Times New Roman" w:hAnsi="Times New Roman" w:cs="Times New Roman"/>
          <w:szCs w:val="24"/>
        </w:rPr>
        <w:t>Právo vyvlastňovať je výsadou štátu, ktorú môže uplatňovať podľa zákona a len v prípadoch, keď sa jedná o verejný záujem. Je to mimoriadne nesystémové právo a jeho uplatňovanie je násilným zásahom do fungovania trhu a deformáciou práv jednotlivca. Uplatňovanie takéhoto práva a aj jeho samotná existencia silne podkopáva dôveru občana v existenciu stabilných vlastníckych vzťahov na trhu, kde je stabilita majetkových vzťahov absolútne nevyhnutnou podmienkou jeho fungovania. Súkromní vlastníci sú pri existencii rizika vyvlastnenia viac motivovaní k nadmernému krátkodobému užívaniu svojho majetku a majú nižšiu motiváciu doňho dlhodobo investovať a zveľaďovať ho. Dochádza tak k spotrebe alebo k nižšej akumulácii kapitálu, a tým k relatívnemu znižovaniu životnej úrovne obyvateľov. Čím sa vyvlastňovanie stáva častejším a čím je arbitrárnejšie, tým sú všetky uvádzané negatíva výraznejšie. Relatívne garantované a jasne vymedzené vlastnícke práva však vytvárajú vhodné prostredie na tvorbu bohatstva v krajine. Existencia praktík vyvlastňovania vo "verejnom záujme" naopak podkopáva bezpečnosť súkromného vlastníctva a vedie k podobným problémom, ktoré sú typické pre verejné vlastníctvo. Z uvedených dôvodov musí byť vyvlastňovanie používané len ako krajná možnosť zabezpečenia potrieb štátu ako napríklad obrana štátu, železnica a pod. Rozhodne sem nepatrí možnosť vyvlastňovania kvôli tzv. „investícii vo verejnom záujme“. Ako príklad sa možno pozrieť aj do okolitých krajín, kde je možnosť vyvlastnenia z takéhoto dôvodu neprípustná, a to bez ohľadu na možné ekonomické pozitíva prípadnej investície.</w:t>
      </w:r>
    </w:p>
    <w:p w:rsidR="00EB0DEE">
      <w:pPr>
        <w:spacing w:before="120"/>
        <w:ind w:firstLine="708"/>
        <w:jc w:val="both"/>
        <w:rPr>
          <w:rFonts w:ascii="Times New Roman" w:hAnsi="Times New Roman" w:cs="Times New Roman"/>
          <w:szCs w:val="24"/>
        </w:rPr>
      </w:pPr>
      <w:r>
        <w:rPr>
          <w:rFonts w:ascii="Times New Roman" w:hAnsi="Times New Roman" w:cs="Times New Roman"/>
          <w:szCs w:val="24"/>
        </w:rPr>
        <w:t>Návrh zákona je v súlade s Ústavou Slovenskej republiky a zákonmi Slovenskej republiky, ako aj s medzinárodnými zmluvami, ktorými je Slovenská republika viazaná. Vzhľadom na obsah doložky zlučiteľnosti nie je potrebná tabuľka zhody.</w:t>
      </w:r>
    </w:p>
    <w:p w:rsidR="00EB0DEE">
      <w:pPr>
        <w:spacing w:before="120"/>
        <w:ind w:firstLine="708"/>
        <w:jc w:val="both"/>
        <w:rPr>
          <w:rFonts w:ascii="Times New Roman" w:hAnsi="Times New Roman" w:cs="Times New Roman"/>
          <w:szCs w:val="24"/>
        </w:rPr>
      </w:pPr>
      <w:r>
        <w:rPr>
          <w:rFonts w:ascii="Times New Roman" w:hAnsi="Times New Roman" w:cs="Times New Roman"/>
          <w:szCs w:val="24"/>
        </w:rPr>
        <w:t>Realizácia navrhovanej právnej úpravy neovplyvňuje štátny rozpočet.</w:t>
      </w:r>
    </w:p>
    <w:p w:rsidR="00EB0DEE">
      <w:pPr>
        <w:jc w:val="both"/>
        <w:rPr>
          <w:rFonts w:ascii="Times New Roman" w:hAnsi="Times New Roman" w:cs="Times New Roman"/>
          <w:szCs w:val="24"/>
        </w:rPr>
      </w:pPr>
    </w:p>
    <w:p w:rsidR="00EB0DEE">
      <w:pPr>
        <w:jc w:val="both"/>
        <w:rPr>
          <w:rFonts w:ascii="Times New Roman" w:hAnsi="Times New Roman" w:cs="Times New Roman"/>
          <w:szCs w:val="24"/>
        </w:rPr>
      </w:pPr>
    </w:p>
    <w:p w:rsidR="00EB0DEE">
      <w:pPr>
        <w:pStyle w:val="Heading9"/>
        <w:spacing w:before="0"/>
        <w:jc w:val="center"/>
        <w:rPr>
          <w:rFonts w:ascii="Times New Roman" w:hAnsi="Times New Roman" w:cs="Times New Roman"/>
          <w:caps/>
          <w:szCs w:val="24"/>
        </w:rPr>
      </w:pPr>
      <w:r>
        <w:rPr>
          <w:rFonts w:ascii="Times New Roman" w:hAnsi="Times New Roman" w:cs="Times New Roman"/>
          <w:caps/>
          <w:szCs w:val="24"/>
        </w:rPr>
        <w:t>Doložka zlučiteľnosti</w:t>
      </w:r>
    </w:p>
    <w:p w:rsidR="00EB0DEE">
      <w:pPr>
        <w:jc w:val="center"/>
        <w:rPr>
          <w:rFonts w:ascii="Times New Roman" w:hAnsi="Times New Roman" w:cs="Times New Roman"/>
          <w:b/>
          <w:szCs w:val="24"/>
        </w:rPr>
      </w:pPr>
      <w:r>
        <w:rPr>
          <w:rFonts w:ascii="Times New Roman" w:hAnsi="Times New Roman" w:cs="Times New Roman"/>
          <w:b/>
          <w:szCs w:val="24"/>
        </w:rPr>
        <w:t>návrhu zákona</w:t>
      </w:r>
    </w:p>
    <w:p w:rsidR="00EB0DEE">
      <w:pPr>
        <w:jc w:val="center"/>
        <w:rPr>
          <w:rFonts w:ascii="Times New Roman" w:hAnsi="Times New Roman" w:cs="Times New Roman"/>
          <w:b/>
          <w:szCs w:val="24"/>
        </w:rPr>
      </w:pPr>
      <w:r>
        <w:rPr>
          <w:rFonts w:ascii="Times New Roman" w:hAnsi="Times New Roman" w:cs="Times New Roman"/>
          <w:b/>
          <w:szCs w:val="24"/>
        </w:rPr>
        <w:t>s právom Európskych spoločenstiev a právom Európskej únie</w:t>
      </w:r>
    </w:p>
    <w:p w:rsidR="00EB0DEE">
      <w:pPr>
        <w:jc w:val="both"/>
        <w:rPr>
          <w:rFonts w:ascii="Times New Roman" w:hAnsi="Times New Roman" w:cs="Times New Roman"/>
          <w:szCs w:val="24"/>
        </w:rPr>
      </w:pPr>
    </w:p>
    <w:p w:rsidR="00EB0DEE">
      <w:pPr>
        <w:jc w:val="both"/>
        <w:rPr>
          <w:rFonts w:ascii="Times New Roman" w:hAnsi="Times New Roman" w:cs="Times New Roman"/>
          <w:b/>
          <w:szCs w:val="24"/>
        </w:rPr>
      </w:pPr>
      <w:r>
        <w:rPr>
          <w:rFonts w:ascii="Times New Roman" w:hAnsi="Times New Roman" w:cs="Times New Roman"/>
          <w:b/>
          <w:szCs w:val="24"/>
        </w:rPr>
        <w:t>1.   Navrhovateľ právneho predpisu:</w:t>
      </w:r>
    </w:p>
    <w:p w:rsidR="00EB0DEE">
      <w:pPr>
        <w:spacing w:before="120"/>
        <w:ind w:firstLine="708"/>
        <w:jc w:val="both"/>
        <w:rPr>
          <w:rFonts w:ascii="Times New Roman" w:hAnsi="Times New Roman" w:cs="Times New Roman"/>
          <w:szCs w:val="24"/>
        </w:rPr>
      </w:pPr>
      <w:r>
        <w:rPr>
          <w:rFonts w:ascii="Times New Roman" w:hAnsi="Times New Roman" w:cs="Times New Roman"/>
          <w:szCs w:val="24"/>
        </w:rPr>
        <w:t xml:space="preserve">Branislav Opaterný, Jozef Hurban, Ľubica Navrátilová - poslanci Národnej rady Slovenskej republiky </w:t>
      </w:r>
    </w:p>
    <w:p w:rsidR="00EB0DEE">
      <w:pPr>
        <w:jc w:val="both"/>
        <w:rPr>
          <w:rFonts w:ascii="Times New Roman" w:hAnsi="Times New Roman" w:cs="Times New Roman"/>
          <w:szCs w:val="24"/>
        </w:rPr>
      </w:pPr>
    </w:p>
    <w:p w:rsidR="00EB0DEE">
      <w:pPr>
        <w:jc w:val="both"/>
        <w:rPr>
          <w:rFonts w:ascii="Times New Roman" w:hAnsi="Times New Roman" w:cs="Times New Roman"/>
          <w:b/>
          <w:szCs w:val="24"/>
        </w:rPr>
      </w:pPr>
      <w:r>
        <w:rPr>
          <w:rFonts w:ascii="Times New Roman" w:hAnsi="Times New Roman" w:cs="Times New Roman"/>
          <w:b/>
          <w:szCs w:val="24"/>
        </w:rPr>
        <w:t>2.   Názov návrhu právneho predpisu:</w:t>
      </w:r>
    </w:p>
    <w:p w:rsidR="00EB0DEE">
      <w:pPr>
        <w:spacing w:before="120"/>
        <w:ind w:firstLine="708"/>
        <w:jc w:val="both"/>
        <w:rPr>
          <w:rFonts w:ascii="Times New Roman" w:hAnsi="Times New Roman" w:cs="Times New Roman"/>
          <w:szCs w:val="24"/>
        </w:rPr>
      </w:pPr>
      <w:r>
        <w:rPr>
          <w:rFonts w:ascii="Times New Roman" w:hAnsi="Times New Roman" w:cs="Times New Roman"/>
          <w:szCs w:val="24"/>
        </w:rPr>
        <w:t>Návrh zákona o územnom plánovaní a stavebnom poriadku (stavebný zákon).</w:t>
      </w:r>
    </w:p>
    <w:p w:rsidR="00EB0DEE">
      <w:pPr>
        <w:jc w:val="both"/>
        <w:rPr>
          <w:rFonts w:ascii="Times New Roman" w:hAnsi="Times New Roman" w:cs="Times New Roman"/>
          <w:szCs w:val="24"/>
        </w:rPr>
      </w:pPr>
    </w:p>
    <w:p w:rsidR="00EB0DEE">
      <w:pPr>
        <w:numPr>
          <w:ilvl w:val="0"/>
          <w:numId w:val="43"/>
        </w:numPr>
        <w:autoSpaceDE/>
        <w:autoSpaceDN/>
        <w:jc w:val="both"/>
        <w:rPr>
          <w:rFonts w:ascii="Times New Roman" w:hAnsi="Times New Roman" w:cs="Times New Roman"/>
          <w:b/>
          <w:szCs w:val="24"/>
        </w:rPr>
      </w:pPr>
      <w:r>
        <w:rPr>
          <w:rFonts w:ascii="Times New Roman" w:hAnsi="Times New Roman" w:cs="Times New Roman"/>
          <w:b/>
          <w:szCs w:val="24"/>
        </w:rPr>
        <w:t>Záväzky Slovenskej republiky vo vzťahu k Európskym spoločenstvám a Európskej únii:</w:t>
      </w:r>
    </w:p>
    <w:p w:rsidR="00EB0DEE">
      <w:pPr>
        <w:spacing w:before="120"/>
        <w:ind w:firstLine="708"/>
        <w:jc w:val="both"/>
        <w:rPr>
          <w:rFonts w:ascii="Times New Roman" w:hAnsi="Times New Roman" w:cs="Times New Roman"/>
          <w:szCs w:val="24"/>
        </w:rPr>
      </w:pPr>
      <w:r>
        <w:rPr>
          <w:rFonts w:ascii="Times New Roman" w:hAnsi="Times New Roman" w:cs="Times New Roman"/>
          <w:szCs w:val="24"/>
        </w:rPr>
        <w:t>Návrh zákona svojou problematikou nepatrí medzi prioritné oblasti aproximácie práva uvedené v Európskej dohode o pridružení. Problematika návrhu zákona nie je prioritou podľa Partnerstva pre vstup. Návrh zákona nepatrí medzi prioritné úlohy vlády Slovenskej republiky podľa Plánu legislatívnych úloh vlády Slovenskej republiky na rok 2004. Slovenská republika nemá v danej oblasti žiadne negociačné požiadavky.</w:t>
      </w:r>
    </w:p>
    <w:p w:rsidR="00EB0DEE">
      <w:pPr>
        <w:jc w:val="both"/>
        <w:rPr>
          <w:rFonts w:ascii="Times New Roman" w:hAnsi="Times New Roman" w:cs="Times New Roman"/>
          <w:szCs w:val="24"/>
        </w:rPr>
      </w:pPr>
    </w:p>
    <w:p w:rsidR="00EB0DEE">
      <w:pPr>
        <w:jc w:val="both"/>
        <w:rPr>
          <w:rFonts w:ascii="Times New Roman" w:hAnsi="Times New Roman" w:cs="Times New Roman"/>
          <w:b/>
          <w:szCs w:val="24"/>
        </w:rPr>
      </w:pPr>
      <w:r>
        <w:rPr>
          <w:rFonts w:ascii="Times New Roman" w:hAnsi="Times New Roman" w:cs="Times New Roman"/>
          <w:b/>
          <w:szCs w:val="24"/>
        </w:rPr>
        <w:t xml:space="preserve">4.   Problematika návrhu právneho predpisu: </w:t>
      </w:r>
    </w:p>
    <w:p w:rsidR="00EB0DEE">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je upravená v práve Európskych spoločenstiev: bezpredmetné</w:t>
      </w:r>
    </w:p>
    <w:p w:rsidR="00EB0DEE">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nie je upravená v práve Európskych spoločenstiev: bezpredmetné</w:t>
      </w:r>
    </w:p>
    <w:p w:rsidR="00EB0DEE">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je upravená v práve Európskej únie: bezpredmetné</w:t>
      </w:r>
    </w:p>
    <w:p w:rsidR="00EB0DEE">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nie je upravená v práve Európskej únie: bezpredmetné</w:t>
      </w:r>
    </w:p>
    <w:p w:rsidR="00EB0DEE">
      <w:pPr>
        <w:jc w:val="both"/>
        <w:rPr>
          <w:rFonts w:ascii="Times New Roman" w:hAnsi="Times New Roman" w:cs="Times New Roman"/>
          <w:szCs w:val="24"/>
        </w:rPr>
      </w:pPr>
    </w:p>
    <w:p w:rsidR="00EB0DEE">
      <w:pPr>
        <w:jc w:val="both"/>
        <w:outlineLvl w:val="0"/>
        <w:rPr>
          <w:rFonts w:ascii="Times New Roman" w:hAnsi="Times New Roman" w:cs="Times New Roman"/>
          <w:b/>
          <w:szCs w:val="24"/>
        </w:rPr>
      </w:pPr>
      <w:r>
        <w:rPr>
          <w:rFonts w:ascii="Times New Roman" w:hAnsi="Times New Roman" w:cs="Times New Roman"/>
          <w:b/>
          <w:szCs w:val="24"/>
        </w:rPr>
        <w:t xml:space="preserve">5.   Stupeň zlučiteľnosti návrhu právneho predpisu s právom Európskych spoločenstiev a </w:t>
      </w:r>
    </w:p>
    <w:p w:rsidR="00EB0DEE">
      <w:pPr>
        <w:jc w:val="both"/>
        <w:outlineLvl w:val="0"/>
        <w:rPr>
          <w:rFonts w:ascii="Times New Roman" w:hAnsi="Times New Roman" w:cs="Times New Roman"/>
          <w:b/>
          <w:szCs w:val="24"/>
        </w:rPr>
      </w:pPr>
      <w:r>
        <w:rPr>
          <w:rFonts w:ascii="Times New Roman" w:hAnsi="Times New Roman" w:cs="Times New Roman"/>
          <w:b/>
          <w:szCs w:val="24"/>
        </w:rPr>
        <w:t xml:space="preserve">      právom Európskej únie: </w:t>
      </w:r>
    </w:p>
    <w:p w:rsidR="00EB0DEE">
      <w:pPr>
        <w:jc w:val="both"/>
        <w:outlineLvl w:val="0"/>
        <w:rPr>
          <w:rFonts w:ascii="Times New Roman" w:hAnsi="Times New Roman" w:cs="Times New Roman"/>
          <w:szCs w:val="24"/>
        </w:rPr>
      </w:pPr>
      <w:r>
        <w:rPr>
          <w:rFonts w:ascii="Times New Roman" w:hAnsi="Times New Roman" w:cs="Times New Roman"/>
          <w:szCs w:val="24"/>
        </w:rPr>
        <w:t xml:space="preserve">      Vzhľadom na vnútroštátny charakter upravovanej problematiky je bezpredmetné vyjadrovanie stupňa zlučiteľnosti návrhu právneho predpisu s právom ES/EÚ.</w:t>
      </w:r>
    </w:p>
    <w:p w:rsidR="00EB0DEE">
      <w:pPr>
        <w:jc w:val="both"/>
        <w:rPr>
          <w:rFonts w:ascii="Times New Roman" w:hAnsi="Times New Roman" w:cs="Times New Roman"/>
          <w:szCs w:val="24"/>
        </w:rPr>
      </w:pPr>
    </w:p>
    <w:p w:rsidR="00EB0DEE">
      <w:pPr>
        <w:jc w:val="both"/>
        <w:rPr>
          <w:rFonts w:ascii="Times New Roman" w:hAnsi="Times New Roman" w:cs="Times New Roman"/>
          <w:b/>
          <w:szCs w:val="24"/>
        </w:rPr>
      </w:pPr>
      <w:r>
        <w:rPr>
          <w:rFonts w:ascii="Times New Roman" w:hAnsi="Times New Roman" w:cs="Times New Roman"/>
          <w:b/>
          <w:szCs w:val="24"/>
        </w:rPr>
        <w:t>6.   Gestor:</w:t>
      </w:r>
    </w:p>
    <w:p w:rsidR="00EB0DEE">
      <w:pPr>
        <w:ind w:firstLine="426"/>
        <w:jc w:val="both"/>
        <w:outlineLvl w:val="0"/>
        <w:rPr>
          <w:rFonts w:ascii="Times New Roman" w:hAnsi="Times New Roman" w:cs="Times New Roman"/>
          <w:szCs w:val="24"/>
        </w:rPr>
      </w:pPr>
      <w:r>
        <w:rPr>
          <w:rFonts w:ascii="Times New Roman" w:hAnsi="Times New Roman" w:cs="Times New Roman"/>
          <w:szCs w:val="24"/>
        </w:rPr>
        <w:t>Bezpredmetné</w:t>
      </w:r>
    </w:p>
    <w:p w:rsidR="00EB0DEE">
      <w:pPr>
        <w:jc w:val="both"/>
        <w:rPr>
          <w:rFonts w:ascii="Times New Roman" w:hAnsi="Times New Roman" w:cs="Times New Roman"/>
          <w:szCs w:val="24"/>
        </w:rPr>
      </w:pPr>
    </w:p>
    <w:p w:rsidR="00EB0DEE">
      <w:pPr>
        <w:pStyle w:val="BodyText"/>
        <w:autoSpaceDE w:val="0"/>
        <w:autoSpaceDN w:val="0"/>
        <w:ind w:left="426" w:hanging="426"/>
        <w:jc w:val="both"/>
        <w:rPr>
          <w:rFonts w:ascii="Times New Roman" w:hAnsi="Times New Roman" w:cs="Times New Roman"/>
          <w:b/>
          <w:color w:val="auto"/>
          <w:sz w:val="20"/>
          <w:szCs w:val="24"/>
        </w:rPr>
      </w:pPr>
      <w:r>
        <w:rPr>
          <w:rFonts w:ascii="Times New Roman" w:hAnsi="Times New Roman" w:cs="Times New Roman"/>
          <w:b/>
          <w:color w:val="auto"/>
          <w:sz w:val="20"/>
          <w:szCs w:val="24"/>
        </w:rPr>
        <w:t>7.   Účasť expertov pri príprave návrhu právneho predpisu a ich stanovisko k zlučiteľnosti návrhu právneho predpisu s právom Európskych spoločenstiev a právom Európskej únie:</w:t>
      </w:r>
    </w:p>
    <w:p w:rsidR="00EB0DEE">
      <w:pPr>
        <w:ind w:left="360" w:firstLine="66"/>
        <w:jc w:val="both"/>
        <w:rPr>
          <w:rFonts w:ascii="Times New Roman" w:hAnsi="Times New Roman" w:cs="Times New Roman"/>
          <w:szCs w:val="24"/>
        </w:rPr>
      </w:pPr>
      <w:r>
        <w:rPr>
          <w:rFonts w:ascii="Times New Roman" w:hAnsi="Times New Roman" w:cs="Times New Roman"/>
          <w:szCs w:val="24"/>
        </w:rPr>
        <w:t>Bez účasti expertov.</w:t>
      </w:r>
    </w:p>
    <w:p w:rsidR="00EB0DEE">
      <w:pPr>
        <w:jc w:val="both"/>
        <w:rPr>
          <w:rFonts w:ascii="Times New Roman" w:hAnsi="Times New Roman" w:cs="Times New Roman"/>
          <w:b/>
          <w:szCs w:val="24"/>
        </w:rPr>
      </w:pPr>
      <w:r>
        <w:rPr>
          <w:rFonts w:ascii="Times New Roman" w:hAnsi="Times New Roman" w:cs="Times New Roman"/>
          <w:b/>
          <w:szCs w:val="24"/>
        </w:rPr>
        <w:br w:type="page"/>
      </w:r>
    </w:p>
    <w:p w:rsidR="00EB0DEE">
      <w:pPr>
        <w:pStyle w:val="BodyText"/>
        <w:autoSpaceDE w:val="0"/>
        <w:autoSpaceDN w:val="0"/>
        <w:jc w:val="both"/>
        <w:rPr>
          <w:rFonts w:ascii="Arial" w:hAnsi="Arial" w:cs="Arial"/>
          <w:b/>
          <w:i/>
          <w:color w:val="auto"/>
          <w:szCs w:val="24"/>
        </w:rPr>
      </w:pPr>
      <w:r>
        <w:rPr>
          <w:rFonts w:ascii="Arial" w:hAnsi="Arial" w:cs="Arial"/>
          <w:b/>
          <w:i/>
          <w:color w:val="auto"/>
          <w:szCs w:val="24"/>
        </w:rPr>
        <w:t>Osobitná časť</w:t>
      </w:r>
    </w:p>
    <w:p w:rsidR="00EB0DEE">
      <w:pPr>
        <w:pStyle w:val="BodyText"/>
        <w:autoSpaceDE w:val="0"/>
        <w:autoSpaceDN w:val="0"/>
        <w:jc w:val="both"/>
        <w:rPr>
          <w:rFonts w:ascii="Arial" w:hAnsi="Arial" w:cs="Arial"/>
          <w:color w:val="auto"/>
          <w:szCs w:val="24"/>
        </w:rPr>
      </w:pPr>
    </w:p>
    <w:p w:rsidR="00EB0DEE">
      <w:pPr>
        <w:pStyle w:val="BodyText"/>
        <w:autoSpaceDE w:val="0"/>
        <w:autoSpaceDN w:val="0"/>
        <w:jc w:val="both"/>
        <w:rPr>
          <w:rFonts w:ascii="Arial" w:hAnsi="Arial" w:cs="Arial"/>
          <w:b/>
          <w:color w:val="auto"/>
          <w:szCs w:val="24"/>
        </w:rPr>
      </w:pPr>
      <w:r>
        <w:rPr>
          <w:rFonts w:ascii="Arial" w:hAnsi="Arial" w:cs="Arial"/>
          <w:b/>
          <w:color w:val="auto"/>
          <w:szCs w:val="24"/>
        </w:rPr>
        <w:t>K čl. I</w:t>
      </w:r>
    </w:p>
    <w:p w:rsidR="00EB0DEE">
      <w:pPr>
        <w:pStyle w:val="BodyText"/>
        <w:autoSpaceDE w:val="0"/>
        <w:autoSpaceDN w:val="0"/>
        <w:jc w:val="both"/>
        <w:rPr>
          <w:rFonts w:ascii="Arial" w:hAnsi="Arial" w:cs="Arial"/>
          <w:b/>
          <w:color w:val="auto"/>
          <w:szCs w:val="24"/>
        </w:rPr>
      </w:pPr>
    </w:p>
    <w:p w:rsidR="00EB0DEE">
      <w:pPr>
        <w:pStyle w:val="BodyText"/>
        <w:autoSpaceDE w:val="0"/>
        <w:autoSpaceDN w:val="0"/>
        <w:ind w:left="426" w:hanging="426"/>
        <w:jc w:val="both"/>
        <w:rPr>
          <w:rFonts w:ascii="Times New Roman" w:hAnsi="Times New Roman" w:cs="Times New Roman"/>
          <w:color w:val="auto"/>
          <w:sz w:val="20"/>
          <w:szCs w:val="24"/>
        </w:rPr>
      </w:pPr>
      <w:r>
        <w:rPr>
          <w:rFonts w:ascii="Times New Roman" w:hAnsi="Times New Roman" w:cs="Times New Roman"/>
          <w:color w:val="auto"/>
          <w:sz w:val="20"/>
          <w:szCs w:val="24"/>
        </w:rPr>
        <w:tab/>
        <w:t xml:space="preserve">Ruší sa možnosť vyvlastňovania nehnuteľností kvôli investícii vo verejnom záujme. </w:t>
      </w:r>
    </w:p>
    <w:p w:rsidR="00EB0DEE">
      <w:pPr>
        <w:pStyle w:val="BodyText"/>
        <w:autoSpaceDE w:val="0"/>
        <w:autoSpaceDN w:val="0"/>
        <w:jc w:val="both"/>
        <w:rPr>
          <w:rFonts w:ascii="Arial" w:hAnsi="Arial" w:cs="Arial"/>
          <w:color w:val="auto"/>
          <w:szCs w:val="24"/>
        </w:rPr>
      </w:pPr>
    </w:p>
    <w:p w:rsidR="00EB0DEE">
      <w:pPr>
        <w:pStyle w:val="BodyText"/>
        <w:autoSpaceDE w:val="0"/>
        <w:autoSpaceDN w:val="0"/>
        <w:jc w:val="both"/>
        <w:rPr>
          <w:rFonts w:ascii="Arial" w:hAnsi="Arial" w:cs="Arial"/>
          <w:b/>
          <w:color w:val="auto"/>
          <w:szCs w:val="24"/>
        </w:rPr>
      </w:pPr>
    </w:p>
    <w:p w:rsidR="00EB0DEE">
      <w:pPr>
        <w:pStyle w:val="BodyText"/>
        <w:autoSpaceDE w:val="0"/>
        <w:autoSpaceDN w:val="0"/>
        <w:jc w:val="both"/>
        <w:rPr>
          <w:rFonts w:ascii="Arial" w:hAnsi="Arial" w:cs="Arial"/>
          <w:b/>
          <w:color w:val="auto"/>
          <w:szCs w:val="24"/>
        </w:rPr>
      </w:pPr>
      <w:r>
        <w:rPr>
          <w:rFonts w:ascii="Arial" w:hAnsi="Arial" w:cs="Arial"/>
          <w:b/>
          <w:color w:val="auto"/>
          <w:szCs w:val="24"/>
        </w:rPr>
        <w:t>K čl. II</w:t>
      </w:r>
    </w:p>
    <w:p w:rsidR="00EB0DEE">
      <w:pPr>
        <w:pStyle w:val="BodyText"/>
        <w:autoSpaceDE w:val="0"/>
        <w:autoSpaceDN w:val="0"/>
        <w:jc w:val="both"/>
        <w:rPr>
          <w:rFonts w:ascii="Arial" w:hAnsi="Arial" w:cs="Arial"/>
          <w:b/>
          <w:color w:val="auto"/>
          <w:szCs w:val="24"/>
        </w:rPr>
      </w:pPr>
    </w:p>
    <w:p w:rsidR="00EB0DEE">
      <w:pPr>
        <w:pStyle w:val="BodyText"/>
        <w:autoSpaceDE w:val="0"/>
        <w:autoSpaceDN w:val="0"/>
        <w:ind w:left="426"/>
        <w:jc w:val="both"/>
        <w:rPr>
          <w:rFonts w:ascii="Times New Roman" w:hAnsi="Times New Roman" w:cs="Times New Roman"/>
          <w:color w:val="auto"/>
          <w:sz w:val="20"/>
          <w:szCs w:val="24"/>
        </w:rPr>
      </w:pPr>
      <w:r>
        <w:rPr>
          <w:rFonts w:ascii="Times New Roman" w:hAnsi="Times New Roman" w:cs="Times New Roman"/>
          <w:color w:val="auto"/>
          <w:sz w:val="20"/>
          <w:szCs w:val="24"/>
        </w:rPr>
        <w:t>Účinnosť zákona sa navrhuje od 1. júla 2005.</w:t>
      </w:r>
    </w:p>
    <w:p w:rsidR="00EB0DEE">
      <w:pPr>
        <w:pStyle w:val="BodyText"/>
        <w:autoSpaceDE w:val="0"/>
        <w:autoSpaceDN w:val="0"/>
        <w:jc w:val="both"/>
        <w:rPr>
          <w:rFonts w:ascii="Arial" w:hAnsi="Arial" w:cs="Arial"/>
          <w:color w:val="auto"/>
          <w:szCs w:val="24"/>
        </w:rPr>
      </w:pPr>
    </w:p>
    <w:p w:rsidR="00EB0DEE">
      <w:pPr>
        <w:rPr>
          <w:rFonts w:ascii="Times New Roman" w:hAnsi="Times New Roman" w:cs="Times New Roman"/>
          <w:szCs w:val="24"/>
        </w:rPr>
      </w:pPr>
    </w:p>
    <w:p w:rsidR="00EB0DEE">
      <w:pPr>
        <w:rPr>
          <w:rFonts w:ascii="Times New Roman" w:hAnsi="Times New Roman" w:cs="Times New Roman"/>
          <w:szCs w:val="24"/>
        </w:rPr>
      </w:pPr>
    </w:p>
    <w:p w:rsidR="00EB0DEE">
      <w:pPr>
        <w:rPr>
          <w:rFonts w:ascii="Times New Roman" w:hAnsi="Times New Roman" w:cs="Times New Roman"/>
          <w:szCs w:val="24"/>
        </w:rPr>
      </w:pPr>
    </w:p>
    <w:p w:rsidR="00EB0DEE">
      <w:pPr>
        <w:rPr>
          <w:rFonts w:ascii="Times New Roman" w:hAnsi="Times New Roman" w:cs="Times New Roman"/>
          <w:szCs w:val="24"/>
        </w:rPr>
      </w:pPr>
      <w:r>
        <w:rPr>
          <w:rFonts w:ascii="Times New Roman" w:hAnsi="Times New Roman" w:cs="Times New Roman"/>
          <w:szCs w:val="24"/>
        </w:rPr>
        <w:t>Bratislava, 15. apríla 2005.</w:t>
      </w:r>
    </w:p>
    <w:p w:rsidR="00EB0DEE">
      <w:pPr>
        <w:rPr>
          <w:rFonts w:ascii="Times New Roman" w:hAnsi="Times New Roman" w:cs="Times New Roman"/>
          <w:szCs w:val="24"/>
        </w:rPr>
      </w:pPr>
    </w:p>
    <w:p w:rsidR="00EB0DEE">
      <w:pPr>
        <w:rPr>
          <w:rFonts w:ascii="Times New Roman" w:hAnsi="Times New Roman" w:cs="Times New Roman"/>
          <w:szCs w:val="24"/>
        </w:rPr>
      </w:pPr>
    </w:p>
    <w:p w:rsidR="00EB0DEE">
      <w:pPr>
        <w:rPr>
          <w:rFonts w:ascii="Times New Roman" w:hAnsi="Times New Roman" w:cs="Times New Roman"/>
          <w:szCs w:val="24"/>
        </w:rPr>
      </w:pPr>
    </w:p>
    <w:p w:rsidR="00EB0DEE">
      <w:pPr>
        <w:rPr>
          <w:rFonts w:ascii="Times New Roman" w:hAnsi="Times New Roman" w:cs="Times New Roman"/>
          <w:szCs w:val="24"/>
        </w:rPr>
      </w:pPr>
    </w:p>
    <w:p w:rsidR="00EB0DEE">
      <w:pPr>
        <w:jc w:val="center"/>
        <w:rPr>
          <w:rFonts w:ascii="Times New Roman" w:hAnsi="Times New Roman" w:cs="Times New Roman"/>
          <w:szCs w:val="24"/>
        </w:rPr>
      </w:pPr>
      <w:r>
        <w:rPr>
          <w:rFonts w:ascii="Times New Roman" w:hAnsi="Times New Roman" w:cs="Times New Roman"/>
          <w:szCs w:val="24"/>
        </w:rPr>
        <w:t xml:space="preserve">Branislav Opaterný </w:t>
      </w:r>
    </w:p>
    <w:p w:rsidR="00EB0DEE">
      <w:pPr>
        <w:jc w:val="center"/>
        <w:rPr>
          <w:rFonts w:ascii="Times New Roman" w:hAnsi="Times New Roman" w:cs="Times New Roman"/>
          <w:szCs w:val="24"/>
        </w:rPr>
      </w:pPr>
      <w:r>
        <w:rPr>
          <w:rFonts w:ascii="Times New Roman" w:hAnsi="Times New Roman" w:cs="Times New Roman"/>
          <w:szCs w:val="24"/>
        </w:rPr>
        <w:t>poslanec Národnej rady Slovenskej republiky</w:t>
      </w:r>
    </w:p>
    <w:p w:rsidR="00EB0DEE">
      <w:pPr>
        <w:jc w:val="center"/>
        <w:rPr>
          <w:rFonts w:ascii="Times New Roman" w:hAnsi="Times New Roman" w:cs="Times New Roman"/>
          <w:szCs w:val="24"/>
        </w:rPr>
      </w:pPr>
    </w:p>
    <w:p w:rsidR="00EB0DEE">
      <w:pPr>
        <w:jc w:val="center"/>
        <w:rPr>
          <w:rFonts w:ascii="Times New Roman" w:hAnsi="Times New Roman" w:cs="Times New Roman"/>
          <w:szCs w:val="24"/>
        </w:rPr>
      </w:pPr>
    </w:p>
    <w:p w:rsidR="00EB0DEE">
      <w:pPr>
        <w:jc w:val="center"/>
        <w:rPr>
          <w:rFonts w:ascii="Times New Roman" w:hAnsi="Times New Roman" w:cs="Times New Roman"/>
          <w:szCs w:val="24"/>
        </w:rPr>
      </w:pPr>
    </w:p>
    <w:p w:rsidR="00EB0DEE">
      <w:pPr>
        <w:jc w:val="center"/>
        <w:rPr>
          <w:rFonts w:ascii="Times New Roman" w:hAnsi="Times New Roman" w:cs="Times New Roman"/>
          <w:szCs w:val="24"/>
        </w:rPr>
      </w:pPr>
    </w:p>
    <w:p w:rsidR="00EB0DEE">
      <w:pPr>
        <w:jc w:val="center"/>
        <w:rPr>
          <w:rFonts w:ascii="Times New Roman" w:hAnsi="Times New Roman" w:cs="Times New Roman"/>
          <w:szCs w:val="24"/>
        </w:rPr>
      </w:pPr>
      <w:r>
        <w:rPr>
          <w:rFonts w:ascii="Times New Roman" w:hAnsi="Times New Roman" w:cs="Times New Roman"/>
          <w:szCs w:val="24"/>
        </w:rPr>
        <w:t>Ľubica Navrátilová</w:t>
      </w:r>
    </w:p>
    <w:p w:rsidR="00EB0DEE">
      <w:pPr>
        <w:jc w:val="center"/>
        <w:rPr>
          <w:rFonts w:ascii="Times New Roman" w:hAnsi="Times New Roman" w:cs="Times New Roman"/>
          <w:szCs w:val="24"/>
        </w:rPr>
      </w:pPr>
      <w:r>
        <w:rPr>
          <w:rFonts w:ascii="Times New Roman" w:hAnsi="Times New Roman" w:cs="Times New Roman"/>
          <w:szCs w:val="24"/>
        </w:rPr>
        <w:t>poslankyňa Národnej rady Slovenskej republiky</w:t>
      </w:r>
    </w:p>
    <w:p w:rsidR="00EB0DEE">
      <w:pPr>
        <w:jc w:val="center"/>
        <w:rPr>
          <w:rFonts w:ascii="Times New Roman" w:hAnsi="Times New Roman" w:cs="Times New Roman"/>
          <w:szCs w:val="24"/>
        </w:rPr>
      </w:pPr>
    </w:p>
    <w:p w:rsidR="00EB0DEE">
      <w:pPr>
        <w:jc w:val="center"/>
        <w:rPr>
          <w:rFonts w:ascii="Times New Roman" w:hAnsi="Times New Roman" w:cs="Times New Roman"/>
          <w:szCs w:val="24"/>
        </w:rPr>
      </w:pPr>
    </w:p>
    <w:p w:rsidR="00EB0DEE">
      <w:pPr>
        <w:jc w:val="center"/>
        <w:rPr>
          <w:rFonts w:ascii="Times New Roman" w:hAnsi="Times New Roman" w:cs="Times New Roman"/>
          <w:szCs w:val="24"/>
        </w:rPr>
      </w:pPr>
    </w:p>
    <w:p w:rsidR="00EB0DEE">
      <w:pPr>
        <w:jc w:val="center"/>
        <w:rPr>
          <w:rFonts w:ascii="Times New Roman" w:hAnsi="Times New Roman" w:cs="Times New Roman"/>
          <w:szCs w:val="24"/>
        </w:rPr>
      </w:pPr>
    </w:p>
    <w:p w:rsidR="00EB0DEE">
      <w:pPr>
        <w:jc w:val="center"/>
        <w:rPr>
          <w:rFonts w:ascii="Times New Roman" w:hAnsi="Times New Roman" w:cs="Times New Roman"/>
          <w:szCs w:val="24"/>
        </w:rPr>
      </w:pPr>
      <w:r>
        <w:rPr>
          <w:rFonts w:ascii="Times New Roman" w:hAnsi="Times New Roman" w:cs="Times New Roman"/>
          <w:szCs w:val="24"/>
        </w:rPr>
        <w:t>Jozef Hurban</w:t>
      </w:r>
    </w:p>
    <w:p w:rsidR="00EB0DEE">
      <w:pPr>
        <w:jc w:val="center"/>
        <w:rPr>
          <w:rFonts w:ascii="Times New Roman" w:hAnsi="Times New Roman" w:cs="Times New Roman"/>
          <w:szCs w:val="24"/>
        </w:rPr>
      </w:pPr>
      <w:r>
        <w:rPr>
          <w:rFonts w:ascii="Times New Roman" w:hAnsi="Times New Roman" w:cs="Times New Roman"/>
          <w:szCs w:val="24"/>
        </w:rPr>
        <w:t>poslanec Národnej rady Slovenskej republiky</w:t>
      </w:r>
    </w:p>
    <w:p w:rsidR="00EB0DEE">
      <w:pPr>
        <w:rPr>
          <w:rFonts w:ascii="Times New Roman" w:hAnsi="Times New Roman" w:cs="Times New Roman"/>
          <w:szCs w:val="24"/>
        </w:rPr>
      </w:pPr>
      <w:r>
        <w:rPr>
          <w:rFonts w:ascii="Times New Roman" w:hAnsi="Times New Roman" w:cs="Times New Roman"/>
          <w:szCs w:val="24"/>
        </w:rPr>
        <w:t xml:space="preserve"> </w:t>
      </w:r>
    </w:p>
    <w:sectPr>
      <w:footerReference w:type="default" r:id="rId4"/>
      <w:pgSz w:w="11906" w:h="16838"/>
      <w:pgMar w:top="1134" w:right="1304" w:bottom="964" w:left="1531" w:header="709" w:footer="709"/>
      <w:lnNumType w:distance="0"/>
      <w:cols w:space="709"/>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Book Antiqua">
    <w:altName w:val="Times New Roman"/>
    <w:panose1 w:val="00000000000000000000"/>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EE">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9DF"/>
    <w:multiLevelType w:val="multilevel"/>
    <w:tmpl w:val="85048184"/>
    <w:lvl w:ilvl="0">
      <w:start w:val="16"/>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AC4364"/>
    <w:multiLevelType w:val="hybridMultilevel"/>
    <w:tmpl w:val="1A966CE2"/>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62114C"/>
    <w:multiLevelType w:val="singleLevel"/>
    <w:tmpl w:val="6E9A9D6A"/>
    <w:lvl w:ilvl="0">
      <w:start w:val="1"/>
      <w:numFmt w:val="lowerLetter"/>
      <w:lvlText w:val="%1)"/>
      <w:lvlJc w:val="left"/>
      <w:pPr>
        <w:tabs>
          <w:tab w:val="num" w:pos="720"/>
        </w:tabs>
        <w:ind w:left="720" w:hanging="360"/>
      </w:pPr>
      <w:rPr>
        <w:rFonts w:hint="default"/>
      </w:rPr>
    </w:lvl>
  </w:abstractNum>
  <w:abstractNum w:abstractNumId="3">
    <w:nsid w:val="19AE6672"/>
    <w:multiLevelType w:val="multilevel"/>
    <w:tmpl w:val="062625F2"/>
    <w:lvl w:ilvl="0">
      <w:start w:val="8"/>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FF22A0"/>
    <w:multiLevelType w:val="multilevel"/>
    <w:tmpl w:val="1180B428"/>
    <w:lvl w:ilvl="0">
      <w:start w:val="1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04648E"/>
    <w:multiLevelType w:val="hybridMultilevel"/>
    <w:tmpl w:val="5CD49AA8"/>
    <w:lvl w:ilvl="0">
      <w:start w:val="1"/>
      <w:numFmt w:val="decimal"/>
      <w:lvlText w:val="%1."/>
      <w:lvlJc w:val="left"/>
      <w:pPr>
        <w:tabs>
          <w:tab w:val="num" w:pos="1215"/>
        </w:tabs>
        <w:ind w:left="121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E563F8"/>
    <w:multiLevelType w:val="multilevel"/>
    <w:tmpl w:val="DA82361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4B56845"/>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9A45DD"/>
    <w:multiLevelType w:val="singleLevel"/>
    <w:tmpl w:val="F396745A"/>
    <w:lvl w:ilvl="0">
      <w:start w:val="3"/>
      <w:numFmt w:val="decimal"/>
      <w:lvlText w:val="%1."/>
      <w:lvlJc w:val="left"/>
      <w:pPr>
        <w:tabs>
          <w:tab w:val="num" w:pos="360"/>
        </w:tabs>
        <w:ind w:left="360" w:hanging="360"/>
      </w:pPr>
      <w:rPr>
        <w:rFonts w:hint="default"/>
      </w:rPr>
    </w:lvl>
  </w:abstractNum>
  <w:abstractNum w:abstractNumId="9">
    <w:nsid w:val="28D10AEB"/>
    <w:multiLevelType w:val="multilevel"/>
    <w:tmpl w:val="339AEAD0"/>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5F4216"/>
    <w:multiLevelType w:val="multilevel"/>
    <w:tmpl w:val="4C305660"/>
    <w:lvl w:ilvl="0">
      <w:start w:val="6"/>
      <w:numFmt w:val="decimal"/>
      <w:lvlText w:val="%1. "/>
      <w:lvlJc w:val="left"/>
      <w:pPr>
        <w:tabs>
          <w:tab w:val="num" w:pos="340"/>
        </w:tabs>
        <w:ind w:left="340" w:hanging="340"/>
      </w:pPr>
      <w:rPr>
        <w:rFonts w:ascii="Arial" w:hAnsi="Arial"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BF2904"/>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308B6ED9"/>
    <w:multiLevelType w:val="multilevel"/>
    <w:tmpl w:val="07523042"/>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C82B0F"/>
    <w:multiLevelType w:val="multilevel"/>
    <w:tmpl w:val="7122BA4A"/>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BE12AF"/>
    <w:multiLevelType w:val="multilevel"/>
    <w:tmpl w:val="133C507A"/>
    <w:lvl w:ilvl="0">
      <w:start w:val="1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8743A8"/>
    <w:multiLevelType w:val="multilevel"/>
    <w:tmpl w:val="C5D628B4"/>
    <w:lvl w:ilvl="0">
      <w:start w:val="16"/>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D5778A"/>
    <w:multiLevelType w:val="hybridMultilevel"/>
    <w:tmpl w:val="676CF474"/>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9245CC1"/>
    <w:multiLevelType w:val="hybridMultilevel"/>
    <w:tmpl w:val="FE022522"/>
    <w:lvl w:ilvl="0">
      <w:start w:val="1"/>
      <w:numFmt w:val="decimal"/>
      <w:lvlText w:val="(%1)"/>
      <w:lvlJc w:val="left"/>
      <w:pPr>
        <w:tabs>
          <w:tab w:val="num" w:pos="1818"/>
        </w:tabs>
        <w:ind w:left="1818" w:hanging="111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39972571"/>
    <w:multiLevelType w:val="multilevel"/>
    <w:tmpl w:val="50041D6C"/>
    <w:lvl w:ilvl="0">
      <w:start w:val="10"/>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3558A0"/>
    <w:multiLevelType w:val="multilevel"/>
    <w:tmpl w:val="133C507A"/>
    <w:lvl w:ilvl="0">
      <w:start w:val="1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86085A"/>
    <w:multiLevelType w:val="multilevel"/>
    <w:tmpl w:val="E2404D1A"/>
    <w:lvl w:ilvl="0">
      <w:start w:val="22"/>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B656E4"/>
    <w:multiLevelType w:val="multilevel"/>
    <w:tmpl w:val="1486C3C2"/>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A83B7C"/>
    <w:multiLevelType w:val="multilevel"/>
    <w:tmpl w:val="80F6C4AA"/>
    <w:lvl w:ilvl="0">
      <w:start w:val="10"/>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D02CA0"/>
    <w:multiLevelType w:val="singleLevel"/>
    <w:tmpl w:val="0405000F"/>
    <w:lvl w:ilvl="0">
      <w:start w:val="1"/>
      <w:numFmt w:val="decimal"/>
      <w:lvlText w:val="%1."/>
      <w:lvlJc w:val="left"/>
      <w:pPr>
        <w:tabs>
          <w:tab w:val="num" w:pos="360"/>
        </w:tabs>
        <w:ind w:left="360" w:hanging="360"/>
      </w:pPr>
    </w:lvl>
  </w:abstractNum>
  <w:abstractNum w:abstractNumId="24">
    <w:nsid w:val="49534702"/>
    <w:multiLevelType w:val="singleLevel"/>
    <w:tmpl w:val="E2FA28D6"/>
    <w:lvl w:ilvl="0">
      <w:start w:val="1"/>
      <w:numFmt w:val="lowerLetter"/>
      <w:lvlText w:val="%1)"/>
      <w:lvlJc w:val="left"/>
      <w:pPr>
        <w:tabs>
          <w:tab w:val="num" w:pos="360"/>
        </w:tabs>
        <w:ind w:left="360" w:hanging="360"/>
      </w:pPr>
      <w:rPr>
        <w:rFonts w:hint="default"/>
      </w:rPr>
    </w:lvl>
  </w:abstractNum>
  <w:abstractNum w:abstractNumId="25">
    <w:nsid w:val="4B8D2171"/>
    <w:multiLevelType w:val="multilevel"/>
    <w:tmpl w:val="7122BA4A"/>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6A7AEF"/>
    <w:multiLevelType w:val="multilevel"/>
    <w:tmpl w:val="C6B25062"/>
    <w:lvl w:ilvl="0">
      <w:start w:val="8"/>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48F309E"/>
    <w:multiLevelType w:val="multilevel"/>
    <w:tmpl w:val="50041D6C"/>
    <w:lvl w:ilvl="0">
      <w:start w:val="10"/>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D1942A1"/>
    <w:multiLevelType w:val="singleLevel"/>
    <w:tmpl w:val="A4C46210"/>
    <w:lvl w:ilvl="0">
      <w:start w:val="3"/>
      <w:numFmt w:val="lowerLetter"/>
      <w:lvlText w:val="%1)"/>
      <w:lvlJc w:val="left"/>
      <w:pPr>
        <w:tabs>
          <w:tab w:val="num" w:pos="780"/>
        </w:tabs>
        <w:ind w:left="780" w:hanging="360"/>
      </w:pPr>
      <w:rPr>
        <w:rFonts w:hint="default"/>
      </w:rPr>
    </w:lvl>
  </w:abstractNum>
  <w:abstractNum w:abstractNumId="29">
    <w:nsid w:val="5D985307"/>
    <w:multiLevelType w:val="multilevel"/>
    <w:tmpl w:val="710A0660"/>
    <w:lvl w:ilvl="0">
      <w:start w:val="7"/>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E3B422B"/>
    <w:multiLevelType w:val="multilevel"/>
    <w:tmpl w:val="414444E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EA52B34"/>
    <w:multiLevelType w:val="hybridMultilevel"/>
    <w:tmpl w:val="E7DEDC6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2">
    <w:nsid w:val="5FF44CF5"/>
    <w:multiLevelType w:val="multilevel"/>
    <w:tmpl w:val="8DC44066"/>
    <w:lvl w:ilvl="0">
      <w:start w:val="6"/>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3D93B19"/>
    <w:multiLevelType w:val="multilevel"/>
    <w:tmpl w:val="D76CE5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6C6F33"/>
    <w:multiLevelType w:val="singleLevel"/>
    <w:tmpl w:val="D59099CC"/>
    <w:lvl w:ilvl="0">
      <w:start w:val="19"/>
      <w:numFmt w:val="decimal"/>
      <w:lvlText w:val="%1."/>
      <w:lvlJc w:val="left"/>
      <w:pPr>
        <w:tabs>
          <w:tab w:val="num" w:pos="360"/>
        </w:tabs>
        <w:ind w:left="360" w:hanging="360"/>
      </w:pPr>
      <w:rPr>
        <w:rFonts w:hint="default"/>
      </w:rPr>
    </w:lvl>
  </w:abstractNum>
  <w:abstractNum w:abstractNumId="35">
    <w:nsid w:val="6C1D5F65"/>
    <w:multiLevelType w:val="singleLevel"/>
    <w:tmpl w:val="041B000F"/>
    <w:lvl w:ilvl="0">
      <w:start w:val="8"/>
      <w:numFmt w:val="decimal"/>
      <w:lvlText w:val="%1."/>
      <w:lvlJc w:val="left"/>
      <w:pPr>
        <w:tabs>
          <w:tab w:val="num" w:pos="360"/>
        </w:tabs>
        <w:ind w:left="360" w:hanging="360"/>
      </w:pPr>
      <w:rPr>
        <w:rFonts w:hint="default"/>
      </w:rPr>
    </w:lvl>
  </w:abstractNum>
  <w:abstractNum w:abstractNumId="36">
    <w:nsid w:val="6D2455B2"/>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1121C43"/>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5D247E"/>
    <w:multiLevelType w:val="multilevel"/>
    <w:tmpl w:val="60FAF050"/>
    <w:lvl w:ilvl="0">
      <w:start w:val="6"/>
      <w:numFmt w:val="decimal"/>
      <w:lvlText w:val="%1. "/>
      <w:lvlJc w:val="left"/>
      <w:pPr>
        <w:tabs>
          <w:tab w:val="num" w:pos="340"/>
        </w:tabs>
        <w:ind w:left="340" w:hanging="340"/>
      </w:pPr>
      <w:rPr>
        <w:rFonts w:ascii="Arial" w:hAnsi="Arial"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4373324"/>
    <w:multiLevelType w:val="multilevel"/>
    <w:tmpl w:val="710A0660"/>
    <w:lvl w:ilvl="0">
      <w:start w:val="7"/>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B16A10"/>
    <w:multiLevelType w:val="multilevel"/>
    <w:tmpl w:val="3CE8D95C"/>
    <w:lvl w:ilvl="0">
      <w:start w:val="22"/>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6306F81"/>
    <w:multiLevelType w:val="multilevel"/>
    <w:tmpl w:val="CD560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78007126"/>
    <w:multiLevelType w:val="multilevel"/>
    <w:tmpl w:val="D76CE5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81C16C2"/>
    <w:multiLevelType w:val="multilevel"/>
    <w:tmpl w:val="754C4D10"/>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AD45911"/>
    <w:multiLevelType w:val="multilevel"/>
    <w:tmpl w:val="6778E206"/>
    <w:lvl w:ilvl="0">
      <w:start w:val="20"/>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F94252B"/>
    <w:multiLevelType w:val="multilevel"/>
    <w:tmpl w:val="8DC44066"/>
    <w:lvl w:ilvl="0">
      <w:start w:val="6"/>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35"/>
  </w:num>
  <w:num w:numId="3">
    <w:abstractNumId w:val="28"/>
  </w:num>
  <w:num w:numId="4">
    <w:abstractNumId w:val="36"/>
  </w:num>
  <w:num w:numId="5">
    <w:abstractNumId w:val="7"/>
  </w:num>
  <w:num w:numId="6">
    <w:abstractNumId w:val="37"/>
  </w:num>
  <w:num w:numId="7">
    <w:abstractNumId w:val="43"/>
  </w:num>
  <w:num w:numId="8">
    <w:abstractNumId w:val="38"/>
  </w:num>
  <w:num w:numId="9">
    <w:abstractNumId w:val="32"/>
  </w:num>
  <w:num w:numId="10">
    <w:abstractNumId w:val="10"/>
  </w:num>
  <w:num w:numId="11">
    <w:abstractNumId w:val="45"/>
  </w:num>
  <w:num w:numId="12">
    <w:abstractNumId w:val="29"/>
  </w:num>
  <w:num w:numId="13">
    <w:abstractNumId w:val="39"/>
  </w:num>
  <w:num w:numId="14">
    <w:abstractNumId w:val="3"/>
  </w:num>
  <w:num w:numId="15">
    <w:abstractNumId w:val="26"/>
  </w:num>
  <w:num w:numId="16">
    <w:abstractNumId w:val="18"/>
  </w:num>
  <w:num w:numId="17">
    <w:abstractNumId w:val="27"/>
  </w:num>
  <w:num w:numId="18">
    <w:abstractNumId w:val="22"/>
  </w:num>
  <w:num w:numId="19">
    <w:abstractNumId w:val="4"/>
  </w:num>
  <w:num w:numId="20">
    <w:abstractNumId w:val="14"/>
  </w:num>
  <w:num w:numId="21">
    <w:abstractNumId w:val="15"/>
  </w:num>
  <w:num w:numId="22">
    <w:abstractNumId w:val="0"/>
  </w:num>
  <w:num w:numId="23">
    <w:abstractNumId w:val="30"/>
  </w:num>
  <w:num w:numId="24">
    <w:abstractNumId w:val="42"/>
  </w:num>
  <w:num w:numId="25">
    <w:abstractNumId w:val="19"/>
  </w:num>
  <w:num w:numId="26">
    <w:abstractNumId w:val="13"/>
  </w:num>
  <w:num w:numId="27">
    <w:abstractNumId w:val="25"/>
  </w:num>
  <w:num w:numId="28">
    <w:abstractNumId w:val="6"/>
  </w:num>
  <w:num w:numId="29">
    <w:abstractNumId w:val="41"/>
  </w:num>
  <w:num w:numId="30">
    <w:abstractNumId w:val="12"/>
  </w:num>
  <w:num w:numId="31">
    <w:abstractNumId w:val="21"/>
  </w:num>
  <w:num w:numId="32">
    <w:abstractNumId w:val="9"/>
  </w:num>
  <w:num w:numId="33">
    <w:abstractNumId w:val="44"/>
  </w:num>
  <w:num w:numId="34">
    <w:abstractNumId w:val="40"/>
  </w:num>
  <w:num w:numId="35">
    <w:abstractNumId w:val="20"/>
  </w:num>
  <w:num w:numId="36">
    <w:abstractNumId w:val="23"/>
  </w:num>
  <w:num w:numId="37">
    <w:abstractNumId w:val="34"/>
  </w:num>
  <w:num w:numId="38">
    <w:abstractNumId w:val="33"/>
  </w:num>
  <w:num w:numId="39">
    <w:abstractNumId w:val="5"/>
  </w:num>
  <w:num w:numId="40">
    <w:abstractNumId w:val="1"/>
  </w:num>
  <w:num w:numId="41">
    <w:abstractNumId w:val="2"/>
  </w:num>
  <w:num w:numId="42">
    <w:abstractNumId w:val="24"/>
  </w:num>
  <w:num w:numId="43">
    <w:abstractNumId w:val="8"/>
  </w:num>
  <w:num w:numId="44">
    <w:abstractNumId w:val="16"/>
  </w:num>
  <w:num w:numId="45">
    <w:abstractNumId w:val="17"/>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B0DEE"/>
    <w:rsid w:val="00EB0DE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0"/>
      <w:lang w:val="sk-SK" w:eastAsia="sk-SK"/>
    </w:rPr>
  </w:style>
  <w:style w:type="paragraph" w:styleId="Heading1">
    <w:name w:val="heading 1"/>
    <w:basedOn w:val="Normal"/>
    <w:next w:val="Normal"/>
    <w:uiPriority w:val="99"/>
    <w:pPr>
      <w:keepNext/>
      <w:jc w:val="center"/>
      <w:outlineLvl w:val="0"/>
    </w:pPr>
    <w:rPr>
      <w:rFonts w:ascii="Arial" w:hAnsi="Arial" w:cs="Arial"/>
      <w:sz w:val="24"/>
    </w:rPr>
  </w:style>
  <w:style w:type="paragraph" w:styleId="Heading2">
    <w:name w:val="heading 2"/>
    <w:basedOn w:val="Normal"/>
    <w:next w:val="Normal"/>
    <w:uiPriority w:val="99"/>
    <w:pPr>
      <w:keepNext/>
      <w:jc w:val="both"/>
      <w:outlineLvl w:val="1"/>
    </w:pPr>
    <w:rPr>
      <w:sz w:val="24"/>
    </w:rPr>
  </w:style>
  <w:style w:type="paragraph" w:styleId="Heading3">
    <w:name w:val="heading 3"/>
    <w:basedOn w:val="Normal"/>
    <w:next w:val="Normal"/>
    <w:uiPriority w:val="99"/>
    <w:pPr>
      <w:keepNext/>
      <w:spacing w:before="240" w:after="60"/>
      <w:jc w:val="left"/>
      <w:outlineLvl w:val="2"/>
    </w:pPr>
    <w:rPr>
      <w:rFonts w:ascii="Arial" w:hAnsi="Arial" w:cs="Arial"/>
      <w:b/>
      <w:sz w:val="26"/>
    </w:rPr>
  </w:style>
  <w:style w:type="paragraph" w:styleId="Heading9">
    <w:name w:val="heading 9"/>
    <w:basedOn w:val="Normal"/>
    <w:next w:val="Normal"/>
    <w:uiPriority w:val="99"/>
    <w:pPr>
      <w:spacing w:before="240" w:after="60"/>
      <w:jc w:val="left"/>
      <w:outlineLvl w:val="8"/>
    </w:pPr>
    <w:rPr>
      <w:rFonts w:ascii="Arial" w:hAnsi="Arial" w:cs="Arial"/>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pPr>
      <w:autoSpaceDE/>
      <w:autoSpaceDN/>
      <w:jc w:val="left"/>
    </w:pPr>
    <w:rPr>
      <w:color w:val="000000"/>
      <w:sz w:val="24"/>
    </w:rPr>
  </w:style>
  <w:style w:type="paragraph" w:styleId="BodyText2">
    <w:name w:val="Body Text 2"/>
    <w:basedOn w:val="Normal"/>
    <w:uiPriority w:val="99"/>
    <w:pPr>
      <w:spacing w:line="240" w:lineRule="atLeast"/>
      <w:jc w:val="both"/>
    </w:pPr>
    <w:rPr>
      <w:sz w:val="23"/>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 w:type="paragraph" w:styleId="BodyTextIndent2">
    <w:name w:val="Body Text Indent 2"/>
    <w:basedOn w:val="Normal"/>
    <w:uiPriority w:val="99"/>
    <w:pPr>
      <w:ind w:left="360"/>
      <w:jc w:val="both"/>
    </w:pPr>
    <w:rPr>
      <w:rFonts w:ascii="Arial" w:hAnsi="Arial" w:cs="Arial"/>
      <w:sz w:val="24"/>
    </w:rPr>
  </w:style>
  <w:style w:type="paragraph" w:styleId="BalloonText">
    <w:name w:val="Balloon Text"/>
    <w:basedOn w:val="Normal"/>
    <w:uiPriority w:val="99"/>
    <w:semiHidden/>
    <w:pPr>
      <w:jc w:val="left"/>
    </w:pPr>
    <w:rPr>
      <w:rFonts w:ascii="Tahoma" w:hAnsi="Tahoma" w:cs="Tahoma"/>
      <w:sz w:val="16"/>
    </w:rPr>
  </w:style>
  <w:style w:type="paragraph" w:styleId="FootnoteText">
    <w:name w:val="footnote text"/>
    <w:basedOn w:val="Normal"/>
    <w:uiPriority w:val="99"/>
    <w:semiHidden/>
    <w:pPr>
      <w:autoSpaceDE/>
      <w:autoSpaceDN/>
      <w:jc w:val="left"/>
    </w:pPr>
    <w:rPr>
      <w:lang w:eastAsia="cs-CZ"/>
    </w:rPr>
  </w:style>
  <w:style w:type="character" w:styleId="FootnoteReference">
    <w:name w:val="footnote reference"/>
    <w:basedOn w:val="DefaultParagraphFont"/>
    <w:uiPriority w:val="99"/>
    <w:semiHidden/>
    <w:rPr>
      <w:vertAlign w:val="superscript"/>
    </w:rPr>
  </w:style>
  <w:style w:type="paragraph" w:styleId="Title">
    <w:name w:val="Title"/>
    <w:basedOn w:val="Normal"/>
    <w:uiPriority w:val="99"/>
    <w:pPr>
      <w:autoSpaceDE/>
      <w:autoSpaceDN/>
      <w:jc w:val="center"/>
    </w:pPr>
    <w:rPr>
      <w:rFonts w:ascii="Book Antiqua" w:hAnsi="Book Antiqua" w:cs="Book Antiqua"/>
      <w:b/>
      <w:sz w:val="24"/>
      <w:lang w:eastAsia="cs-CZ"/>
    </w:rPr>
  </w:style>
  <w:style w:type="paragraph" w:styleId="Subtitle">
    <w:name w:val="Subtitle"/>
    <w:basedOn w:val="Normal"/>
    <w:uiPriority w:val="99"/>
    <w:pPr>
      <w:autoSpaceDE/>
      <w:autoSpaceDN/>
      <w:ind w:firstLine="708"/>
      <w:jc w:val="both"/>
    </w:pPr>
    <w:rPr>
      <w:rFonts w:ascii="Book Antiqua" w:hAnsi="Book Antiqua" w:cs="Book Antiqua"/>
      <w:b/>
      <w:i/>
      <w:sz w:val="24"/>
      <w:lang w:eastAsia="cs-CZ"/>
    </w:rPr>
  </w:style>
  <w:style w:type="paragraph" w:styleId="Header">
    <w:name w:val="header"/>
    <w:basedOn w:val="Normal"/>
    <w:uiPriority w:val="99"/>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3</Pages>
  <Words>682</Words>
  <Characters>3894</Characters>
  <Application>Microsoft Office Word</Application>
  <DocSecurity>0</DocSecurity>
  <Lines>0</Lines>
  <Paragraphs>0</Paragraphs>
  <ScaleCrop>false</ScaleCrop>
  <Company>MSPNM</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aaaaa</dc:creator>
  <cp:lastModifiedBy>Gasparikova Jarmila</cp:lastModifiedBy>
  <cp:revision>3</cp:revision>
  <cp:lastPrinted>2005-04-19T13:25:00Z</cp:lastPrinted>
  <dcterms:created xsi:type="dcterms:W3CDTF">2005-04-21T08:49:00Z</dcterms:created>
  <dcterms:modified xsi:type="dcterms:W3CDTF">2005-04-22T12:47:00Z</dcterms:modified>
</cp:coreProperties>
</file>