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5B9E">
      <w:pPr>
        <w:pBdr>
          <w:bottom w:val="single" w:sz="12" w:space="1" w:color="auto"/>
        </w:pBdr>
        <w:jc w:val="center"/>
        <w:rPr>
          <w:rFonts w:ascii="Times New Roman" w:hAnsi="Times New Roman" w:cs="Times New Roman"/>
          <w:b/>
          <w:bCs/>
          <w:sz w:val="28"/>
        </w:rPr>
      </w:pPr>
      <w:r>
        <w:rPr>
          <w:rFonts w:ascii="Times New Roman" w:hAnsi="Times New Roman" w:cs="Times New Roman"/>
          <w:b/>
          <w:bCs/>
          <w:sz w:val="28"/>
        </w:rPr>
        <w:t>N á r o d n á     r a d a     S l o v e n s k e j     r e p u b l i k y</w:t>
      </w: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r>
        <w:rPr>
          <w:rFonts w:ascii="Times New Roman" w:hAnsi="Times New Roman" w:cs="Times New Roman"/>
          <w:b/>
          <w:bCs/>
          <w:sz w:val="28"/>
        </w:rPr>
        <w:t>III. volebné obdobie</w:t>
      </w: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r>
        <w:rPr>
          <w:rFonts w:ascii="Times New Roman" w:hAnsi="Times New Roman" w:cs="Times New Roman"/>
          <w:b/>
          <w:bCs/>
          <w:sz w:val="28"/>
        </w:rPr>
        <w:t>Návrh</w:t>
      </w: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r>
        <w:rPr>
          <w:rFonts w:ascii="Times New Roman" w:hAnsi="Times New Roman" w:cs="Times New Roman"/>
          <w:b/>
          <w:bCs/>
          <w:sz w:val="28"/>
        </w:rPr>
        <w:t xml:space="preserve">Z Á K O N </w:t>
      </w: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r>
        <w:rPr>
          <w:rFonts w:ascii="Times New Roman" w:hAnsi="Times New Roman" w:cs="Times New Roman"/>
          <w:b/>
          <w:bCs/>
          <w:sz w:val="28"/>
        </w:rPr>
        <w:t>z ...................................................</w:t>
      </w: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r>
        <w:rPr>
          <w:rFonts w:ascii="Times New Roman" w:hAnsi="Times New Roman" w:cs="Times New Roman"/>
          <w:b/>
          <w:bCs/>
          <w:sz w:val="28"/>
        </w:rPr>
        <w:t>o preukazovaní pôvodu majetku</w:t>
      </w: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p>
    <w:p w:rsidR="00BD5B9E">
      <w:pPr>
        <w:pStyle w:val="BodyText"/>
        <w:rPr>
          <w:rFonts w:ascii="Times New Roman" w:hAnsi="Times New Roman" w:cs="Times New Roman"/>
        </w:rPr>
      </w:pPr>
    </w:p>
    <w:p w:rsidR="00BD5B9E">
      <w:pPr>
        <w:pStyle w:val="BodyText"/>
        <w:rPr>
          <w:rFonts w:ascii="Times New Roman" w:hAnsi="Times New Roman" w:cs="Times New Roman"/>
        </w:rPr>
      </w:pP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Národná rada Slovenskej republiky sa uzniesla na tomto zákone:</w:t>
      </w:r>
    </w:p>
    <w:p w:rsidR="00BD5B9E">
      <w:pPr>
        <w:pStyle w:val="BodyText"/>
        <w:rPr>
          <w:rFonts w:ascii="Times New Roman" w:hAnsi="Times New Roman" w:cs="Times New Roman"/>
        </w:rPr>
      </w:pPr>
    </w:p>
    <w:p w:rsidR="00BD5B9E">
      <w:pPr>
        <w:pStyle w:val="BodyText"/>
        <w:rPr>
          <w:rFonts w:ascii="Times New Roman" w:hAnsi="Times New Roman" w:cs="Times New Roman"/>
        </w:rPr>
      </w:pPr>
    </w:p>
    <w:p w:rsidR="00BD5B9E">
      <w:pPr>
        <w:pStyle w:val="BodyText"/>
        <w:jc w:val="center"/>
        <w:rPr>
          <w:rFonts w:ascii="Times New Roman" w:hAnsi="Times New Roman" w:cs="Times New Roman"/>
        </w:rPr>
      </w:pPr>
      <w:r>
        <w:rPr>
          <w:rFonts w:ascii="Times New Roman" w:hAnsi="Times New Roman" w:cs="Times New Roman"/>
        </w:rPr>
        <w:t>§ 1</w:t>
      </w:r>
    </w:p>
    <w:p w:rsidR="00BD5B9E">
      <w:pPr>
        <w:pStyle w:val="BodyText"/>
        <w:jc w:val="center"/>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(1) Ú</w:t>
      </w:r>
      <w:r>
        <w:rPr>
          <w:rFonts w:ascii="Times New Roman" w:hAnsi="Times New Roman" w:cs="Times New Roman"/>
        </w:rPr>
        <w:t>čelom tohto zákona je upraviť podmienky a postup príslušných orgánov pri odnímaní nehnuteľného majetku, bytov a nebytových priestorov, hnuteľného majetku, iných majetkových práv a iných majetkových  hodnôt, peňažných prostriedkov v hotovosti v slovenskej mene  a v cudzej mene, vkladov v bankách a v pobočkách zahraničných bánk v slovenskej mene a v cudzej mene a vkladov v bankách so sídlom v zahraničí (ďalej len „majetok“) osobám, najmä ústavným činiteľom, vyšším štátnym funkcionárom a ďalším osobám prijímajúcim dôležité hospodárske alebo finančné rozhodnutia (ďalej len „dotknutá osoba“) v období od 1. januára 1990 (ďalej len „rozhodné obdobie“), ktoré v rozhodnom období hodnoverne nepreukázali legálny pôvod  a spôsob nadobudnutia svojich majetkových prírastk</w:t>
      </w:r>
      <w:r>
        <w:rPr>
          <w:rFonts w:ascii="Times New Roman" w:hAnsi="Times New Roman" w:cs="Times New Roman"/>
        </w:rPr>
        <w:t xml:space="preserve">ov. </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(2) Na účely tohto zákona sa rozumie</w:t>
      </w:r>
    </w:p>
    <w:p w:rsidR="00BD5B9E">
      <w:pPr>
        <w:pStyle w:val="BodyText"/>
        <w:numPr>
          <w:ilvl w:val="0"/>
          <w:numId w:val="8"/>
        </w:numPr>
        <w:tabs>
          <w:tab w:val="left" w:pos="720"/>
        </w:tabs>
        <w:rPr>
          <w:rFonts w:ascii="Times New Roman" w:hAnsi="Times New Roman" w:cs="Times New Roman"/>
        </w:rPr>
      </w:pPr>
      <w:r>
        <w:rPr>
          <w:rFonts w:ascii="Times New Roman" w:hAnsi="Times New Roman" w:cs="Times New Roman"/>
        </w:rPr>
        <w:t>majetkovým prírastkom rozumie majetok v hodnote minimálne tisíc násobku minimálnej mzdy stanovenej podľa osobitného predpisu</w:t>
      </w:r>
      <w:r>
        <w:rPr>
          <w:rStyle w:val="FootnoteReference"/>
          <w:rFonts w:ascii="Times New Roman" w:hAnsi="Times New Roman" w:cs="Times New Roman"/>
        </w:rPr>
        <w:t>1)</w:t>
      </w:r>
      <w:r>
        <w:rPr>
          <w:rFonts w:ascii="Times New Roman" w:hAnsi="Times New Roman" w:cs="Times New Roman"/>
        </w:rPr>
        <w:t>;</w:t>
      </w:r>
    </w:p>
    <w:p w:rsidR="00BD5B9E">
      <w:pPr>
        <w:pStyle w:val="BodyText"/>
        <w:numPr>
          <w:ilvl w:val="0"/>
          <w:numId w:val="8"/>
        </w:numPr>
        <w:tabs>
          <w:tab w:val="left" w:pos="720"/>
        </w:tabs>
        <w:rPr>
          <w:rFonts w:ascii="Times New Roman" w:hAnsi="Times New Roman" w:cs="Times New Roman"/>
        </w:rPr>
      </w:pPr>
      <w:r>
        <w:rPr>
          <w:rFonts w:ascii="Times New Roman" w:hAnsi="Times New Roman" w:cs="Times New Roman"/>
        </w:rPr>
        <w:t>legálnym pôvodom a spôsobom nadobudnutia majetkových prírastkov dotknutej osoby nado</w:t>
      </w:r>
      <w:r>
        <w:rPr>
          <w:rFonts w:ascii="Times New Roman" w:hAnsi="Times New Roman" w:cs="Times New Roman"/>
        </w:rPr>
        <w:t>budnutie majetkových prírastkov v súlade s právnymi predpismi</w:t>
      </w:r>
      <w:r>
        <w:rPr>
          <w:rStyle w:val="FootnoteReference"/>
          <w:rFonts w:ascii="Times New Roman" w:hAnsi="Times New Roman" w:cs="Times New Roman"/>
        </w:rPr>
        <w:t>2)</w:t>
      </w:r>
      <w:r>
        <w:rPr>
          <w:rFonts w:ascii="Times New Roman" w:hAnsi="Times New Roman" w:cs="Times New Roman"/>
        </w:rPr>
        <w:t xml:space="preserve"> Slovenskej republiky.  </w:t>
      </w:r>
    </w:p>
    <w:p w:rsidR="00BD5B9E">
      <w:pPr>
        <w:pStyle w:val="BodyText"/>
        <w:jc w:val="center"/>
        <w:rPr>
          <w:rFonts w:ascii="Times New Roman" w:hAnsi="Times New Roman" w:cs="Times New Roman"/>
        </w:rPr>
      </w:pPr>
      <w:r>
        <w:rPr>
          <w:rFonts w:ascii="Times New Roman" w:hAnsi="Times New Roman" w:cs="Times New Roman"/>
        </w:rPr>
        <w:t>§ 2</w:t>
      </w:r>
    </w:p>
    <w:p w:rsidR="00BD5B9E">
      <w:pPr>
        <w:pStyle w:val="BodyText"/>
        <w:jc w:val="center"/>
        <w:rPr>
          <w:rFonts w:ascii="Times New Roman" w:hAnsi="Times New Roman" w:cs="Times New Roman"/>
        </w:rPr>
      </w:pPr>
    </w:p>
    <w:p w:rsidR="00BD5B9E">
      <w:pPr>
        <w:pStyle w:val="BodyText"/>
        <w:ind w:firstLine="708"/>
        <w:rPr>
          <w:rFonts w:ascii="Times New Roman" w:hAnsi="Times New Roman" w:cs="Times New Roman"/>
        </w:rPr>
      </w:pPr>
      <w:r>
        <w:rPr>
          <w:rFonts w:ascii="Times New Roman" w:hAnsi="Times New Roman" w:cs="Times New Roman"/>
        </w:rPr>
        <w:t>(1) Podľa tohto zákona sa postupuje aj v prípade, ak dotknutej osobe bol uložený peňažný trest, trest prepadnutia veci</w:t>
      </w:r>
      <w:r>
        <w:rPr>
          <w:rStyle w:val="FootnoteReference"/>
          <w:rFonts w:ascii="Times New Roman" w:hAnsi="Times New Roman" w:cs="Times New Roman"/>
        </w:rPr>
        <w:t>3)</w:t>
      </w:r>
      <w:r>
        <w:rPr>
          <w:rFonts w:ascii="Times New Roman" w:hAnsi="Times New Roman" w:cs="Times New Roman"/>
        </w:rPr>
        <w:t xml:space="preserve">, alebo ak súd rozhodol o prepadnutí časti </w:t>
      </w:r>
      <w:r>
        <w:rPr>
          <w:rFonts w:ascii="Times New Roman" w:hAnsi="Times New Roman" w:cs="Times New Roman"/>
        </w:rPr>
        <w:t>majetku dotknutej osoby</w:t>
      </w:r>
      <w:r>
        <w:rPr>
          <w:rStyle w:val="FootnoteReference"/>
          <w:rFonts w:ascii="Times New Roman" w:hAnsi="Times New Roman" w:cs="Times New Roman"/>
        </w:rPr>
        <w:t>4)</w:t>
      </w:r>
      <w:r>
        <w:rPr>
          <w:rFonts w:ascii="Times New Roman" w:hAnsi="Times New Roman" w:cs="Times New Roman"/>
          <w:vertAlign w:val="superscript"/>
        </w:rPr>
        <w:t xml:space="preserve">  </w:t>
      </w:r>
      <w:r>
        <w:rPr>
          <w:rFonts w:ascii="Times New Roman" w:hAnsi="Times New Roman" w:cs="Times New Roman"/>
        </w:rPr>
        <w:t>a táto vlastní ďalší majetok uvedený v § 1, legálny pôvod a spôsob nadobudnutia ktorého nie je schopná hodnoverne preukázať a ktorý nie je možné postihnúť podľa Trestného zákona.</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 xml:space="preserve">(2) Iný postih dotknutej osoby podľa osobitného </w:t>
      </w:r>
      <w:r>
        <w:rPr>
          <w:rFonts w:ascii="Times New Roman" w:hAnsi="Times New Roman" w:cs="Times New Roman"/>
        </w:rPr>
        <w:t>predpisu</w:t>
      </w:r>
      <w:r>
        <w:rPr>
          <w:rStyle w:val="FootnoteReference"/>
          <w:rFonts w:ascii="Times New Roman" w:hAnsi="Times New Roman" w:cs="Times New Roman"/>
        </w:rPr>
        <w:t>5)</w:t>
      </w:r>
      <w:r>
        <w:rPr>
          <w:rFonts w:ascii="Times New Roman" w:hAnsi="Times New Roman" w:cs="Times New Roman"/>
        </w:rPr>
        <w:t xml:space="preserve"> za nespôsobilosť hodnoverne preukázať legálny pôvod a spôsob nadobudnutia majetku uvedeného v § 1 nevylučuje postup podľa tohto zákona. </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(3) Postupom podľa tohto zákona nie je dotknutá zodpovednosť dotknutej osoby podľa osobitného predpisu.</w:t>
      </w:r>
      <w:r>
        <w:rPr>
          <w:rStyle w:val="FootnoteReference"/>
          <w:rFonts w:ascii="Times New Roman" w:hAnsi="Times New Roman" w:cs="Times New Roman"/>
        </w:rPr>
        <w:t>6)</w:t>
      </w:r>
    </w:p>
    <w:p w:rsidR="00BD5B9E">
      <w:pPr>
        <w:pStyle w:val="BodyText"/>
        <w:rPr>
          <w:rFonts w:ascii="Times New Roman" w:hAnsi="Times New Roman" w:cs="Times New Roman"/>
        </w:rPr>
      </w:pPr>
    </w:p>
    <w:p w:rsidR="00BD5B9E">
      <w:pPr>
        <w:pStyle w:val="BodyText"/>
        <w:jc w:val="center"/>
        <w:rPr>
          <w:rFonts w:ascii="Times New Roman" w:hAnsi="Times New Roman" w:cs="Times New Roman"/>
        </w:rPr>
      </w:pPr>
      <w:r>
        <w:rPr>
          <w:rFonts w:ascii="Times New Roman" w:hAnsi="Times New Roman" w:cs="Times New Roman"/>
        </w:rPr>
        <w:t>§ 3</w:t>
      </w:r>
    </w:p>
    <w:p w:rsidR="00BD5B9E">
      <w:pPr>
        <w:pStyle w:val="BodyText"/>
        <w:jc w:val="center"/>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 xml:space="preserve">(1) Dotknutá osoba je povinná v lehote desiatich dní od doručenia výzvy podať generálnemu prokurátorovi Slovenskej republiky  alebo ním poverenému prokurátorovi (ďalej len „generálny prokurátor“) hodnoverné vysvetlenie legálneho pôvodu a spôsobu nadobudnutia majetku uvedeného v § 1 a označeného vo výzve. </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(2) Pod vysvetlením podľa odseku 1 sa rozumie predloženie najmä listín a prípadne aj označenie iných dôkazov hodnoverne potvrdzujúcich zákonnosť a čestnosť nadobudnutia majetku označeného vo výzve</w:t>
      </w:r>
      <w:r>
        <w:rPr>
          <w:rFonts w:ascii="Times New Roman" w:hAnsi="Times New Roman" w:cs="Times New Roman"/>
        </w:rPr>
        <w:t xml:space="preserve">.   </w:t>
      </w:r>
    </w:p>
    <w:p w:rsidR="00BD5B9E">
      <w:pPr>
        <w:pStyle w:val="BodyText"/>
        <w:rPr>
          <w:rFonts w:ascii="Times New Roman" w:hAnsi="Times New Roman" w:cs="Times New Roman"/>
        </w:rPr>
      </w:pPr>
      <w:r>
        <w:rPr>
          <w:rFonts w:ascii="Times New Roman" w:hAnsi="Times New Roman" w:cs="Times New Roman"/>
        </w:rPr>
        <w:t xml:space="preserve">                                                </w:t>
      </w:r>
    </w:p>
    <w:p w:rsidR="00BD5B9E">
      <w:pPr>
        <w:pStyle w:val="BodyText"/>
        <w:jc w:val="center"/>
        <w:rPr>
          <w:rFonts w:ascii="Times New Roman" w:hAnsi="Times New Roman" w:cs="Times New Roman"/>
        </w:rPr>
      </w:pPr>
      <w:r>
        <w:rPr>
          <w:rFonts w:ascii="Times New Roman" w:hAnsi="Times New Roman" w:cs="Times New Roman"/>
        </w:rPr>
        <w:t>§ 4</w:t>
      </w:r>
    </w:p>
    <w:p w:rsidR="00BD5B9E">
      <w:pPr>
        <w:pStyle w:val="BodyText"/>
        <w:jc w:val="center"/>
        <w:rPr>
          <w:rFonts w:ascii="Times New Roman" w:hAnsi="Times New Roman" w:cs="Times New Roman"/>
        </w:rPr>
      </w:pPr>
    </w:p>
    <w:p w:rsidR="00BD5B9E">
      <w:pPr>
        <w:pStyle w:val="BodyText"/>
        <w:rPr>
          <w:rFonts w:ascii="Times New Roman" w:hAnsi="Times New Roman" w:cs="Times New Roman"/>
          <w:vertAlign w:val="superscript"/>
        </w:rPr>
      </w:pPr>
      <w:r>
        <w:rPr>
          <w:rFonts w:ascii="Times New Roman" w:hAnsi="Times New Roman" w:cs="Times New Roman"/>
        </w:rPr>
        <w:tab/>
        <w:t>(1) Ak dotknutá osoba bez ospravedlniteľných dôvodov požadované vysvetlenie v lehote uvedenej v §  3 nepodá alebo ak vo vysvetlení hodnoverne nepreukáže legálny pôvod a spôsob nadobudnutia majetku označeného vo výzve a naďalej pretrvávajú dôvodné pochybnosti o zákonnosti a čestnosti nadobudnutia takéhoto majetku, generálny prokurátor môže proti dotknutej osobe podať návrh na začatie konania na súde.</w:t>
      </w:r>
      <w:r>
        <w:rPr>
          <w:rStyle w:val="FootnoteReference"/>
          <w:rFonts w:ascii="Times New Roman" w:hAnsi="Times New Roman" w:cs="Times New Roman"/>
        </w:rPr>
        <w:t>7)</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vertAlign w:val="superscript"/>
        </w:rPr>
        <w:t xml:space="preserve"> </w:t>
        <w:tab/>
      </w:r>
      <w:r>
        <w:rPr>
          <w:rFonts w:ascii="Times New Roman" w:hAnsi="Times New Roman" w:cs="Times New Roman"/>
        </w:rPr>
        <w:t>(2) Ak dotknutá osoba v období od doručenia výzvy podľa § 3 ods. 1 do doručenia rozhodnutia o nariadení predbežného opatrenia podľa § 4 ods. 6  prevedie majetok označený vo výzve na inú osobu, právne úkony spojené s takýmto prevodom sú neplatné.</w:t>
      </w:r>
      <w:r>
        <w:rPr>
          <w:rStyle w:val="FootnoteReference"/>
          <w:rFonts w:ascii="Times New Roman" w:hAnsi="Times New Roman" w:cs="Times New Roman"/>
        </w:rPr>
        <w:t>8)</w:t>
      </w:r>
      <w:r>
        <w:rPr>
          <w:rFonts w:ascii="Times New Roman" w:hAnsi="Times New Roman" w:cs="Times New Roman"/>
          <w:vertAlign w:val="superscript"/>
        </w:rPr>
        <w:t xml:space="preserve"> </w:t>
      </w:r>
      <w:r>
        <w:rPr>
          <w:rFonts w:ascii="Times New Roman" w:hAnsi="Times New Roman" w:cs="Times New Roman"/>
        </w:rPr>
        <w:t xml:space="preserve">To neplatí, ak generálny prokurátor nepodá návrh na začatie konania na súde do troch mesiacov odo dňa doručenia výzvy podľa § 3. </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(3) Štátne orgány, orgány samosprávy, právnické osoby a fyzické osoby sú povinné poskytnúť generálnemu prokurátorovi na požiadanie informácie nevyhnutné na postup podľa tohto zákona, a to aj vtedy, ak by podľa osobitného zákona boli viazané tajomstvom alebo povinnosťou mlčanlivosti. Na tento účel je generálny prokurátor oprávnený požadovať aj poskytnutie údajov, ktoré sú inak predmetom bankového tajomstva.</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(4) Dotknutá osoba je povinná strpieť úkony potrebné na zistenie informácií nevyhnutných na podanie návrhu na začatie konania na súde podľa § 4 ods. 1, a to najmä v súvislosti s presným označením majetku, ktorého legálny pôvod a spôsob nadobudnutia nevie hodnoverne preukázať. Na postup podľa tohto odseku sa primerane použijú ustanovenia osobitného predpisu.</w:t>
      </w:r>
      <w:r>
        <w:rPr>
          <w:rStyle w:val="FootnoteReference"/>
          <w:rFonts w:ascii="Times New Roman" w:hAnsi="Times New Roman" w:cs="Times New Roman"/>
        </w:rPr>
        <w:t>9)</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 xml:space="preserve">(5) Na konanie o návrhu podľa § 4 ods. 1 je príslušný krajský súd ako súd prvého stupňa. </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(6) Súd do 48 hodín od doručenia návrhu na začatie konania podľa § 4 ods. 1 uloží dotknutej osobe, aby s majetkom označeným generálnym prokurátorom v návrhu na začatie konania nenakladala.</w:t>
      </w:r>
      <w:r>
        <w:rPr>
          <w:rStyle w:val="FootnoteReference"/>
          <w:rFonts w:ascii="Times New Roman" w:hAnsi="Times New Roman" w:cs="Times New Roman"/>
        </w:rPr>
        <w:t>10)</w:t>
      </w:r>
      <w:r>
        <w:rPr>
          <w:rFonts w:ascii="Times New Roman" w:hAnsi="Times New Roman" w:cs="Times New Roman"/>
          <w:vertAlign w:val="superscript"/>
        </w:rPr>
        <w:t xml:space="preserve"> </w:t>
      </w:r>
      <w:r>
        <w:rPr>
          <w:rFonts w:ascii="Times New Roman" w:hAnsi="Times New Roman" w:cs="Times New Roman"/>
        </w:rPr>
        <w:t>Generálnemu prokurátorovi a dotknutej osobe sa rozhodnutie o predbežnom opatrení doručí najneskôr do piatich dní odo dňa rozhodnutia. Ak napriek uloženej povinnosti dotknutá osoba s označeným majetkom nakladá, právne úkony spojené s takýmto nakladaním sú neplatné.</w:t>
      </w:r>
      <w:r>
        <w:rPr>
          <w:rStyle w:val="FootnoteReference"/>
          <w:rFonts w:ascii="Times New Roman" w:hAnsi="Times New Roman" w:cs="Times New Roman"/>
        </w:rPr>
        <w:t>11)</w:t>
      </w:r>
    </w:p>
    <w:p w:rsidR="00BD5B9E">
      <w:pPr>
        <w:pStyle w:val="BodyText"/>
        <w:rPr>
          <w:rFonts w:ascii="Times New Roman" w:hAnsi="Times New Roman" w:cs="Times New Roman"/>
          <w:vertAlign w:val="superscript"/>
        </w:rPr>
      </w:pPr>
    </w:p>
    <w:p w:rsidR="00BD5B9E">
      <w:pPr>
        <w:pStyle w:val="BodyText"/>
        <w:ind w:firstLine="708"/>
        <w:rPr>
          <w:rFonts w:ascii="Times New Roman" w:hAnsi="Times New Roman" w:cs="Times New Roman"/>
        </w:rPr>
      </w:pPr>
      <w:r>
        <w:rPr>
          <w:rFonts w:ascii="Times New Roman" w:hAnsi="Times New Roman" w:cs="Times New Roman"/>
        </w:rPr>
        <w:t>(7) Dotknutá osoba je povinná do pätnástich dní od doručenia návrhu podľa § 4 ods. 1 vyjadriť sa k nemu a predložiť súdu dôkazy o legálnom pôvode a spôsobe nadobudnutia označeného majetku. Ak ani po opakovanej výzve súdu dotknutá osoba nepredloží vyjadrenie k návrhu na začatie konania a nepredloží ani dôkazy o legálnom pôvode a spôsobe nadobudnutia označeného majetku, súd môže rozhodnúť o pripadnutí označeného majetku alebo jeho časti štátu.</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(8) Súd je povinný o návrhu podľa § 4 ods. 1 rozhodnúť najneskôr do jedného roka od podania návrhu na začatie konania.</w:t>
      </w:r>
    </w:p>
    <w:p w:rsidR="00BD5B9E">
      <w:pPr>
        <w:pStyle w:val="BodyText"/>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(9) Pokiaľ tento zákon nestanovuje inak, na konanie o návrhu na začatie konania podľa § 4 ods. 1 sa primerane použijú ustanovenia Občianskeho súdneho poriadku.</w:t>
      </w:r>
    </w:p>
    <w:p w:rsidR="00BD5B9E">
      <w:pPr>
        <w:pStyle w:val="BodyText"/>
        <w:rPr>
          <w:rFonts w:ascii="Times New Roman" w:hAnsi="Times New Roman" w:cs="Times New Roman"/>
        </w:rPr>
      </w:pPr>
    </w:p>
    <w:p w:rsidR="00BD5B9E">
      <w:pPr>
        <w:pStyle w:val="BodyText"/>
        <w:jc w:val="center"/>
        <w:rPr>
          <w:rFonts w:ascii="Times New Roman" w:hAnsi="Times New Roman" w:cs="Times New Roman"/>
        </w:rPr>
      </w:pPr>
      <w:r>
        <w:rPr>
          <w:rFonts w:ascii="Times New Roman" w:hAnsi="Times New Roman" w:cs="Times New Roman"/>
        </w:rPr>
        <w:t>§ 5</w:t>
      </w:r>
    </w:p>
    <w:p w:rsidR="00BD5B9E">
      <w:pPr>
        <w:pStyle w:val="BodyText"/>
        <w:jc w:val="center"/>
        <w:rPr>
          <w:rFonts w:ascii="Times New Roman" w:hAnsi="Times New Roman" w:cs="Times New Roman"/>
        </w:rPr>
      </w:pPr>
    </w:p>
    <w:p w:rsidR="00BD5B9E">
      <w:pPr>
        <w:pStyle w:val="BodyText"/>
        <w:rPr>
          <w:rFonts w:ascii="Times New Roman" w:hAnsi="Times New Roman" w:cs="Times New Roman"/>
        </w:rPr>
      </w:pPr>
      <w:r>
        <w:rPr>
          <w:rFonts w:ascii="Times New Roman" w:hAnsi="Times New Roman" w:cs="Times New Roman"/>
        </w:rPr>
        <w:tab/>
        <w:t>(1) Návrhom podľa § 4 ods. 1 sa generálny prokurátor domáha rozhodnutia, že majetok označený v návrhu, u ktorého dotknutá osoba hodnoverne nepreukázala legálny</w:t>
      </w:r>
      <w:r>
        <w:rPr>
          <w:rFonts w:ascii="Times New Roman" w:hAnsi="Times New Roman" w:cs="Times New Roman"/>
        </w:rPr>
        <w:t xml:space="preserve"> pôvod a spôsob nadobudnutia, pripadne štátu.</w:t>
      </w:r>
    </w:p>
    <w:p w:rsidR="00BD5B9E">
      <w:pPr>
        <w:pStyle w:val="BodyText"/>
        <w:rPr>
          <w:rFonts w:ascii="Times New Roman" w:hAnsi="Times New Roman" w:cs="Times New Roman"/>
        </w:rPr>
      </w:pPr>
    </w:p>
    <w:p w:rsidR="00BD5B9E">
      <w:pPr>
        <w:pStyle w:val="BodyText"/>
        <w:ind w:firstLine="708"/>
        <w:rPr>
          <w:rFonts w:ascii="Times New Roman" w:hAnsi="Times New Roman" w:cs="Times New Roman"/>
        </w:rPr>
      </w:pPr>
      <w:r>
        <w:rPr>
          <w:rFonts w:ascii="Times New Roman" w:hAnsi="Times New Roman" w:cs="Times New Roman"/>
        </w:rPr>
        <w:t>(2) Návrh podľa § 4 ods. 1 musí obsahovať označenie majetku, ktorý má pripadnúť štátu, ako aj skutočnosti potvrdzujúce existenciu dôvodných pochybností o zákonnosti a čestnosti nadobudnutia označeného majetku.</w:t>
      </w:r>
    </w:p>
    <w:p w:rsidR="00BD5B9E">
      <w:pPr>
        <w:pStyle w:val="BodyText"/>
        <w:ind w:firstLine="708"/>
        <w:rPr>
          <w:rFonts w:ascii="Times New Roman" w:hAnsi="Times New Roman" w:cs="Times New Roman"/>
        </w:rPr>
      </w:pPr>
    </w:p>
    <w:p w:rsidR="00BD5B9E">
      <w:pPr>
        <w:pStyle w:val="BodyText"/>
        <w:ind w:firstLine="708"/>
        <w:rPr>
          <w:rFonts w:ascii="Times New Roman" w:hAnsi="Times New Roman" w:cs="Times New Roman"/>
        </w:rPr>
      </w:pPr>
      <w:r>
        <w:rPr>
          <w:rFonts w:ascii="Times New Roman" w:hAnsi="Times New Roman" w:cs="Times New Roman"/>
        </w:rPr>
        <w:t>(3) Dotknutá osoba v konaní pred súdom preukazuje, že majetok nadobudla z preukázateľných a zákonných príjmov získaných v súlade s právnym poriadkom Slovenskej republiky.</w:t>
      </w:r>
    </w:p>
    <w:p w:rsidR="00BD5B9E">
      <w:pPr>
        <w:pStyle w:val="BodyText"/>
        <w:ind w:firstLine="708"/>
        <w:rPr>
          <w:rFonts w:ascii="Times New Roman" w:hAnsi="Times New Roman" w:cs="Times New Roman"/>
        </w:rPr>
      </w:pPr>
    </w:p>
    <w:p w:rsidR="00BD5B9E">
      <w:pPr>
        <w:pStyle w:val="BodyText"/>
        <w:ind w:firstLine="708"/>
        <w:rPr>
          <w:rFonts w:ascii="Times New Roman" w:hAnsi="Times New Roman" w:cs="Times New Roman"/>
        </w:rPr>
      </w:pPr>
      <w:r>
        <w:rPr>
          <w:rFonts w:ascii="Times New Roman" w:hAnsi="Times New Roman" w:cs="Times New Roman"/>
        </w:rPr>
        <w:t>(4) Ak dotknutá osoba v konaní pred súdom vyvráti dôvodné pochybnosti o legálnom pôvode a spôsobe nadobudnutia označeného majetku alebo jeho časti, súd návrh zamietne, a to sčasti alebo celkom. V opačnom prípade rozhodne o pripadnutí označeného majetku alebo jeho časti štátu.</w:t>
      </w:r>
    </w:p>
    <w:p w:rsidR="00BD5B9E">
      <w:pPr>
        <w:pStyle w:val="BodyText"/>
        <w:ind w:firstLine="708"/>
        <w:rPr>
          <w:rFonts w:ascii="Times New Roman" w:hAnsi="Times New Roman" w:cs="Times New Roman"/>
        </w:rPr>
      </w:pPr>
    </w:p>
    <w:p w:rsidR="00BD5B9E">
      <w:pPr>
        <w:pStyle w:val="BodyText"/>
        <w:ind w:firstLine="708"/>
        <w:rPr>
          <w:rFonts w:ascii="Times New Roman" w:hAnsi="Times New Roman" w:cs="Times New Roman"/>
        </w:rPr>
      </w:pPr>
      <w:r>
        <w:rPr>
          <w:rFonts w:ascii="Times New Roman" w:hAnsi="Times New Roman" w:cs="Times New Roman"/>
        </w:rPr>
        <w:t xml:space="preserve">(5) Súd je pri rozhodovaní viazaný rozsahom majetku, ktorý v návrhu  označil generálny prokurátor. </w:t>
      </w:r>
    </w:p>
    <w:p w:rsidR="00BD5B9E">
      <w:pPr>
        <w:pStyle w:val="BodyText"/>
        <w:ind w:firstLine="708"/>
        <w:rPr>
          <w:rFonts w:ascii="Times New Roman" w:hAnsi="Times New Roman" w:cs="Times New Roman"/>
        </w:rPr>
      </w:pPr>
    </w:p>
    <w:p w:rsidR="00BD5B9E">
      <w:pPr>
        <w:pStyle w:val="BodyText"/>
        <w:ind w:firstLine="708"/>
        <w:rPr>
          <w:rFonts w:ascii="Times New Roman" w:hAnsi="Times New Roman" w:cs="Times New Roman"/>
        </w:rPr>
      </w:pPr>
      <w:r>
        <w:rPr>
          <w:rFonts w:ascii="Times New Roman" w:hAnsi="Times New Roman" w:cs="Times New Roman"/>
        </w:rPr>
        <w:t>(6) Ak podľa § 5 ods. 3 súd návrh zamietne sčasti alebo celkom, štát zodpovedá za škodu, ktorá vznikla na majetku dotknutej osoby v dôsledku postupu podľa tohto zákona.</w:t>
      </w:r>
    </w:p>
    <w:p w:rsidR="00BD5B9E">
      <w:pPr>
        <w:pStyle w:val="BodyText"/>
        <w:ind w:firstLine="708"/>
        <w:rPr>
          <w:rFonts w:ascii="Times New Roman" w:hAnsi="Times New Roman" w:cs="Times New Roman"/>
        </w:rPr>
      </w:pPr>
    </w:p>
    <w:p w:rsidR="00BD5B9E">
      <w:pPr>
        <w:pStyle w:val="BodyText"/>
        <w:jc w:val="center"/>
        <w:rPr>
          <w:rFonts w:ascii="Times New Roman" w:hAnsi="Times New Roman" w:cs="Times New Roman"/>
        </w:rPr>
      </w:pPr>
      <w:r>
        <w:rPr>
          <w:rFonts w:ascii="Times New Roman" w:hAnsi="Times New Roman" w:cs="Times New Roman"/>
        </w:rPr>
        <w:t xml:space="preserve">§  6 </w:t>
      </w:r>
    </w:p>
    <w:p w:rsidR="00BD5B9E">
      <w:pPr>
        <w:pStyle w:val="BodyText"/>
        <w:jc w:val="center"/>
        <w:rPr>
          <w:rFonts w:ascii="Times New Roman" w:hAnsi="Times New Roman" w:cs="Times New Roman"/>
        </w:rPr>
      </w:pPr>
    </w:p>
    <w:p w:rsidR="00BD5B9E">
      <w:pPr>
        <w:pStyle w:val="BodyText"/>
        <w:rPr>
          <w:rFonts w:ascii="Times New Roman" w:hAnsi="Times New Roman" w:cs="Times New Roman"/>
          <w:vertAlign w:val="superscript"/>
        </w:rPr>
      </w:pPr>
      <w:r>
        <w:rPr>
          <w:rFonts w:ascii="Times New Roman" w:hAnsi="Times New Roman" w:cs="Times New Roman"/>
        </w:rPr>
        <w:tab/>
        <w:t>Tento zákon nadobúda účinnosť dňom vy</w:t>
      </w:r>
      <w:r>
        <w:rPr>
          <w:rFonts w:ascii="Times New Roman" w:hAnsi="Times New Roman" w:cs="Times New Roman"/>
        </w:rPr>
        <w:t xml:space="preserve">hlásenia. </w:t>
      </w:r>
    </w:p>
    <w:p w:rsidR="00BD5B9E">
      <w:pPr>
        <w:pStyle w:val="BodyText"/>
        <w:rPr>
          <w:rFonts w:ascii="Times New Roman" w:hAnsi="Times New Roman" w:cs="Times New Roman"/>
        </w:rPr>
      </w:pPr>
    </w:p>
    <w:p w:rsidR="00BD5B9E">
      <w:pPr>
        <w:jc w:val="center"/>
        <w:rPr>
          <w:rFonts w:ascii="Times New Roman" w:hAnsi="Times New Roman" w:cs="Times New Roman"/>
          <w:b/>
          <w:bCs/>
          <w:sz w:val="28"/>
        </w:rPr>
      </w:pPr>
    </w:p>
    <w:p w:rsidR="00BD5B9E">
      <w:pPr>
        <w:jc w:val="center"/>
        <w:rPr>
          <w:rFonts w:ascii="Times New Roman" w:hAnsi="Times New Roman" w:cs="Times New Roman"/>
          <w:b/>
          <w:bCs/>
          <w:sz w:val="28"/>
        </w:rPr>
      </w:pPr>
    </w:p>
    <w:p w:rsidR="00BD5B9E">
      <w:pPr>
        <w:pStyle w:val="Heading3"/>
        <w:rPr>
          <w:rFonts w:ascii="Times New Roman" w:hAnsi="Times New Roman" w:cs="Times New Roman"/>
          <w:sz w:val="28"/>
        </w:rPr>
      </w:pPr>
      <w:r>
        <w:rPr>
          <w:rFonts w:ascii="Times New Roman" w:hAnsi="Times New Roman" w:cs="Times New Roman"/>
          <w:sz w:val="28"/>
        </w:rPr>
        <w:t>D ô v o d o v á   s p r á v a</w:t>
      </w:r>
    </w:p>
    <w:p w:rsidR="00BD5B9E">
      <w:pPr>
        <w:pStyle w:val="Heading4"/>
        <w:rPr>
          <w:rFonts w:ascii="Times New Roman" w:hAnsi="Times New Roman" w:cs="Times New Roman"/>
          <w:sz w:val="28"/>
        </w:rPr>
      </w:pPr>
    </w:p>
    <w:p w:rsidR="00BD5B9E">
      <w:pPr>
        <w:pStyle w:val="Heading4"/>
        <w:rPr>
          <w:rFonts w:ascii="Times New Roman" w:hAnsi="Times New Roman" w:cs="Times New Roman"/>
          <w:sz w:val="28"/>
        </w:rPr>
      </w:pPr>
      <w:r>
        <w:rPr>
          <w:rFonts w:ascii="Times New Roman" w:hAnsi="Times New Roman" w:cs="Times New Roman"/>
          <w:sz w:val="28"/>
        </w:rPr>
        <w:t>Všeobecná časť</w:t>
      </w:r>
    </w:p>
    <w:p w:rsidR="00BD5B9E">
      <w:pPr>
        <w:spacing w:after="80"/>
        <w:jc w:val="both"/>
        <w:rPr>
          <w:rFonts w:ascii="Times New Roman" w:hAnsi="Times New Roman" w:cs="Times New Roman"/>
          <w:b/>
          <w:sz w:val="28"/>
          <w:szCs w:val="20"/>
        </w:rPr>
      </w:pPr>
    </w:p>
    <w:p w:rsidR="00BD5B9E">
      <w:pPr>
        <w:spacing w:after="80"/>
        <w:jc w:val="both"/>
        <w:rPr>
          <w:rFonts w:ascii="Times New Roman" w:hAnsi="Times New Roman" w:cs="Times New Roman"/>
          <w:sz w:val="28"/>
          <w:szCs w:val="20"/>
        </w:rPr>
      </w:pPr>
      <w:r>
        <w:rPr>
          <w:rFonts w:ascii="Times New Roman" w:hAnsi="Times New Roman" w:cs="Times New Roman"/>
          <w:b/>
          <w:sz w:val="28"/>
        </w:rPr>
        <w:tab/>
      </w:r>
      <w:r>
        <w:rPr>
          <w:rFonts w:ascii="Times New Roman" w:hAnsi="Times New Roman" w:cs="Times New Roman"/>
          <w:sz w:val="28"/>
        </w:rPr>
        <w:t>Slovenská verejnosť je dlhodobo traumatizovaná a demoralizovaná skutočnosťou, že príslušné štátne orgány nie sú spôsobilé účinne zakročiť proti osobám, ktoré preukázateľne žijú nad svoje pomery a u ktorých je dôvodné podozrenie, že podstatná časť ich majetkových prírastkov pochádza z nepoctivých zdrojov.</w:t>
      </w:r>
    </w:p>
    <w:p w:rsidR="00BD5B9E">
      <w:pPr>
        <w:spacing w:after="80"/>
        <w:jc w:val="both"/>
        <w:rPr>
          <w:rFonts w:ascii="Times New Roman" w:hAnsi="Times New Roman" w:cs="Times New Roman"/>
          <w:sz w:val="28"/>
          <w:szCs w:val="20"/>
        </w:rPr>
      </w:pPr>
      <w:r>
        <w:rPr>
          <w:rFonts w:ascii="Times New Roman" w:hAnsi="Times New Roman" w:cs="Times New Roman"/>
          <w:sz w:val="28"/>
        </w:rPr>
        <w:tab/>
        <w:t>Predkladaný návrh zákona o preukazovaní pôvodu majetku  má zaplniť medzeru v právnom systéme Slovenskej republiky a vytvoriť právny rámec účinného postupu proti osobám neschopným hodnoverne preukázať pôvod a spôsob nadobudnutia svojho majetku. Trestný zákon síce umožňuje uložiť trest prepadnutia veci alebo trest prepadnutia majetku, ale ich uloženie predpokladá najskôr uznanie osoby vinnou zo spáchania trestného činu, čo kladie na príslušné orgány činné v trestnom konaní veľké nároky pri znášaní dôkazného bremena. Postup podľa trestného práva je preto absolútne neúčinný. Rovnako sa neosvedčil ani postup podľa Občianskeho zákonníka a jeho ustanovení o bezdôvodnom obohatení, či podľa iných právnych predpisov, osobitne daňových. K rovnakému záveru došli aj iné vyspelé demokracie, ktoré sa rozhodli vzniknutý nedostatok nahradiť zavedením civilnej právnej úpravy umožňujúcej siahnuť na majetok, nadobudnutie ktorého nevie dotknutá osoba uspokojivo vysvetliť. Navrhovaná právna úprava je preto spoločensky žiadúca a potrebná. Vznikla potreba prijímať radikálnejšie a sofistikovanejšie metódy spĺňajúce požiadavky ochrany ľudských práv, aby skončila éra bezmocnosti slušných ľudí.</w:t>
      </w:r>
    </w:p>
    <w:p w:rsidR="00BD5B9E">
      <w:pPr>
        <w:spacing w:after="80"/>
        <w:jc w:val="both"/>
        <w:rPr>
          <w:rFonts w:ascii="Times New Roman" w:hAnsi="Times New Roman" w:cs="Times New Roman"/>
          <w:sz w:val="28"/>
          <w:szCs w:val="20"/>
        </w:rPr>
      </w:pPr>
      <w:r>
        <w:rPr>
          <w:rFonts w:ascii="Times New Roman" w:hAnsi="Times New Roman" w:cs="Times New Roman"/>
          <w:sz w:val="28"/>
        </w:rPr>
        <w:tab/>
        <w:t xml:space="preserve">Návrh zákona vychádza z predpokladu, že každý vie preukázať pôvod svojich majetkových prírastkov. Ak tomu tak nie je, štát bude mať právo iniciovať konanie na civilnom súde a žiadať od žalovanej osoby, aby vyvrátila dôvodné pochybnosti o nepoctivom pôvode svojho majetku. Pokiaľ žalovaná strana takto, vylúčiac dôvodné pochybnosti, nepreukáže  pôvod a spôsob nadobudnutia sporného majetku, súd rozhodne, že takýto majetok pripadne štátu. Aby sa vylúčilo podozrenie z ovplyvňovania, právo podať návrh na začatie konania na súde bude mať len generálny prokurátor Slovenskej republiky. Návrh zákona prináša aj mechanizmy obmedzujúce prípady, kedy by žalovaná osoba chcela obísť účel tohto zákona. Na zákon sa nevzťahuje zákaz spätnej účinnosti. Ak však súd návrh generálneho prokurátora sčasti alebo celkom zamietne, pretože žalovaná osoba dostatočne vysvetlí pôvod svojho majetku, štát bude niesť zodpovednosť za prípadnú škodu, ktorá vznikla na majetku žalovaného v dôsledku postupu podľa tohto zákona. </w:t>
      </w:r>
    </w:p>
    <w:p w:rsidR="00BD5B9E">
      <w:pPr>
        <w:spacing w:after="80"/>
        <w:jc w:val="both"/>
        <w:rPr>
          <w:rFonts w:ascii="Times New Roman" w:hAnsi="Times New Roman" w:cs="Times New Roman"/>
          <w:sz w:val="28"/>
          <w:szCs w:val="20"/>
        </w:rPr>
      </w:pPr>
      <w:r>
        <w:rPr>
          <w:rFonts w:ascii="Times New Roman" w:hAnsi="Times New Roman" w:cs="Times New Roman"/>
          <w:sz w:val="28"/>
        </w:rPr>
        <w:tab/>
        <w:t xml:space="preserve">Pri príprave tohto zákona sa využili poznatky z obdobnej právnej úpravy platnej v Taliansku a pripravovanej v Anglicku a Walese. V týchto, ale aj iných krajinách štát pristupuje k tvrdým ekonomickým opatreniam prostredníctvom civilného súdneho konania, pokiaľ nie je možné osobu postihnúť trestným právom. Civilné konanie je v porovnaní s trestným, ktoré vyžaduje rešpektovanie prezumpcie neviny, zákazu retroaktivity a dôkazného bremena na strane štátu, podstatne pružnejšie. Rozhodnutie civilného súdu o odňatí majetku, u ktorého nie je majiteľ schopný uspokojivo vysvetliť jeho pôvod, nie je ani rozhodnutím o vine osoby zo spáchania trestného činu, ani trestom. Aj preto orgány Európskeho dohovoru o ľudských právach považujú obdobné civilné právne úpravy za zlučiteľné s požiadavkami Dohovoru, pretože ich hodnotia ako dovolenú kontrolu používania majetku v súlade so všeobecným záujmom (článok 1 Protokolu č. 1 k Dohovoru). </w:t>
      </w:r>
    </w:p>
    <w:p w:rsidR="00BD5B9E">
      <w:pPr>
        <w:spacing w:after="80"/>
        <w:jc w:val="both"/>
        <w:rPr>
          <w:rFonts w:ascii="Times New Roman" w:hAnsi="Times New Roman" w:cs="Times New Roman"/>
          <w:sz w:val="28"/>
        </w:rPr>
      </w:pPr>
      <w:r>
        <w:rPr>
          <w:rFonts w:ascii="Times New Roman" w:hAnsi="Times New Roman" w:cs="Times New Roman"/>
          <w:sz w:val="28"/>
        </w:rPr>
        <w:tab/>
        <w:t>Pokiaľ ide o terminológiu používanú v návrhu zákona, primerane sa použili právne úpravy platné na území Slovenska, najmä ustanovenia § 32, 33, 117 ods. 5 a 6 zákona č. 385/2000 Z. z. o sudcoch a prísediacich a o zmene a doplnení niektorých zákonov,  ustanovenie § 28 zákona č. 154/2001 Z. z. o prokurátoroch a právnych čakateľoch prokuratúry, či daňové zákony.</w:t>
      </w:r>
    </w:p>
    <w:p w:rsidR="00BD5B9E">
      <w:pPr>
        <w:spacing w:after="80"/>
        <w:jc w:val="both"/>
        <w:rPr>
          <w:rFonts w:ascii="Times New Roman" w:hAnsi="Times New Roman" w:cs="Times New Roman"/>
          <w:sz w:val="28"/>
        </w:rPr>
      </w:pPr>
      <w:r>
        <w:rPr>
          <w:rFonts w:ascii="Times New Roman" w:hAnsi="Times New Roman" w:cs="Times New Roman"/>
          <w:sz w:val="28"/>
        </w:rPr>
        <w:tab/>
        <w:t>Návrh  zákona rovnako zohľadnil pripomienky, ktoré sa vzniesli pri predchádzajúcich pokusoch presadiť návrh obdobného zákona v NR SR. Návrh zákona je v súlade s Ústavou Slovenskej republiky a medzinárodnými zmluvami, ktorými je Slovenská repu</w:t>
      </w:r>
      <w:r>
        <w:rPr>
          <w:rFonts w:ascii="Times New Roman" w:hAnsi="Times New Roman" w:cs="Times New Roman"/>
          <w:sz w:val="28"/>
        </w:rPr>
        <w:t>blika viazaná.</w:t>
      </w:r>
    </w:p>
    <w:p w:rsidR="00BD5B9E">
      <w:pPr>
        <w:spacing w:after="80"/>
        <w:jc w:val="both"/>
        <w:rPr>
          <w:rFonts w:ascii="Times New Roman" w:hAnsi="Times New Roman" w:cs="Times New Roman"/>
          <w:sz w:val="28"/>
          <w:szCs w:val="20"/>
        </w:rPr>
      </w:pPr>
      <w:r>
        <w:rPr>
          <w:rFonts w:ascii="Times New Roman" w:hAnsi="Times New Roman" w:cs="Times New Roman"/>
          <w:sz w:val="28"/>
        </w:rPr>
        <w:tab/>
        <w:t>Návrh zákona v prípade jeho schválenia nebude mať žiadny dopad na rozpočet Slovenskej republiky, ani na rozpočty miest a obcí. Informácia o prerokovaní návrhu zákona s MF SR tvorí prílohu návrhu zákona. Návrh zákona nevyžaduje ani osobitné personálne, či organizačné zabezpečenie.</w:t>
      </w:r>
    </w:p>
    <w:p w:rsidR="00BD5B9E">
      <w:pPr>
        <w:spacing w:after="80"/>
        <w:jc w:val="both"/>
        <w:rPr>
          <w:rFonts w:ascii="Times New Roman" w:hAnsi="Times New Roman" w:cs="Times New Roman"/>
          <w:b/>
          <w:sz w:val="28"/>
          <w:szCs w:val="20"/>
        </w:rPr>
      </w:pPr>
    </w:p>
    <w:p w:rsidR="00BD5B9E">
      <w:pPr>
        <w:pStyle w:val="Heading4"/>
        <w:rPr>
          <w:rFonts w:ascii="Times New Roman" w:hAnsi="Times New Roman" w:cs="Times New Roman"/>
          <w:sz w:val="28"/>
        </w:rPr>
      </w:pPr>
      <w:r>
        <w:rPr>
          <w:rFonts w:ascii="Times New Roman" w:hAnsi="Times New Roman" w:cs="Times New Roman"/>
          <w:sz w:val="28"/>
        </w:rPr>
        <w:t>Osobitná časť</w:t>
      </w:r>
    </w:p>
    <w:p w:rsidR="00BD5B9E">
      <w:pPr>
        <w:spacing w:after="80"/>
        <w:jc w:val="both"/>
        <w:rPr>
          <w:rFonts w:ascii="Times New Roman" w:hAnsi="Times New Roman" w:cs="Times New Roman"/>
          <w:b/>
          <w:sz w:val="28"/>
          <w:szCs w:val="20"/>
        </w:rPr>
      </w:pPr>
    </w:p>
    <w:p w:rsidR="00BD5B9E">
      <w:pPr>
        <w:pStyle w:val="Heading4"/>
        <w:rPr>
          <w:rFonts w:ascii="Times New Roman" w:hAnsi="Times New Roman" w:cs="Times New Roman"/>
          <w:sz w:val="28"/>
        </w:rPr>
      </w:pPr>
      <w:r>
        <w:rPr>
          <w:rFonts w:ascii="Times New Roman" w:hAnsi="Times New Roman" w:cs="Times New Roman"/>
          <w:sz w:val="28"/>
        </w:rPr>
        <w:t>K ustanoveniu § 1</w:t>
      </w:r>
    </w:p>
    <w:p w:rsidR="00BD5B9E">
      <w:pPr>
        <w:spacing w:after="80"/>
        <w:jc w:val="both"/>
        <w:rPr>
          <w:rFonts w:ascii="Times New Roman" w:hAnsi="Times New Roman" w:cs="Times New Roman"/>
          <w:b/>
          <w:sz w:val="28"/>
          <w:szCs w:val="20"/>
        </w:rPr>
      </w:pPr>
    </w:p>
    <w:p w:rsidR="00BD5B9E">
      <w:pPr>
        <w:spacing w:after="80"/>
        <w:jc w:val="both"/>
        <w:rPr>
          <w:rFonts w:ascii="Times New Roman" w:hAnsi="Times New Roman" w:cs="Times New Roman"/>
          <w:sz w:val="28"/>
          <w:szCs w:val="20"/>
        </w:rPr>
      </w:pPr>
      <w:r>
        <w:rPr>
          <w:rFonts w:ascii="Times New Roman" w:hAnsi="Times New Roman" w:cs="Times New Roman"/>
          <w:sz w:val="28"/>
        </w:rPr>
        <w:tab/>
        <w:t>Účelom zákona je upraviť osobitný spôsob odnímania majetku osobám, ktoré nie sú schopné hodnoverným spôsobom preukázať legálny pôvod a spôsob nadobudnutia svojich majetkových prír</w:t>
      </w:r>
      <w:r>
        <w:rPr>
          <w:rFonts w:ascii="Times New Roman" w:hAnsi="Times New Roman" w:cs="Times New Roman"/>
          <w:sz w:val="28"/>
        </w:rPr>
        <w:t>astkov.</w:t>
      </w:r>
    </w:p>
    <w:p w:rsidR="00BD5B9E">
      <w:pPr>
        <w:spacing w:after="80"/>
        <w:jc w:val="both"/>
        <w:rPr>
          <w:rFonts w:ascii="Times New Roman" w:hAnsi="Times New Roman" w:cs="Times New Roman"/>
          <w:sz w:val="28"/>
        </w:rPr>
      </w:pPr>
      <w:r>
        <w:rPr>
          <w:rFonts w:ascii="Times New Roman" w:hAnsi="Times New Roman" w:cs="Times New Roman"/>
          <w:sz w:val="28"/>
        </w:rPr>
        <w:tab/>
        <w:t>Napriek tomu, že zákon má byť aplikovateľný na ktorúkoľvek osobu (napríklad na dílera s drogami a pod.), ktorá nevie preukázať pôvod svojho majetku, navrhovatelia výslovne zdôrazňujú jeho aplikáciu na ústavných činiteľov, vyšších štátnych funkcion</w:t>
      </w:r>
      <w:r>
        <w:rPr>
          <w:rFonts w:ascii="Times New Roman" w:hAnsi="Times New Roman" w:cs="Times New Roman"/>
          <w:sz w:val="28"/>
        </w:rPr>
        <w:t>árov  a iné osoby, ktoré prijímali v období od 1. januára 1990 dôležité hospodárske alebo finančné rozhodnutia. Ide súčasne o obdobie, po ktoré môže siahať spätná účinnosť ústavného zákona. Osobitné zvýraznenie okruhu osôb je odôvodnené tým, že išlo najmä o obdobie po 1. januári 1990, kedy boli prijímané vážne rozhodnutia v privatizácii, či vo verejných súťažiach a pod. a kedy existovali najväčšie možnosti na nezákonné obohatenie sa a kedy aj došlo k najväčším rozkrádaniam v historii Slovenska.  Stanovenie tzv. rozhodného obdobia je dôležité aj v záujme právnej istoty.</w:t>
      </w:r>
    </w:p>
    <w:p w:rsidR="00BD5B9E">
      <w:pPr>
        <w:spacing w:after="80"/>
        <w:jc w:val="both"/>
        <w:rPr>
          <w:rFonts w:ascii="Times New Roman" w:hAnsi="Times New Roman" w:cs="Times New Roman"/>
          <w:sz w:val="28"/>
        </w:rPr>
      </w:pPr>
      <w:r>
        <w:rPr>
          <w:rFonts w:ascii="Times New Roman" w:hAnsi="Times New Roman" w:cs="Times New Roman"/>
          <w:sz w:val="28"/>
        </w:rPr>
        <w:tab/>
        <w:t xml:space="preserve">Návrh  zákona súčasne hovorí o minimálnej hodnote nepreukázaného majetku – tisícnásobok minimálnej mzdy – ktorá musí byť naplnená, aby mohlo nastať konanie podľa tohto zákona. Toto ustanovenie má vylúčiť prípady zneužívania zákona a obmedziť jeho aplikáciu predovšetkým na vážne prípady obohatenia sa v rozpore s právom a etikou.  </w:t>
      </w:r>
    </w:p>
    <w:p w:rsidR="00BD5B9E">
      <w:pPr>
        <w:spacing w:after="80"/>
        <w:jc w:val="both"/>
        <w:rPr>
          <w:rFonts w:ascii="Times New Roman" w:hAnsi="Times New Roman" w:cs="Times New Roman"/>
          <w:sz w:val="28"/>
        </w:rPr>
      </w:pPr>
    </w:p>
    <w:p w:rsidR="00BD5B9E">
      <w:pPr>
        <w:pStyle w:val="Heading4"/>
        <w:rPr>
          <w:rFonts w:ascii="Times New Roman" w:hAnsi="Times New Roman" w:cs="Times New Roman"/>
          <w:sz w:val="28"/>
          <w:szCs w:val="24"/>
        </w:rPr>
      </w:pPr>
      <w:r>
        <w:rPr>
          <w:rFonts w:ascii="Times New Roman" w:hAnsi="Times New Roman" w:cs="Times New Roman"/>
          <w:sz w:val="28"/>
          <w:szCs w:val="24"/>
        </w:rPr>
        <w:t>K ustanoveniu § 2</w:t>
      </w:r>
    </w:p>
    <w:p w:rsidR="00BD5B9E">
      <w:pPr>
        <w:spacing w:after="80"/>
        <w:jc w:val="both"/>
        <w:rPr>
          <w:rFonts w:ascii="Times New Roman" w:hAnsi="Times New Roman" w:cs="Times New Roman"/>
          <w:sz w:val="28"/>
        </w:rPr>
      </w:pPr>
    </w:p>
    <w:p w:rsidR="00BD5B9E">
      <w:pPr>
        <w:pStyle w:val="BodyText3"/>
        <w:rPr>
          <w:rFonts w:ascii="Times New Roman" w:hAnsi="Times New Roman" w:cs="Times New Roman"/>
          <w:sz w:val="28"/>
        </w:rPr>
      </w:pPr>
      <w:r>
        <w:rPr>
          <w:rFonts w:ascii="Times New Roman" w:hAnsi="Times New Roman" w:cs="Times New Roman"/>
          <w:sz w:val="28"/>
        </w:rPr>
        <w:tab/>
        <w:t xml:space="preserve">Toto ustanovenie upravuje vzťah návrhu zákona k trestnoprávnej úprave a k zákonu o sudcoch a prísediacich a zákonu o prokurátoroch a právnych čakateľoch prokuratúry. </w:t>
      </w:r>
    </w:p>
    <w:p w:rsidR="00BD5B9E">
      <w:pPr>
        <w:pStyle w:val="BodyText"/>
        <w:rPr>
          <w:rFonts w:ascii="Times New Roman" w:hAnsi="Times New Roman" w:cs="Times New Roman"/>
        </w:rPr>
      </w:pPr>
      <w:r>
        <w:rPr>
          <w:rFonts w:ascii="Times New Roman" w:hAnsi="Times New Roman" w:cs="Times New Roman"/>
        </w:rPr>
        <w:tab/>
        <w:t xml:space="preserve">Návrh zákona súčasne ustanovuje, že iný postih osoby za nepreukázanie pôvodu majetkového prírastku (napríklad strata funkcie) nevylučuje postup podľa  zákona o preukazovaní pôvodu majetku. </w:t>
      </w:r>
    </w:p>
    <w:p w:rsidR="00BD5B9E">
      <w:pPr>
        <w:pStyle w:val="BodyText"/>
        <w:rPr>
          <w:rFonts w:ascii="Times New Roman" w:hAnsi="Times New Roman" w:cs="Times New Roman"/>
        </w:rPr>
      </w:pPr>
    </w:p>
    <w:p w:rsidR="00BD5B9E">
      <w:pPr>
        <w:pStyle w:val="BodyText"/>
        <w:ind w:firstLine="708"/>
        <w:rPr>
          <w:rFonts w:ascii="Times New Roman" w:hAnsi="Times New Roman" w:cs="Times New Roman"/>
          <w:szCs w:val="20"/>
        </w:rPr>
      </w:pPr>
      <w:r>
        <w:rPr>
          <w:rFonts w:ascii="Times New Roman" w:hAnsi="Times New Roman" w:cs="Times New Roman"/>
        </w:rPr>
        <w:t xml:space="preserve">Možnosť odňať majetok v zmysle tohto zákona nie je ani rozhodovaním o vine dotknutej osoby ani trestom v zmysle trestného práva. Aj preto je navrhovaná právna úprava v súlade s ustanoveniami Ústavy Slovenskej republiky a osobitne Európskeho dohovoru o ľudských právach. Orgány Európskeho dohovoru posúdili obdobné civilné právne úpravy za zlučiteľné s požiadavkami ochrany vlastníckeho práva obsiahnutými v článku 1 Protokolu č. 1 k Dohovoru, zásady prezumpcie neviny a zákazu retroaktivity (pozri najmä rozhodnutie Európskej komisie pre ľudské práva z 15. apríla 1991 o prijateľnosti sťažnosti vo veci M. v Taliansko). Rozhodnutia civilných súdov o odnímaní majetku, u ktorého nevie dotknutá osoba preukázať poctivý pôvod, sa orgánmi Dohovoru považujú za dovolenú „kontrolu používania majetku v súlade so všeobecným záujmom“ </w:t>
      </w:r>
      <w:r>
        <w:rPr>
          <w:rFonts w:ascii="Times New Roman" w:hAnsi="Times New Roman" w:cs="Times New Roman"/>
          <w:i/>
          <w:iCs/>
        </w:rPr>
        <w:t>(„to control the use of property in accordance with the general interest“</w:t>
      </w:r>
      <w:r>
        <w:rPr>
          <w:rFonts w:ascii="Times New Roman" w:hAnsi="Times New Roman" w:cs="Times New Roman"/>
        </w:rPr>
        <w:t>). Vzhľadom na netrestný charakter právna úprava neporušuje ani zásadu prezumpcie neviny ani zákaz retroaktivity, ktorá je v civilnom práve možná a nie je výslovne zakázaná. Obdobnú právnu úpravu pripravujú aj vo Veľkej Británii.</w:t>
      </w:r>
    </w:p>
    <w:p w:rsidR="00BD5B9E">
      <w:pPr>
        <w:spacing w:after="80"/>
        <w:jc w:val="both"/>
        <w:rPr>
          <w:rFonts w:ascii="Times New Roman" w:hAnsi="Times New Roman" w:cs="Times New Roman"/>
          <w:sz w:val="28"/>
          <w:szCs w:val="20"/>
        </w:rPr>
      </w:pPr>
    </w:p>
    <w:p w:rsidR="00BD5B9E">
      <w:pPr>
        <w:pStyle w:val="Heading4"/>
        <w:rPr>
          <w:rFonts w:ascii="Times New Roman" w:hAnsi="Times New Roman" w:cs="Times New Roman"/>
          <w:sz w:val="28"/>
        </w:rPr>
      </w:pPr>
      <w:r>
        <w:rPr>
          <w:rFonts w:ascii="Times New Roman" w:hAnsi="Times New Roman" w:cs="Times New Roman"/>
          <w:sz w:val="28"/>
        </w:rPr>
        <w:t>K ustanoveniu §  3</w:t>
      </w:r>
    </w:p>
    <w:p w:rsidR="00BD5B9E">
      <w:pPr>
        <w:spacing w:after="80"/>
        <w:jc w:val="center"/>
        <w:rPr>
          <w:rFonts w:ascii="Times New Roman" w:hAnsi="Times New Roman" w:cs="Times New Roman"/>
          <w:sz w:val="28"/>
          <w:szCs w:val="20"/>
        </w:rPr>
      </w:pPr>
    </w:p>
    <w:p w:rsidR="00BD5B9E">
      <w:pPr>
        <w:spacing w:after="80"/>
        <w:jc w:val="both"/>
        <w:rPr>
          <w:rFonts w:ascii="Times New Roman" w:hAnsi="Times New Roman" w:cs="Times New Roman"/>
          <w:sz w:val="28"/>
          <w:szCs w:val="20"/>
        </w:rPr>
      </w:pPr>
      <w:r>
        <w:rPr>
          <w:rFonts w:ascii="Times New Roman" w:hAnsi="Times New Roman" w:cs="Times New Roman"/>
          <w:sz w:val="28"/>
        </w:rPr>
        <w:tab/>
        <w:t>Generálny prokurátor na základe informácií získaných z rôznych zdrojov (napríklad z trestného konania, z písomných oznámení občanov, z činnosti iných orgánov – daňových, colných, finančných a pod. – ale aj z vlastnej činnosti prokuratúry) bude mať možnosť písomne vyzvať dotknutú osobu, aby vysvetlila pôvod svojho majetku. Zákon určuje prísnu krátku desaťdňovú lehotu od doručenia písomnej výzvy, v ktorej sa dotknutá osoba písomne alebo osobne vyjadrí k pôvodu a spôsobu nadobudnutia označeného majetku. Vychádza sa z toho, že majetkové prírastky nadobudnuté poctivo a v súlade s dobrými mravmi preukáže dotknutá osoba bez akýchkoľvek ťažkostí a nie je potrebné uvažovať o predĺžení určenej lehoty. Poskytnutie dlhšej lehoty by bezdôvodne vytváralo výhody osobám, u ktorých je pravdepodobnosť postupu podľa tohto zákona.</w:t>
      </w:r>
    </w:p>
    <w:p w:rsidR="00BD5B9E">
      <w:pPr>
        <w:pStyle w:val="BodyText"/>
        <w:spacing w:after="80"/>
        <w:rPr>
          <w:rFonts w:ascii="Times New Roman" w:hAnsi="Times New Roman" w:cs="Times New Roman"/>
          <w:szCs w:val="20"/>
        </w:rPr>
      </w:pPr>
      <w:r>
        <w:rPr>
          <w:rFonts w:ascii="Times New Roman" w:hAnsi="Times New Roman" w:cs="Times New Roman"/>
        </w:rPr>
        <w:tab/>
        <w:t>Podľa ods. 2 nebude na vysvetlenie pôvodu majetkových prírastkov postačovať všeobecné vyhlásenie o poctivosti zdrojov (napr. že majetok dotknutá osoba získala dlhoročnou poctivou prácou, výhrou v lotérii bez predloženia príslušnej dokumentácie, či predloženie čestných vyhlásení o rôznych pôžičkách a pod.). Zákon výslovne na prvom mieste uvádza listiny (zmluvy o pôžičkách včítane spôsobu ručenia a splácania pôžičky, rozhodnutia o dedičstve a pod.) ako základný dôkazový materiál preukazujúci pôvod majetku. V tejto súvislosti možno paralelne poukázať na ustanovenie § 28 zákona č. 154/2001 Z. z. o prokurátoroch a právnych čakateľoch prokuratúry. Do úvahy samozrejme prichádza aj iný dôkaz.</w:t>
      </w:r>
    </w:p>
    <w:p w:rsidR="00BD5B9E">
      <w:pPr>
        <w:spacing w:after="80"/>
        <w:jc w:val="both"/>
        <w:rPr>
          <w:rFonts w:ascii="Times New Roman" w:hAnsi="Times New Roman" w:cs="Times New Roman"/>
          <w:sz w:val="28"/>
          <w:szCs w:val="20"/>
        </w:rPr>
      </w:pPr>
    </w:p>
    <w:p w:rsidR="00BD5B9E">
      <w:pPr>
        <w:pStyle w:val="Heading4"/>
        <w:rPr>
          <w:rFonts w:ascii="Times New Roman" w:hAnsi="Times New Roman" w:cs="Times New Roman"/>
          <w:sz w:val="28"/>
        </w:rPr>
      </w:pPr>
      <w:r>
        <w:rPr>
          <w:rFonts w:ascii="Times New Roman" w:hAnsi="Times New Roman" w:cs="Times New Roman"/>
          <w:sz w:val="28"/>
        </w:rPr>
        <w:t>K ustanoveniu § 4</w:t>
      </w:r>
    </w:p>
    <w:p w:rsidR="00BD5B9E">
      <w:pPr>
        <w:spacing w:after="80"/>
        <w:jc w:val="both"/>
        <w:rPr>
          <w:rFonts w:ascii="Times New Roman" w:hAnsi="Times New Roman" w:cs="Times New Roman"/>
          <w:b/>
          <w:sz w:val="28"/>
          <w:szCs w:val="20"/>
        </w:rPr>
      </w:pPr>
    </w:p>
    <w:p w:rsidR="00BD5B9E">
      <w:pPr>
        <w:spacing w:after="80"/>
        <w:jc w:val="both"/>
        <w:rPr>
          <w:rFonts w:ascii="Times New Roman" w:hAnsi="Times New Roman" w:cs="Times New Roman"/>
          <w:sz w:val="28"/>
          <w:szCs w:val="20"/>
        </w:rPr>
      </w:pPr>
      <w:r>
        <w:rPr>
          <w:rFonts w:ascii="Times New Roman" w:hAnsi="Times New Roman" w:cs="Times New Roman"/>
          <w:b/>
          <w:sz w:val="28"/>
        </w:rPr>
        <w:tab/>
      </w:r>
      <w:r>
        <w:rPr>
          <w:rFonts w:ascii="Times New Roman" w:hAnsi="Times New Roman" w:cs="Times New Roman"/>
          <w:sz w:val="28"/>
        </w:rPr>
        <w:t xml:space="preserve">K splneniu lehoty uvedenej v ods. 1 má motivovať práve možnosť generálneho prokurátora podať návrh na začatie konania na civilnom súde. Samotné nedodržanie lehoty bez uvedenia ospravedlniteľných dôvodov nebude samozrejme dôvodom na podanie návrhu na začatie konania na súde. Takto bude môcť generálny prokurátor konať len vtedy, ak pôjde o podozrivý majetok minimálne v hodnote rovnajúcej sa tisícnásobku minimálnej mzdy a naďalej budú pretrvávať dôvodné pochybnosti o zákonnosti a čestnosti nadobudnutia takéhoto majetku. </w:t>
      </w:r>
    </w:p>
    <w:p w:rsidR="00BD5B9E">
      <w:pPr>
        <w:spacing w:after="80"/>
        <w:jc w:val="both"/>
        <w:rPr>
          <w:rFonts w:ascii="Times New Roman" w:hAnsi="Times New Roman" w:cs="Times New Roman"/>
          <w:sz w:val="28"/>
          <w:szCs w:val="20"/>
        </w:rPr>
      </w:pPr>
      <w:r>
        <w:rPr>
          <w:rFonts w:ascii="Times New Roman" w:hAnsi="Times New Roman" w:cs="Times New Roman"/>
          <w:sz w:val="28"/>
        </w:rPr>
        <w:tab/>
        <w:t xml:space="preserve">V ods. 2 zákon prináša mechanizmus, ktorý má zabrániť, aby dotknutá osoba neuskutočňovala prevody majetku s cieľom obísť účel tohto zákona. Dotknutá osoba nebude môcť takto v období od doručenia výzvy na vysvetlenie poctivého pôvodu majetkových prírastkov až do doručenia rozhodnutia o nariadení predbežného opatrenia podľa ods. 6 tohto ustanovenia s majetkom označeným generálnym prokurátorom nakladať. Ak tak urobí, právne úkony spojené s prevodom majetku budú neplatné v zmysle ustanovenia § 39 Občianskeho zákonníka. </w:t>
      </w:r>
    </w:p>
    <w:p w:rsidR="00BD5B9E">
      <w:pPr>
        <w:spacing w:after="80"/>
        <w:jc w:val="both"/>
        <w:rPr>
          <w:rFonts w:ascii="Times New Roman" w:hAnsi="Times New Roman" w:cs="Times New Roman"/>
          <w:sz w:val="28"/>
          <w:szCs w:val="20"/>
        </w:rPr>
      </w:pPr>
      <w:r>
        <w:rPr>
          <w:rFonts w:ascii="Times New Roman" w:hAnsi="Times New Roman" w:cs="Times New Roman"/>
          <w:sz w:val="28"/>
        </w:rPr>
        <w:tab/>
        <w:t xml:space="preserve">Aby právna neistota netrvala príliš dlho, zákon súčasne ustanovuje, že ak generálny prokurátor nepodá návrh na začatie konania na súd do troch mesiacov po doručení výzvy na vysvetlenie pôvodu označeného majetku dotknutej osobe, právne úkony spojené s prevodom označeného majetku a urobené po márnom uplynutí tejto trojmesačnej lehoty nebudú postihnuté neplatnosťou v zmysle Občianskeho zákonníka.  </w:t>
      </w:r>
    </w:p>
    <w:p w:rsidR="00BD5B9E">
      <w:pPr>
        <w:spacing w:after="80"/>
        <w:jc w:val="both"/>
        <w:rPr>
          <w:rFonts w:ascii="Times New Roman" w:hAnsi="Times New Roman" w:cs="Times New Roman"/>
          <w:sz w:val="28"/>
          <w:szCs w:val="20"/>
        </w:rPr>
      </w:pPr>
      <w:r>
        <w:rPr>
          <w:rFonts w:ascii="Times New Roman" w:hAnsi="Times New Roman" w:cs="Times New Roman"/>
          <w:sz w:val="28"/>
        </w:rPr>
        <w:tab/>
        <w:t>Ods. 3 upravuje súčinnosť iných pri získavaní informácií potrebných na postup podľa tohto zákona a ods. 4 ukladá dotknutej osobe povinnosť strpieť úkony potrebné na presné označenie majetku, ktorého pôvod sa má preukázať. Pôjde najmä o úkony, ktoré pri výkone rozhodnutí predpokladá zákon NR SR č. 233/1995 Z. z. o súdnych exekútoroch a exekučnej činnosti (Exekučný poriadok) v znení neskorších predpisov (napr. exekúcia predajom hnuteľných vecí, exekúcia predajom cenných papierov, exekúcia predajom nehnuteľnosti a pod.).</w:t>
      </w:r>
    </w:p>
    <w:p w:rsidR="00BD5B9E">
      <w:pPr>
        <w:spacing w:after="80"/>
        <w:jc w:val="both"/>
        <w:rPr>
          <w:rFonts w:ascii="Times New Roman" w:hAnsi="Times New Roman" w:cs="Times New Roman"/>
          <w:sz w:val="28"/>
          <w:szCs w:val="20"/>
        </w:rPr>
      </w:pPr>
      <w:r>
        <w:rPr>
          <w:rFonts w:ascii="Times New Roman" w:hAnsi="Times New Roman" w:cs="Times New Roman"/>
          <w:sz w:val="28"/>
        </w:rPr>
        <w:tab/>
        <w:t>Vzhľadom na osobitosť a závažnosť postupu podľa tohto zákona sa navrhuje, aby ako súd prvého stupňa konal krajský súd s tým, že na konanie, pokiaľ tento zákon neustanovuje inak, sa primerane použijú ustanovenia Občianskeho súdneho poriadku (ods. 9). Proti rozhodnutiu súdu prvého stupňa bude preto možné podať napríklad odvolanie, o ktorom bude rozhodovať Najvyšší súd SR, čo je tiež garanciou pre žalovaného a pod.</w:t>
      </w:r>
    </w:p>
    <w:p w:rsidR="00BD5B9E">
      <w:pPr>
        <w:pStyle w:val="BodyText"/>
        <w:spacing w:after="80"/>
        <w:rPr>
          <w:rFonts w:ascii="Times New Roman" w:hAnsi="Times New Roman" w:cs="Times New Roman"/>
          <w:szCs w:val="20"/>
        </w:rPr>
      </w:pPr>
      <w:r>
        <w:rPr>
          <w:rFonts w:ascii="Times New Roman" w:hAnsi="Times New Roman" w:cs="Times New Roman"/>
        </w:rPr>
        <w:tab/>
        <w:t>Osobitosť postupu a potreba zabrániť, aby dotknutá osoba nemohla obísť účel zákona, vyžadujú, aby zákon okrem mechanizmu predvídaného v ods. 2 uviedol do praxe aj mechanizmus zakazujúci dotknutej osobe nakladať s označeným majetkom po podaní návrhu na začatie konania. Takto zákon vytvára podmienky na to, aby dotknutá osoba bola od okamihu doručenia výzvy na podanie vysvetlenia  pôvodu majetkových prírastkov až do právoplatného rozhodnutia súdu obmedzená pri nakladaní s označeným majetkom. V ods. 6 zákon preto ukladá súdu povinnosť, aby do 48 hodín po doručení návrhu na začatie konania uložil dotknutej osobe, aby s majetkom označeným v návrhu na začatie konania nenakladala. Sankciou v prípade porušenia tohto zákazu je neplatnosť právneho úkonu podľa § 39 Občianskeho zákonníka. Toto ustanovenie nevylučuje vydanie predbežného opatrenia pred začatím samotného súdneho konania o návrhu, ktorý predloží generálny prokurátor. V takomto prípade sa ale použijú ustanovenia Občianskeho súdneho poriadku garantujúce súdu diskrečnú právomoc pri rozhodovaní o návrhu na vydanie predbežného opatrenia, ktorý by ešte pred začatím konania mohol podať generálny prokurátor. Ustanovenie ods. 6 je mimoriadne dôležité pre účinnosť postupu podľa tohto zákona.</w:t>
      </w:r>
    </w:p>
    <w:p w:rsidR="00BD5B9E">
      <w:pPr>
        <w:spacing w:after="80"/>
        <w:jc w:val="both"/>
        <w:rPr>
          <w:rFonts w:ascii="Times New Roman" w:hAnsi="Times New Roman" w:cs="Times New Roman"/>
          <w:sz w:val="28"/>
        </w:rPr>
      </w:pPr>
      <w:r>
        <w:rPr>
          <w:rFonts w:ascii="Times New Roman" w:hAnsi="Times New Roman" w:cs="Times New Roman"/>
          <w:sz w:val="28"/>
        </w:rPr>
        <w:tab/>
        <w:t>Ods. 7 a 8 upravujú lehoty na vyjadrenie sa dotknutej osoby po podaní návrhu na začatie konania a na rozhodnutie súdu o návrhu.</w:t>
      </w:r>
    </w:p>
    <w:p w:rsidR="00BD5B9E">
      <w:pPr>
        <w:spacing w:after="80"/>
        <w:jc w:val="both"/>
        <w:rPr>
          <w:rFonts w:ascii="Times New Roman" w:hAnsi="Times New Roman" w:cs="Times New Roman"/>
          <w:sz w:val="28"/>
        </w:rPr>
      </w:pPr>
    </w:p>
    <w:p w:rsidR="00BD5B9E">
      <w:pPr>
        <w:spacing w:after="80"/>
        <w:jc w:val="both"/>
        <w:rPr>
          <w:rFonts w:ascii="Times New Roman" w:hAnsi="Times New Roman" w:cs="Times New Roman"/>
          <w:sz w:val="28"/>
        </w:rPr>
      </w:pPr>
    </w:p>
    <w:p w:rsidR="00BD5B9E">
      <w:pPr>
        <w:spacing w:after="80"/>
        <w:jc w:val="both"/>
        <w:rPr>
          <w:rFonts w:ascii="Times New Roman" w:hAnsi="Times New Roman" w:cs="Times New Roman"/>
          <w:sz w:val="28"/>
          <w:szCs w:val="20"/>
        </w:rPr>
      </w:pPr>
    </w:p>
    <w:p w:rsidR="00BD5B9E">
      <w:pPr>
        <w:pStyle w:val="Heading5"/>
        <w:rPr>
          <w:rFonts w:ascii="Times New Roman" w:hAnsi="Times New Roman" w:cs="Times New Roman"/>
          <w:i w:val="0"/>
          <w:iCs w:val="0"/>
          <w:sz w:val="28"/>
        </w:rPr>
      </w:pPr>
      <w:r>
        <w:rPr>
          <w:rFonts w:ascii="Times New Roman" w:hAnsi="Times New Roman" w:cs="Times New Roman"/>
          <w:i w:val="0"/>
          <w:iCs w:val="0"/>
          <w:sz w:val="28"/>
        </w:rPr>
        <w:t>K ustanoveniu § 5</w:t>
      </w:r>
    </w:p>
    <w:p w:rsidR="00BD5B9E">
      <w:pPr>
        <w:spacing w:after="80"/>
        <w:jc w:val="both"/>
        <w:rPr>
          <w:rFonts w:ascii="Times New Roman" w:hAnsi="Times New Roman" w:cs="Times New Roman"/>
          <w:b/>
          <w:sz w:val="28"/>
          <w:szCs w:val="20"/>
        </w:rPr>
      </w:pPr>
    </w:p>
    <w:p w:rsidR="00BD5B9E">
      <w:pPr>
        <w:spacing w:after="80"/>
        <w:jc w:val="both"/>
        <w:rPr>
          <w:rFonts w:ascii="Times New Roman" w:hAnsi="Times New Roman" w:cs="Times New Roman"/>
          <w:sz w:val="28"/>
          <w:szCs w:val="20"/>
        </w:rPr>
      </w:pPr>
      <w:r>
        <w:rPr>
          <w:rFonts w:ascii="Times New Roman" w:hAnsi="Times New Roman" w:cs="Times New Roman"/>
          <w:b/>
          <w:sz w:val="28"/>
        </w:rPr>
        <w:tab/>
      </w:r>
      <w:r>
        <w:rPr>
          <w:rFonts w:ascii="Times New Roman" w:hAnsi="Times New Roman" w:cs="Times New Roman"/>
          <w:sz w:val="28"/>
        </w:rPr>
        <w:t xml:space="preserve">Ods. 1 a 2 definujú, čoho sa generálny prokurátor v konaní na súde podľa tohto zákona môže domáhať a čo je, okrem všeobecných náležitostí, osobitnou náležitosťou návrhu na začatie konania. </w:t>
      </w:r>
    </w:p>
    <w:p w:rsidR="00BD5B9E">
      <w:pPr>
        <w:spacing w:after="80"/>
        <w:jc w:val="both"/>
        <w:rPr>
          <w:rFonts w:ascii="Times New Roman" w:hAnsi="Times New Roman" w:cs="Times New Roman"/>
          <w:sz w:val="28"/>
          <w:szCs w:val="20"/>
        </w:rPr>
      </w:pPr>
      <w:r>
        <w:rPr>
          <w:rFonts w:ascii="Times New Roman" w:hAnsi="Times New Roman" w:cs="Times New Roman"/>
          <w:sz w:val="28"/>
        </w:rPr>
        <w:tab/>
        <w:t>Predpokladá sa rozdelenie dôkazného bremena medzi generálneho prokurátora a dotknutú osobu. Generálny prokurátor musí označiť majetok, u ktorého dotknutá osoba nebola v štádiu pred súdnym konaním spôsobilá uspokojivo vysvetliť  pôvod a spôsob nadobudnutia a uviesť skutočnosti potvrdzujúce existenciu dôvodných pochybností o zákonnosti a čestnosti nadobudnutého majetku. Musí ísť minimálne o majetok v hodnote tisícnásobku minimálnej mzdy.  Žalovaný musí na súde poskytnutím dôkazov vyvrátiť dôvodné pochybnosti. Ak žalovaný túto mieru dôkazného bremena unesie, súd návrh zamietne. V opačnom prípade súd rozhodne o pripadnutí majetku alebo jeho časti štátu.</w:t>
      </w:r>
    </w:p>
    <w:p w:rsidR="00BD5B9E">
      <w:pPr>
        <w:pStyle w:val="BodyTextIndent2"/>
        <w:rPr>
          <w:rFonts w:ascii="Times New Roman" w:hAnsi="Times New Roman" w:cs="Times New Roman"/>
          <w:i w:val="0"/>
          <w:iCs w:val="0"/>
          <w:sz w:val="28"/>
        </w:rPr>
      </w:pPr>
      <w:r>
        <w:rPr>
          <w:rFonts w:ascii="Times New Roman" w:hAnsi="Times New Roman" w:cs="Times New Roman"/>
          <w:i w:val="0"/>
          <w:iCs w:val="0"/>
          <w:sz w:val="28"/>
        </w:rPr>
        <w:t xml:space="preserve">Ods. 6 tohto článku obsahuje ďalšiu dôležitú garanciu pre dotknutú osobu. Štát v prípade úspechu dotknutej osoby jej bude musieť nahradiť škodu, ktorá jej vznikla v dôsledku aplikácie tohto zákona. Aj toto ustanovenie je zárukou, že generálny prokurátor pristúpi k podaniu návrhu na začatie konania naozaj len v odôvodnených prípadoch. </w:t>
      </w:r>
    </w:p>
    <w:p w:rsidR="00BD5B9E">
      <w:pPr>
        <w:spacing w:after="80"/>
        <w:jc w:val="both"/>
        <w:rPr>
          <w:rFonts w:ascii="Times New Roman" w:hAnsi="Times New Roman" w:cs="Times New Roman"/>
          <w:sz w:val="28"/>
          <w:szCs w:val="20"/>
        </w:rPr>
      </w:pPr>
    </w:p>
    <w:p w:rsidR="00BD5B9E">
      <w:pPr>
        <w:pStyle w:val="Heading5"/>
        <w:rPr>
          <w:rFonts w:ascii="Times New Roman" w:hAnsi="Times New Roman" w:cs="Times New Roman"/>
          <w:i w:val="0"/>
          <w:iCs w:val="0"/>
          <w:sz w:val="28"/>
        </w:rPr>
      </w:pPr>
      <w:r>
        <w:rPr>
          <w:rFonts w:ascii="Times New Roman" w:hAnsi="Times New Roman" w:cs="Times New Roman"/>
          <w:i w:val="0"/>
          <w:iCs w:val="0"/>
          <w:sz w:val="28"/>
        </w:rPr>
        <w:t>K ustanoveniu § 6</w:t>
      </w:r>
    </w:p>
    <w:p w:rsidR="00BD5B9E">
      <w:pPr>
        <w:spacing w:after="80"/>
        <w:jc w:val="both"/>
        <w:rPr>
          <w:rFonts w:ascii="Times New Roman" w:hAnsi="Times New Roman" w:cs="Times New Roman"/>
          <w:b/>
          <w:sz w:val="28"/>
          <w:szCs w:val="20"/>
        </w:rPr>
      </w:pPr>
    </w:p>
    <w:p w:rsidR="00BD5B9E">
      <w:pPr>
        <w:spacing w:after="80"/>
        <w:jc w:val="both"/>
        <w:rPr>
          <w:rFonts w:ascii="Times New Roman" w:hAnsi="Times New Roman" w:cs="Times New Roman"/>
          <w:sz w:val="28"/>
        </w:rPr>
      </w:pPr>
      <w:r>
        <w:rPr>
          <w:rFonts w:ascii="Times New Roman" w:hAnsi="Times New Roman" w:cs="Times New Roman"/>
          <w:sz w:val="28"/>
        </w:rPr>
        <w:tab/>
        <w:t>Pokiaľ ide o účinnosť zákona, navrhuje sa dňom vyhlásenia v Zbierke zákonov SR. Zákon nevyžaduje osobitnú legisvakačnú dobu a odkladanie jeho prijatia a nadobudnutia účinnosti by iba vytváralo ďalšie neodôvodnené príležitosti na legalizáciu majetku tými, ktorí by inak len ťažko preukazovali poctivý pôvod svojich majetkových prírastkov.</w:t>
      </w:r>
    </w:p>
    <w:p w:rsidR="00BD5B9E">
      <w:pPr>
        <w:spacing w:after="80"/>
        <w:jc w:val="both"/>
        <w:rPr>
          <w:rFonts w:ascii="Times New Roman" w:hAnsi="Times New Roman" w:cs="Times New Roman"/>
          <w:sz w:val="28"/>
        </w:rPr>
      </w:pPr>
    </w:p>
    <w:p w:rsidR="00BD5B9E">
      <w:pPr>
        <w:spacing w:after="80"/>
        <w:jc w:val="both"/>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p>
    <w:p w:rsidR="00BD5B9E">
      <w:pPr>
        <w:pStyle w:val="BodyText2"/>
        <w:rPr>
          <w:rFonts w:ascii="Times New Roman" w:hAnsi="Times New Roman" w:cs="Times New Roman"/>
          <w:sz w:val="28"/>
        </w:rPr>
      </w:pPr>
      <w:r>
        <w:rPr>
          <w:rFonts w:ascii="Times New Roman" w:hAnsi="Times New Roman" w:cs="Times New Roman"/>
          <w:sz w:val="28"/>
        </w:rPr>
        <w:t xml:space="preserve">DOLOŽKA ZLUČITEĽNOSTI </w:t>
      </w:r>
    </w:p>
    <w:p w:rsidR="00BD5B9E">
      <w:pPr>
        <w:pStyle w:val="BodyText2"/>
        <w:rPr>
          <w:rFonts w:ascii="Times New Roman" w:hAnsi="Times New Roman" w:cs="Times New Roman"/>
          <w:sz w:val="28"/>
          <w:szCs w:val="20"/>
          <w:lang w:val="sk-SK" w:eastAsia="sk-SK"/>
        </w:rPr>
      </w:pPr>
      <w:r>
        <w:rPr>
          <w:rFonts w:ascii="Times New Roman" w:hAnsi="Times New Roman" w:cs="Times New Roman"/>
          <w:sz w:val="28"/>
        </w:rPr>
        <w:t>NÁVRHU  ZÁKONA S PRÁVOM EURÓPSKEJ ÚNIE</w:t>
      </w:r>
    </w:p>
    <w:p w:rsidR="00BD5B9E">
      <w:pPr>
        <w:spacing w:after="80"/>
        <w:jc w:val="center"/>
        <w:rPr>
          <w:rFonts w:ascii="Times New Roman" w:hAnsi="Times New Roman" w:cs="Times New Roman"/>
          <w:b/>
          <w:sz w:val="28"/>
          <w:szCs w:val="20"/>
        </w:rPr>
      </w:pPr>
    </w:p>
    <w:p w:rsidR="00BD5B9E">
      <w:pPr>
        <w:spacing w:after="80"/>
        <w:jc w:val="center"/>
        <w:rPr>
          <w:rFonts w:ascii="Times New Roman" w:hAnsi="Times New Roman" w:cs="Times New Roman"/>
          <w:b/>
          <w:sz w:val="28"/>
          <w:szCs w:val="20"/>
        </w:rPr>
      </w:pPr>
    </w:p>
    <w:p w:rsidR="00BD5B9E">
      <w:pPr>
        <w:numPr>
          <w:ilvl w:val="0"/>
          <w:numId w:val="4"/>
        </w:numPr>
        <w:tabs>
          <w:tab w:val="left" w:pos="720"/>
        </w:tabs>
        <w:spacing w:after="80"/>
        <w:jc w:val="both"/>
        <w:rPr>
          <w:rFonts w:ascii="Times New Roman" w:hAnsi="Times New Roman" w:cs="Times New Roman"/>
          <w:sz w:val="28"/>
          <w:szCs w:val="20"/>
        </w:rPr>
      </w:pPr>
      <w:r>
        <w:rPr>
          <w:rFonts w:ascii="Times New Roman" w:hAnsi="Times New Roman" w:cs="Times New Roman"/>
          <w:sz w:val="28"/>
        </w:rPr>
        <w:t>Navrhovateľ zákona: skupina poslancov NR SR</w:t>
      </w:r>
    </w:p>
    <w:p w:rsidR="00BD5B9E">
      <w:pPr>
        <w:numPr>
          <w:ilvl w:val="0"/>
          <w:numId w:val="4"/>
        </w:numPr>
        <w:tabs>
          <w:tab w:val="left" w:pos="720"/>
        </w:tabs>
        <w:spacing w:after="80"/>
        <w:jc w:val="both"/>
        <w:rPr>
          <w:rFonts w:ascii="Times New Roman" w:hAnsi="Times New Roman" w:cs="Times New Roman"/>
          <w:sz w:val="28"/>
          <w:szCs w:val="20"/>
        </w:rPr>
      </w:pPr>
      <w:r>
        <w:rPr>
          <w:rFonts w:ascii="Times New Roman" w:hAnsi="Times New Roman" w:cs="Times New Roman"/>
          <w:sz w:val="28"/>
        </w:rPr>
        <w:t>Názov návrhu zákona: Návrh skupiny poslancov Národnej rady Slovenskej republiky na vydanie zákona o preukazovaní pôvodu majetku.</w:t>
      </w:r>
    </w:p>
    <w:p w:rsidR="00BD5B9E">
      <w:pPr>
        <w:numPr>
          <w:ilvl w:val="0"/>
          <w:numId w:val="4"/>
        </w:numPr>
        <w:tabs>
          <w:tab w:val="left" w:pos="720"/>
        </w:tabs>
        <w:spacing w:after="80"/>
        <w:jc w:val="both"/>
        <w:rPr>
          <w:rFonts w:ascii="Times New Roman" w:hAnsi="Times New Roman" w:cs="Times New Roman"/>
          <w:sz w:val="28"/>
          <w:szCs w:val="20"/>
        </w:rPr>
      </w:pPr>
      <w:r>
        <w:rPr>
          <w:rFonts w:ascii="Times New Roman" w:hAnsi="Times New Roman" w:cs="Times New Roman"/>
          <w:sz w:val="28"/>
        </w:rPr>
        <w:t>V práve Európskej únie je problematika návrhu zákona: Neupravená.</w:t>
      </w:r>
    </w:p>
    <w:p w:rsidR="00BD5B9E">
      <w:pPr>
        <w:numPr>
          <w:ilvl w:val="0"/>
          <w:numId w:val="4"/>
        </w:numPr>
        <w:tabs>
          <w:tab w:val="left" w:pos="720"/>
        </w:tabs>
        <w:spacing w:after="80"/>
        <w:jc w:val="both"/>
        <w:rPr>
          <w:rFonts w:ascii="Times New Roman" w:hAnsi="Times New Roman" w:cs="Times New Roman"/>
          <w:sz w:val="28"/>
          <w:szCs w:val="20"/>
        </w:rPr>
      </w:pPr>
      <w:r>
        <w:rPr>
          <w:rFonts w:ascii="Times New Roman" w:hAnsi="Times New Roman" w:cs="Times New Roman"/>
          <w:sz w:val="28"/>
        </w:rPr>
        <w:t>Návrh zákona svojou problematikou: Nepatrí medzi prioritné oblasti aproximácie práva uvedené v čl. 70 Európskej dohody o pridružení a svojou problematikou nepatrí ani medzi priority odporúčané v Bielej knihe.</w:t>
      </w:r>
    </w:p>
    <w:p w:rsidR="00BD5B9E">
      <w:pPr>
        <w:numPr>
          <w:ilvl w:val="0"/>
          <w:numId w:val="4"/>
        </w:numPr>
        <w:tabs>
          <w:tab w:val="left" w:pos="720"/>
        </w:tabs>
        <w:spacing w:after="80"/>
        <w:jc w:val="both"/>
        <w:rPr>
          <w:rFonts w:ascii="Times New Roman" w:hAnsi="Times New Roman" w:cs="Times New Roman"/>
          <w:sz w:val="28"/>
          <w:szCs w:val="20"/>
        </w:rPr>
      </w:pPr>
      <w:r>
        <w:rPr>
          <w:rFonts w:ascii="Times New Roman" w:hAnsi="Times New Roman" w:cs="Times New Roman"/>
          <w:sz w:val="28"/>
        </w:rPr>
        <w:t>Charakteristika právnych noriem Európskej únie, ktorými je upravená problematika návrhu zákona : Bezpredmetné.</w:t>
      </w:r>
    </w:p>
    <w:p w:rsidR="00BD5B9E">
      <w:pPr>
        <w:numPr>
          <w:ilvl w:val="0"/>
          <w:numId w:val="4"/>
        </w:numPr>
        <w:tabs>
          <w:tab w:val="left" w:pos="720"/>
        </w:tabs>
        <w:spacing w:after="80"/>
        <w:jc w:val="both"/>
        <w:rPr>
          <w:rFonts w:ascii="Times New Roman" w:hAnsi="Times New Roman" w:cs="Times New Roman"/>
          <w:sz w:val="28"/>
          <w:szCs w:val="20"/>
        </w:rPr>
      </w:pPr>
      <w:r>
        <w:rPr>
          <w:rFonts w:ascii="Times New Roman" w:hAnsi="Times New Roman" w:cs="Times New Roman"/>
          <w:sz w:val="28"/>
        </w:rPr>
        <w:t>Vyjadrenie stupňa kompatibility s právnou normou Európskej únie: Bezpredmetné.</w:t>
      </w:r>
    </w:p>
    <w:p w:rsidR="00BD5B9E">
      <w:pPr>
        <w:spacing w:after="80"/>
        <w:jc w:val="both"/>
        <w:rPr>
          <w:rFonts w:ascii="Times New Roman" w:hAnsi="Times New Roman" w:cs="Times New Roman"/>
          <w:sz w:val="28"/>
          <w:szCs w:val="20"/>
        </w:rPr>
      </w:pPr>
    </w:p>
    <w:p w:rsidR="00BD5B9E">
      <w:pPr>
        <w:spacing w:after="80"/>
        <w:jc w:val="both"/>
        <w:rPr>
          <w:rFonts w:ascii="Times New Roman" w:hAnsi="Times New Roman" w:cs="Times New Roman"/>
          <w:sz w:val="28"/>
          <w:szCs w:val="20"/>
        </w:rPr>
      </w:pPr>
    </w:p>
    <w:p w:rsidR="00BD5B9E">
      <w:pPr>
        <w:spacing w:after="80"/>
        <w:jc w:val="both"/>
        <w:rPr>
          <w:rFonts w:ascii="Times New Roman" w:hAnsi="Times New Roman" w:cs="Times New Roman"/>
          <w:sz w:val="28"/>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szCs w:val="20"/>
        </w:rPr>
      </w:pPr>
    </w:p>
    <w:p w:rsidR="00BD5B9E">
      <w:pPr>
        <w:spacing w:after="80"/>
        <w:jc w:val="both"/>
        <w:rPr>
          <w:rFonts w:ascii="Times New Roman" w:hAnsi="Times New Roman" w:cs="Times New Roman"/>
        </w:rPr>
      </w:pPr>
    </w:p>
    <w:p w:rsidR="00BD5B9E">
      <w:pPr>
        <w:spacing w:after="80"/>
        <w:jc w:val="both"/>
        <w:rPr>
          <w:rFonts w:ascii="Times New Roman" w:hAnsi="Times New Roman" w:cs="Times New Roman"/>
        </w:rPr>
      </w:pPr>
    </w:p>
    <w:p w:rsidR="00BD5B9E">
      <w:pPr>
        <w:spacing w:after="80"/>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0AEB"/>
    <w:multiLevelType w:val="hybridMultilevel"/>
    <w:tmpl w:val="1B90DB2C"/>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2A6653DA"/>
    <w:multiLevelType w:val="hybridMultilevel"/>
    <w:tmpl w:val="569895A2"/>
    <w:lvl w:ilvl="0">
      <w:start w:val="1"/>
      <w:numFmt w:val="lowerLetter"/>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A957552"/>
    <w:multiLevelType w:val="hybridMultilevel"/>
    <w:tmpl w:val="C100BE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CCB41FE"/>
    <w:multiLevelType w:val="hybridMultilevel"/>
    <w:tmpl w:val="528EA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9E10A5"/>
    <w:multiLevelType w:val="hybridMultilevel"/>
    <w:tmpl w:val="226E3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8AB3988"/>
    <w:multiLevelType w:val="hybridMultilevel"/>
    <w:tmpl w:val="CB3C30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8AF6130"/>
    <w:multiLevelType w:val="hybridMultilevel"/>
    <w:tmpl w:val="438A98B6"/>
    <w:lvl w:ilvl="0">
      <w:start w:val="1"/>
      <w:numFmt w:val="decimal"/>
      <w:lvlText w:val="(%1)"/>
      <w:lvlJc w:val="left"/>
      <w:pPr>
        <w:tabs>
          <w:tab w:val="num" w:pos="1095"/>
        </w:tabs>
        <w:ind w:left="1095" w:hanging="39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
    <w:nsid w:val="75981572"/>
    <w:multiLevelType w:val="hybridMultilevel"/>
    <w:tmpl w:val="BF7EB6D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6"/>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BD5B9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sz w:val="28"/>
    </w:rPr>
  </w:style>
  <w:style w:type="paragraph" w:styleId="Heading2">
    <w:name w:val="heading 2"/>
    <w:basedOn w:val="Normal"/>
    <w:next w:val="Normal"/>
    <w:uiPriority w:val="9"/>
    <w:qFormat/>
    <w:pPr>
      <w:keepNext/>
      <w:jc w:val="both"/>
      <w:outlineLvl w:val="1"/>
    </w:pPr>
    <w:rPr>
      <w:b/>
      <w:bCs/>
      <w:sz w:val="28"/>
    </w:rPr>
  </w:style>
  <w:style w:type="paragraph" w:styleId="Heading3">
    <w:name w:val="heading 3"/>
    <w:basedOn w:val="Normal"/>
    <w:next w:val="Normal"/>
    <w:uiPriority w:val="9"/>
    <w:qFormat/>
    <w:pPr>
      <w:keepNext/>
      <w:spacing w:after="80"/>
      <w:jc w:val="center"/>
      <w:outlineLvl w:val="2"/>
    </w:pPr>
    <w:rPr>
      <w:rFonts w:ascii="Bookman Old Style" w:hAnsi="Bookman Old Style"/>
      <w:b/>
      <w:szCs w:val="20"/>
    </w:rPr>
  </w:style>
  <w:style w:type="paragraph" w:styleId="Heading4">
    <w:name w:val="heading 4"/>
    <w:basedOn w:val="Normal"/>
    <w:next w:val="Normal"/>
    <w:uiPriority w:val="9"/>
    <w:qFormat/>
    <w:pPr>
      <w:keepNext/>
      <w:spacing w:after="80"/>
      <w:jc w:val="both"/>
      <w:outlineLvl w:val="3"/>
    </w:pPr>
    <w:rPr>
      <w:rFonts w:ascii="Bookman Old Style" w:hAnsi="Bookman Old Style"/>
      <w:b/>
      <w:bCs/>
      <w:szCs w:val="20"/>
    </w:rPr>
  </w:style>
  <w:style w:type="paragraph" w:styleId="Heading5">
    <w:name w:val="heading 5"/>
    <w:basedOn w:val="Normal"/>
    <w:next w:val="Normal"/>
    <w:uiPriority w:val="9"/>
    <w:qFormat/>
    <w:pPr>
      <w:keepNext/>
      <w:spacing w:after="80"/>
      <w:jc w:val="both"/>
      <w:outlineLvl w:val="4"/>
    </w:pPr>
    <w:rPr>
      <w:rFonts w:ascii="Bookman Old Style" w:hAnsi="Bookman Old Style"/>
      <w:b/>
      <w:bCs/>
      <w:i/>
      <w:iCs/>
      <w:szCs w:val="20"/>
    </w:rPr>
  </w:style>
  <w:style w:type="paragraph" w:styleId="Heading6">
    <w:name w:val="heading 6"/>
    <w:basedOn w:val="Normal"/>
    <w:next w:val="Normal"/>
    <w:uiPriority w:val="9"/>
    <w:qFormat/>
    <w:pPr>
      <w:keepNext/>
      <w:jc w:val="both"/>
      <w:outlineLvl w:val="5"/>
    </w:pPr>
    <w:rPr>
      <w:sz w:val="28"/>
    </w:rPr>
  </w:style>
  <w:style w:type="paragraph" w:styleId="Heading7">
    <w:name w:val="heading 7"/>
    <w:basedOn w:val="Normal"/>
    <w:next w:val="Normal"/>
    <w:uiPriority w:val="9"/>
    <w:qFormat/>
    <w:pPr>
      <w:keepNext/>
      <w:jc w:val="both"/>
      <w:outlineLvl w:val="6"/>
    </w:pPr>
    <w:rPr>
      <w:i/>
      <w:iCs/>
      <w:sz w:val="20"/>
    </w:rPr>
  </w:style>
  <w:style w:type="character" w:default="1" w:styleId="DefaultParagraphFont">
    <w:name w:val="Default Paragraph Font"/>
    <w:semiHidden/>
  </w:style>
  <w:style w:type="paragraph" w:styleId="Title">
    <w:name w:val="Title"/>
    <w:basedOn w:val="Normal"/>
    <w:uiPriority w:val="10"/>
    <w:qFormat/>
    <w:pPr>
      <w:jc w:val="center"/>
    </w:pPr>
    <w:rPr>
      <w:b/>
      <w:bCs/>
      <w:sz w:val="28"/>
    </w:rPr>
  </w:style>
  <w:style w:type="paragraph" w:styleId="BodyText">
    <w:name w:val="Body Text"/>
    <w:basedOn w:val="Normal"/>
    <w:pPr>
      <w:jc w:val="both"/>
    </w:pPr>
    <w:rPr>
      <w:sz w:val="28"/>
    </w:rPr>
  </w:style>
  <w:style w:type="paragraph" w:styleId="BodyTextIndent2">
    <w:name w:val="Body Text Indent 2"/>
    <w:basedOn w:val="Normal"/>
    <w:pPr>
      <w:spacing w:after="80"/>
      <w:ind w:firstLine="708"/>
      <w:jc w:val="both"/>
    </w:pPr>
    <w:rPr>
      <w:rFonts w:ascii="Bookman Old Style" w:hAnsi="Bookman Old Style"/>
      <w:i/>
      <w:iCs/>
      <w:szCs w:val="20"/>
    </w:rPr>
  </w:style>
  <w:style w:type="paragraph" w:styleId="BodyText2">
    <w:name w:val="Body Text 2"/>
    <w:basedOn w:val="Normal"/>
    <w:pPr>
      <w:spacing w:after="80"/>
      <w:jc w:val="center"/>
    </w:pPr>
    <w:rPr>
      <w:rFonts w:ascii="Bookman Old Style" w:hAnsi="Bookman Old Style"/>
      <w:b/>
      <w:lang w:val="cs-CZ"/>
    </w:rPr>
  </w:style>
  <w:style w:type="paragraph" w:styleId="BodyText3">
    <w:name w:val="Body Text 3"/>
    <w:basedOn w:val="Normal"/>
    <w:pPr>
      <w:spacing w:after="80"/>
      <w:jc w:val="both"/>
    </w:pPr>
    <w:rPr>
      <w:rFonts w:ascii="Bookman Old Style" w:hAnsi="Bookman Old Style"/>
    </w:rPr>
  </w:style>
  <w:style w:type="paragraph" w:styleId="BodyTextIndent">
    <w:name w:val="Body Text Indent"/>
    <w:basedOn w:val="Normal"/>
    <w:pPr>
      <w:ind w:firstLine="708"/>
      <w:jc w:val="both"/>
    </w:pPr>
    <w:rPr>
      <w:sz w:val="28"/>
    </w:rPr>
  </w:style>
  <w:style w:type="paragraph" w:styleId="Subtitle">
    <w:name w:val="Subtitle"/>
    <w:basedOn w:val="Normal"/>
    <w:uiPriority w:val="11"/>
    <w:qFormat/>
    <w:pPr>
      <w:jc w:val="center"/>
    </w:pPr>
    <w:rPr>
      <w:b/>
      <w:bCs/>
      <w:sz w:val="28"/>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2603</TotalTime>
  <Pages>11</Pages>
  <Words>3223</Words>
  <Characters>18375</Characters>
  <Application>Microsoft Office Word</Application>
  <DocSecurity>0</DocSecurity>
  <Lines>0</Lines>
  <Paragraphs>0</Paragraphs>
  <ScaleCrop>false</ScaleCrop>
  <Company/>
  <LinksUpToDate>false</LinksUpToDate>
  <CharactersWithSpaces>21555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dc:creator>
  <cp:lastModifiedBy>Gasparikova Jarmila</cp:lastModifiedBy>
  <cp:revision>23</cp:revision>
  <cp:lastPrinted>2005-02-22T16:19:00Z</cp:lastPrinted>
  <dcterms:created xsi:type="dcterms:W3CDTF">2003-08-07T07:49:00Z</dcterms:created>
  <dcterms:modified xsi:type="dcterms:W3CDTF">2005-02-28T12:50:00Z</dcterms:modified>
</cp:coreProperties>
</file>