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BodyText"/>
        <w:jc w:val="center"/>
        <w:rPr>
          <w:rFonts w:ascii="Times New Roman" w:hAnsi="Times New Roman" w:cs="Times New Roman"/>
          <w:b/>
          <w:bCs/>
          <w:lang w:val="sk-SK"/>
        </w:rPr>
      </w:pPr>
      <w:r>
        <w:rPr>
          <w:rFonts w:ascii="Times New Roman" w:hAnsi="Times New Roman" w:cs="Times New Roman"/>
          <w:b/>
          <w:bCs/>
          <w:lang w:val="sk-SK"/>
        </w:rPr>
        <w:t>Dôvodová správa</w:t>
      </w:r>
    </w:p>
    <w:p>
      <w:pPr>
        <w:pStyle w:val="BodyText"/>
        <w:jc w:val="center"/>
        <w:rPr>
          <w:rFonts w:ascii="Times New Roman" w:hAnsi="Times New Roman" w:cs="Times New Roman"/>
          <w:b/>
          <w:bCs/>
          <w:lang w:val="sk-SK"/>
        </w:rPr>
      </w:pPr>
      <w:r>
        <w:rPr>
          <w:rFonts w:ascii="Times New Roman" w:hAnsi="Times New Roman" w:cs="Times New Roman"/>
          <w:b/>
          <w:bCs/>
          <w:lang w:val="sk-SK"/>
        </w:rPr>
        <w:t>Všeobecná časť</w:t>
      </w:r>
    </w:p>
    <w:p>
      <w:pPr>
        <w:pStyle w:val="BodyText"/>
        <w:jc w:val="center"/>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 xml:space="preserve">Prevádzkovanie hazardných hier sa na Slovensku začalo intenzívne rozvíjať už od roku 1990. Tento spôsob zábavy predstavuje špecifický prístup k využívaniu voľného času, uspokojuje občanov v pocite napätia a ich túžbe po prípadnej výhre, teda výraznejšom jednorazovom finančnom príjme. </w:t>
      </w:r>
    </w:p>
    <w:p>
      <w:pPr>
        <w:jc w:val="both"/>
        <w:rPr>
          <w:rFonts w:ascii="Times New Roman" w:hAnsi="Times New Roman" w:cs="Times New Roman"/>
        </w:rPr>
      </w:pPr>
    </w:p>
    <w:p>
      <w:pPr>
        <w:pStyle w:val="BodyText"/>
        <w:ind w:firstLine="360"/>
        <w:jc w:val="both"/>
        <w:rPr>
          <w:rFonts w:ascii="Times New Roman" w:hAnsi="Times New Roman" w:cs="Times New Roman"/>
          <w:lang w:val="sk-SK"/>
        </w:rPr>
      </w:pPr>
      <w:r>
        <w:rPr>
          <w:rFonts w:ascii="Times New Roman" w:hAnsi="Times New Roman" w:cs="Times New Roman"/>
          <w:lang w:val="sk-SK"/>
        </w:rPr>
        <w:t>V Slovenskej republike sa od roku 1991 občanom ponúka dostatočne veľký rozsah jednotlivých druhov stávkových hier a lotérií, ktoré sú väčšinou prevádzkované na potrebnej kvalitatívnej, odbornej a technickej úrovni. Za posledných trinásť rokov vzniklo nové odvetvie s pracovnými príležitosťami pre kvalifikovaných pracovníkov, napr. v oblasti právnej, technickej a tiež na úseku ekonomickom. V súčasnom období  pracuje v tejto oblasti približne 19 000 ľudí. Zaujímavé sú tiež údaje o tom, koľko sú ľudia ochotní vložiť do hier pri vidine možných výhier, keď napr. v roku 2002 boli vklady do hier vo výške 24,513 mld. Sk a vyplatené výhry predstavovali sumu 18,102 mld. Sk. Ročné vklady do lotérií a iných podobných hier v r. 2002 tvorili 4,1 % podiel na celkových ročných výdavkoch obyvateľstva do spotreby.</w:t>
      </w:r>
    </w:p>
    <w:p>
      <w:pPr>
        <w:pStyle w:val="BodyTextIndent2"/>
        <w:rPr>
          <w:rFonts w:ascii="Times New Roman" w:hAnsi="Times New Roman" w:cs="Times New Roman"/>
        </w:rPr>
      </w:pPr>
    </w:p>
    <w:p>
      <w:pPr>
        <w:pStyle w:val="BodyText"/>
        <w:ind w:firstLine="360"/>
        <w:jc w:val="both"/>
        <w:rPr>
          <w:rFonts w:ascii="Times New Roman" w:hAnsi="Times New Roman" w:cs="Times New Roman"/>
          <w:lang w:val="sk-SK"/>
        </w:rPr>
      </w:pPr>
      <w:r>
        <w:rPr>
          <w:rFonts w:ascii="Times New Roman" w:hAnsi="Times New Roman" w:cs="Times New Roman"/>
          <w:lang w:val="sk-SK"/>
        </w:rPr>
        <w:t xml:space="preserve">V súčasnosti je oblasť  hazardných hier  vymedzená zákonom č. 194/1990 Zb. o lotériách a iných podobných hrách v znení neskorších predpisov (ďalej „zákon o lotériách“). Zákon o lotériách bol už 10 krát novelizovaný, čo vyústilo do pomerne komplikovanej právnej úpravy, pričom úprava prevádzkovania niektorých druhov hier nie je jednoznačná a dostatočne jasná. Istým nedostatkom sa javí nenárokovateľnosť povolení a nedostatočná predvídateľnosť výsledku povoľovacieho konania. Zložitý povoľovací proces zároveň administratívne zaťažuje jednak žiadateľov o povolenie lotérie alebo inej podobnej hry ako aj povoľujúce orgány. </w:t>
      </w:r>
    </w:p>
    <w:p>
      <w:pPr>
        <w:pStyle w:val="BodyText"/>
        <w:jc w:val="both"/>
        <w:rPr>
          <w:rFonts w:ascii="Times New Roman" w:hAnsi="Times New Roman" w:cs="Times New Roman"/>
          <w:color w:val="auto"/>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Vláda Slovenskej republiky svojim uznesením č. 135/2004 schválila vo februári 2004 Koncepciu štátnej politiky v oblasti hazardných hier. Na základe tohto koncepčného materiálu bol spracovaný už konkrétny návrh novej právnej úpravy, ktorá by nahradila už mnohokrát novelizovaný zákon o lotériách. Nová právna úprava by mala priniesť lepšie a presnejšie vymedzenie práv a povinností jednotlivých subjektov zúčastňujúcich sa na hazardných hrách a modernizovať a odbyrokratizovať proces vydávania licencií na takýto druh podnikania. Nový návrh zákona o haz</w:t>
      </w:r>
      <w:r>
        <w:rPr>
          <w:rFonts w:ascii="Times New Roman" w:hAnsi="Times New Roman" w:cs="Times New Roman"/>
          <w:lang w:val="sk-SK"/>
        </w:rPr>
        <w:t>ardných hrách je vo všeobecnosti postavený na nasledujúcich princípoch.</w:t>
      </w:r>
    </w:p>
    <w:p>
      <w:pPr>
        <w:pStyle w:val="BodyText"/>
        <w:jc w:val="both"/>
        <w:rPr>
          <w:rFonts w:ascii="Times New Roman" w:hAnsi="Times New Roman" w:cs="Times New Roman"/>
          <w:color w:val="auto"/>
          <w:lang w:val="sk-SK"/>
        </w:rPr>
      </w:pPr>
    </w:p>
    <w:p>
      <w:pPr>
        <w:pStyle w:val="BodyText"/>
        <w:ind w:firstLine="360"/>
        <w:jc w:val="both"/>
        <w:rPr>
          <w:rFonts w:ascii="Times New Roman" w:hAnsi="Times New Roman" w:cs="Times New Roman"/>
          <w:b/>
          <w:bCs/>
          <w:color w:val="auto"/>
          <w:lang w:val="sk-SK"/>
        </w:rPr>
      </w:pPr>
      <w:r>
        <w:rPr>
          <w:rFonts w:ascii="Times New Roman" w:hAnsi="Times New Roman" w:cs="Times New Roman"/>
          <w:lang w:val="sk-SK"/>
        </w:rPr>
        <w:t>Pod hrou, v najširšom právnom slova zmysle, rozumieme spoločenskú aktivitu medzi fyzickými osobami navzájom, alebo medzi fyzickými osobami a právnickými osobami, ktorej cieľom je uspo</w:t>
      </w:r>
      <w:r>
        <w:rPr>
          <w:rFonts w:ascii="Times New Roman" w:hAnsi="Times New Roman" w:cs="Times New Roman"/>
          <w:lang w:val="sk-SK"/>
        </w:rPr>
        <w:t>kojovanie ich hmotných potrieb dosiahnutím výhry. Výhra</w:t>
      </w:r>
      <w:r>
        <w:rPr>
          <w:rFonts w:ascii="Times New Roman" w:hAnsi="Times New Roman" w:cs="Times New Roman"/>
          <w:color w:val="auto"/>
          <w:lang w:val="sk-SK"/>
        </w:rPr>
        <w:t xml:space="preserve"> je rozdiel medzi hodnotou získaného plnenia a hodnotou vloženej investície do hry (stávky), a spravidla je vyššia ako stávka. Ide o služby, ktoré organizátor hry poskytuje tak, že umožňuje stávkujúcim (kupcom žrebov, tiketov, žetónov a pod.)  zúčastniť sa na hre založenej na</w:t>
      </w:r>
      <w:r>
        <w:rPr>
          <w:rFonts w:ascii="Times New Roman" w:hAnsi="Times New Roman" w:cs="Times New Roman"/>
          <w:b/>
          <w:bCs/>
          <w:color w:val="auto"/>
          <w:lang w:val="sk-SK"/>
        </w:rPr>
        <w:t xml:space="preserve"> </w:t>
      </w:r>
      <w:r>
        <w:rPr>
          <w:rFonts w:ascii="Times New Roman" w:hAnsi="Times New Roman" w:cs="Times New Roman"/>
          <w:color w:val="auto"/>
          <w:lang w:val="sk-SK"/>
        </w:rPr>
        <w:t>náhode,</w:t>
      </w:r>
      <w:r>
        <w:rPr>
          <w:rFonts w:ascii="Times New Roman" w:hAnsi="Times New Roman" w:cs="Times New Roman"/>
          <w:b/>
          <w:bCs/>
          <w:color w:val="auto"/>
          <w:lang w:val="sk-SK"/>
        </w:rPr>
        <w:t xml:space="preserve"> </w:t>
      </w:r>
      <w:r>
        <w:rPr>
          <w:rFonts w:ascii="Times New Roman" w:hAnsi="Times New Roman" w:cs="Times New Roman"/>
          <w:color w:val="auto"/>
          <w:lang w:val="sk-SK"/>
        </w:rPr>
        <w:t>ktorá im ponúka nádej zisku</w:t>
      </w:r>
      <w:r>
        <w:rPr>
          <w:rFonts w:ascii="Times New Roman" w:hAnsi="Times New Roman" w:cs="Times New Roman"/>
          <w:b/>
          <w:bCs/>
          <w:color w:val="auto"/>
          <w:lang w:val="sk-SK"/>
        </w:rPr>
        <w:t xml:space="preserve"> </w:t>
      </w:r>
      <w:r>
        <w:rPr>
          <w:rFonts w:ascii="Times New Roman" w:hAnsi="Times New Roman" w:cs="Times New Roman"/>
          <w:color w:val="auto"/>
          <w:lang w:val="sk-SK"/>
        </w:rPr>
        <w:t xml:space="preserve">a s týmto cieľom organizuje náhodné žrebovania, stanovuje a vypláca výhry, alebo prepláca žreby. Takéto služby sa zvyčajne poskytujú za protihodnotu, ktorú predstavuje cena žrebov. </w:t>
      </w:r>
      <w:r>
        <w:rPr>
          <w:rFonts w:ascii="Times New Roman" w:hAnsi="Times New Roman" w:cs="Times New Roman"/>
          <w:b/>
          <w:bCs/>
          <w:color w:val="auto"/>
          <w:lang w:val="sk-SK"/>
        </w:rPr>
        <w:t xml:space="preserve"> </w:t>
      </w:r>
    </w:p>
    <w:p>
      <w:pPr>
        <w:pStyle w:val="BodyText"/>
        <w:jc w:val="both"/>
        <w:rPr>
          <w:rFonts w:ascii="Times New Roman" w:hAnsi="Times New Roman" w:cs="Times New Roman"/>
          <w:color w:val="auto"/>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 xml:space="preserve">Význam hazardných hier z hľadiska spoločenského je podstatne väčší, ako by sa z ich právnej  úpravy mohlo zdať. Jednak ide o spoločenský jav, ktorý je na Slovensku tradične pomerne silne zakorenený, jednak ide o stabilný zdroj finančných prostriedkov slúžiacich na podporu niektorých sociálnych, kultúrnych a iných verejnoprospešných aktivít. </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 xml:space="preserve">Ide však aj o jav, ktorý so sebou nesie i nezanedbateľné spoločenské riziká. Je totiž dobre známou skutočnosťou, že stávky a hry ako aktivity zo svojej podstaty hazardné vedú u určitých osôb k rozvoju sociálno-patologických javov, ku vzniku tzv. „hráčskej závislosti“, čo má neblahý vplyv nielen na nich, ale predovšetkým na im  blízke osoby, najmä rodinných príslušníkov. Okrem toho sa tieto aktivity často stávajú predmetom záujmu organizovaného zločinu, ktorý v nich vidí nezanedbateľný zdroj príjmov. </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Ak vezmeme do úvahy vôľu jednotlivých krajín Európskej únie a rozhodnutia Európskeho súdneho dvora, právo Európskych spoločenstiev v</w:t>
      </w:r>
      <w:r>
        <w:rPr>
          <w:rFonts w:ascii="Times New Roman" w:hAnsi="Times New Roman" w:cs="Times New Roman"/>
          <w:lang w:val="sk-SK"/>
        </w:rPr>
        <w:t xml:space="preserve"> oblasti hazardných hier v Európe neexistuje. </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V súčasnosti sa aplikuje pravidlo, že lotérie sa považujú za služby ekonomickej povahy, v dôsledku čoho podliehajú ustanoveniam Zmluvy o založení Európskeho spoločenstva, najmä ustanoveniam o slobode poskytovania služieb a článku 16 Zmluvy o založení Európskeho spoločenstva.</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V oblasti hazardných hier existujú dostatočne silné dôvody verejného záujmu (ochrana spotrebiteľa, prevencia kriminality, ochrana verejnej morálky, obmedzovanie dopytu po hazardných hrách,  financovanie verejnoprospešných činností, atď.), ktoré odôvodňujú, aby z hľadiska organizovania hier, výšky stávok a rozdeľovania zisku, ktorý prinášajú, mali  členské štáty Európskej únie dostatok nezávislých právomocí na svojom území  k stanoveniu požiadaviek na ochranu hazardných hráčov a spoločenského poriadku. V takýchto podmienkach  musia zhodnotiť nielen nevyhnutnosť regulovať   aktivity v hazardných hrách, ale určité druhy hier (napr. pyramídové hry alebo reťazové listy,  ktoré nezaručujú všetkým účastníkom hry rovnaké podmienky) musia  tiež  zakazovať, za predpokladu, že regulačné  opatrenia nie sú diskriminujúce.</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Takéto regulačné opatrenia môžu byť v podobe zákonov, ktoré udeľujú jedinej verejnej organizácii, alebo určitým organizáciám, výlučné práva na prevádzkovanie hazardných hier, zohľadňujúc pri tom verejnoprospešný záujem, ktorý takúto reguláciu odôvodňuje. Regulačné  opatrenia sú  nevyhnutné a musia byť úmerné stanoveným cieľom.</w:t>
      </w:r>
    </w:p>
    <w:p>
      <w:pPr>
        <w:pStyle w:val="BodyText"/>
        <w:jc w:val="both"/>
        <w:rPr>
          <w:rFonts w:ascii="Times New Roman" w:hAnsi="Times New Roman" w:cs="Times New Roman"/>
          <w:lang w:val="sk-SK"/>
        </w:rPr>
      </w:pPr>
    </w:p>
    <w:p>
      <w:pPr>
        <w:pStyle w:val="BodyText"/>
        <w:ind w:firstLine="360"/>
        <w:jc w:val="both"/>
        <w:rPr>
          <w:rFonts w:ascii="Times New Roman" w:hAnsi="Times New Roman" w:cs="Times New Roman"/>
          <w:lang w:val="sk-SK"/>
        </w:rPr>
      </w:pPr>
      <w:r>
        <w:rPr>
          <w:rFonts w:ascii="Times New Roman" w:hAnsi="Times New Roman" w:cs="Times New Roman"/>
          <w:lang w:val="sk-SK"/>
        </w:rPr>
        <w:t>Regulácia hazardných hier, ochrana občanov a verejnej morálky pred nepriaznivými účinkami stávok a hier je súčasťou štátnej politiky na Slovensku, rovnako ako vo všetkých krajinách sveta. Štát realizuje svoju politiku sústavou legislatívnych opatrení, ktorými usmerňuje tento úsek a sústavou dozorných orgánov, ktorými zabezpečuje dodržiavanie a presadzovanie ustanovených právnych opatrení. Právny a kontrolný systém by mali dopĺňať ďalšie nástroje, ktoré pomáhajú uplatňovať  princípy zodpovedného hrania ( napr. riadiaca a rozhodovacia funkcia ). Trvalé udržiavanie optimálnej úrovne a trvalé zlepšovanie ochrany občanov si vyžaduje trvalé aktivity a podporu zo strany štátu. Politika štátu v oblasti hazardných hier  je považovaná za špecifickú formu presadzovania štátnych záujmov.</w:t>
      </w:r>
    </w:p>
    <w:p>
      <w:pPr>
        <w:pStyle w:val="BodyText"/>
        <w:jc w:val="both"/>
        <w:rPr>
          <w:rFonts w:ascii="Times New Roman" w:hAnsi="Times New Roman" w:cs="Times New Roman"/>
          <w:lang w:val="sk-SK"/>
        </w:rPr>
      </w:pPr>
    </w:p>
    <w:p>
      <w:pPr>
        <w:ind w:firstLine="360"/>
        <w:jc w:val="both"/>
        <w:rPr>
          <w:rFonts w:ascii="Times New Roman" w:hAnsi="Times New Roman" w:cs="Times New Roman"/>
        </w:rPr>
      </w:pPr>
      <w:r>
        <w:rPr>
          <w:rFonts w:ascii="Times New Roman" w:hAnsi="Times New Roman" w:cs="Times New Roman"/>
          <w:color w:val="000000"/>
        </w:rPr>
        <w:t xml:space="preserve">Rozvojom spoločenskej kultúry, komerčnej komunikácie, ako i globálnych informačných sietí sa  pozmenil aj obsah a význam pojmov prevádzkovanie, lotéria, stávka, hra a pod. Návrh zákona vychádza z nového prístupu chápania týchto pojmov a navrhuje aj legislatívne zavedenie nového pojmu „hazardné </w:t>
      </w:r>
      <w:r>
        <w:rPr>
          <w:rFonts w:ascii="Times New Roman" w:hAnsi="Times New Roman" w:cs="Times New Roman"/>
          <w:color w:val="000000"/>
        </w:rPr>
        <w:t xml:space="preserve">hry“. </w:t>
      </w:r>
    </w:p>
    <w:p>
      <w:pPr>
        <w:jc w:val="both"/>
        <w:rPr>
          <w:rFonts w:ascii="Times New Roman" w:hAnsi="Times New Roman" w:cs="Times New Roman"/>
        </w:rPr>
      </w:pPr>
    </w:p>
    <w:p>
      <w:pPr>
        <w:pStyle w:val="BodyText2"/>
        <w:ind w:firstLine="360"/>
        <w:rPr>
          <w:rFonts w:ascii="Times New Roman" w:hAnsi="Times New Roman" w:cs="Times New Roman"/>
        </w:rPr>
      </w:pPr>
      <w:r>
        <w:rPr>
          <w:rFonts w:ascii="Times New Roman" w:hAnsi="Times New Roman" w:cs="Times New Roman"/>
        </w:rPr>
        <w:t xml:space="preserve">Jedným z hlavných cieľov novej právnej úpravy hazardných hier je limitovanie využitia ľudskej hráčskej vášne, zabránenie riziku kriminality a podvodov, zabezpečenie časti vyzbieraných peňažných prostriedkov v prospech štátneho rozpočtu. Prostredníctvom nového zákona o hazardných hrách sa rovnako implementuje do praxe štátna licenčná politika a zabezpečuje efektívny štátny dozor pri jeho presadzovaní. </w:t>
      </w:r>
    </w:p>
    <w:p>
      <w:pPr>
        <w:jc w:val="both"/>
        <w:rPr>
          <w:rFonts w:ascii="Times New Roman" w:hAnsi="Times New Roman" w:cs="Times New Roman"/>
          <w:color w:val="000000"/>
        </w:rPr>
      </w:pPr>
    </w:p>
    <w:p>
      <w:pPr>
        <w:ind w:firstLine="360"/>
        <w:jc w:val="both"/>
        <w:rPr>
          <w:rFonts w:ascii="Times New Roman" w:hAnsi="Times New Roman" w:cs="Times New Roman"/>
        </w:rPr>
      </w:pPr>
      <w:r>
        <w:rPr>
          <w:rFonts w:ascii="Times New Roman" w:hAnsi="Times New Roman" w:cs="Times New Roman"/>
          <w:color w:val="000000"/>
        </w:rPr>
        <w:t xml:space="preserve">Reštriktívna politika  nie  je chápaná len z dôvodu ochrany, prevencie a získavania peňazí </w:t>
      </w:r>
      <w:r>
        <w:rPr>
          <w:rFonts w:ascii="Times New Roman" w:hAnsi="Times New Roman" w:cs="Times New Roman"/>
        </w:rPr>
        <w:t xml:space="preserve"> na verejnoprospešné  účely alebo pre štát, ale zahŕňa aj podmienky pre zodpovednostné hranie. Finančný aspekt je len sprievodným javom, skutočným cieľom musí byť obmedzovanie  príležitostí na hranie.</w:t>
      </w:r>
    </w:p>
    <w:p>
      <w:pPr>
        <w:ind w:firstLine="360"/>
        <w:jc w:val="both"/>
        <w:rPr>
          <w:rFonts w:ascii="Times New Roman" w:hAnsi="Times New Roman" w:cs="Times New Roman"/>
        </w:rPr>
      </w:pPr>
    </w:p>
    <w:p>
      <w:pPr>
        <w:pStyle w:val="BodyText3"/>
        <w:spacing w:after="120"/>
        <w:rPr>
          <w:rFonts w:ascii="Times New Roman" w:hAnsi="Times New Roman" w:cs="Times New Roman"/>
          <w:szCs w:val="24"/>
        </w:rPr>
      </w:pPr>
      <w:r>
        <w:rPr>
          <w:rFonts w:ascii="Times New Roman" w:hAnsi="Times New Roman" w:cs="Times New Roman"/>
          <w:szCs w:val="24"/>
        </w:rPr>
        <w:t>Zákon o hazardných hrách vo väzbe na vyššie uvedené obsahuje:</w:t>
      </w:r>
    </w:p>
    <w:p>
      <w:pPr>
        <w:pStyle w:val="BodyText3"/>
        <w:numPr>
          <w:ilvl w:val="0"/>
          <w:numId w:val="11"/>
        </w:numPr>
        <w:tabs>
          <w:tab w:val="left" w:pos="757"/>
        </w:tabs>
        <w:spacing w:after="120"/>
        <w:rPr>
          <w:rFonts w:ascii="Times New Roman" w:hAnsi="Times New Roman" w:cs="Times New Roman"/>
          <w:sz w:val="16"/>
          <w:szCs w:val="16"/>
        </w:rPr>
      </w:pPr>
      <w:r>
        <w:rPr>
          <w:rFonts w:ascii="Times New Roman" w:hAnsi="Times New Roman" w:cs="Times New Roman"/>
          <w:szCs w:val="24"/>
        </w:rPr>
        <w:t>vymedzenie štátnych lotérií – rozhodnutie o jednotlivých druhoch hazardných hier, ktoré bude prevádzkovať  výlučne štát  prostredníctvom národnej lotériovej spoločnosti,</w:t>
      </w:r>
    </w:p>
    <w:p>
      <w:pPr>
        <w:pStyle w:val="BodyText3"/>
        <w:numPr>
          <w:ilvl w:val="0"/>
          <w:numId w:val="11"/>
        </w:numPr>
        <w:tabs>
          <w:tab w:val="left" w:pos="757"/>
        </w:tabs>
        <w:spacing w:after="120"/>
        <w:rPr>
          <w:rFonts w:ascii="Times New Roman" w:hAnsi="Times New Roman" w:cs="Times New Roman"/>
          <w:szCs w:val="24"/>
        </w:rPr>
      </w:pPr>
      <w:r>
        <w:rPr>
          <w:rFonts w:ascii="Times New Roman" w:hAnsi="Times New Roman" w:cs="Times New Roman"/>
          <w:szCs w:val="24"/>
        </w:rPr>
        <w:t>úpravu licenčného procesu – kategorizácia licencií  (všeobecná licencia, nárokové ind</w:t>
      </w:r>
      <w:r>
        <w:rPr>
          <w:rFonts w:ascii="Times New Roman" w:hAnsi="Times New Roman" w:cs="Times New Roman"/>
          <w:szCs w:val="24"/>
        </w:rPr>
        <w:t>ividuálne licencie, licencie na štátne lotérie, licencie na prevádzku hazardných hier v kasíne),</w:t>
      </w:r>
    </w:p>
    <w:p>
      <w:pPr>
        <w:pStyle w:val="BodyText"/>
        <w:numPr>
          <w:ilvl w:val="0"/>
          <w:numId w:val="11"/>
        </w:numPr>
        <w:tabs>
          <w:tab w:val="left" w:pos="757"/>
        </w:tabs>
        <w:jc w:val="both"/>
        <w:rPr>
          <w:rFonts w:ascii="Times New Roman" w:hAnsi="Times New Roman" w:cs="Times New Roman"/>
          <w:lang w:val="sk-SK"/>
        </w:rPr>
      </w:pPr>
      <w:r>
        <w:rPr>
          <w:rFonts w:ascii="Times New Roman" w:hAnsi="Times New Roman" w:cs="Times New Roman"/>
          <w:lang w:val="sk-SK"/>
        </w:rPr>
        <w:t>podmienky prevádzkovania - konkrétne a  jednoznačne špecifikované podmienky pre prevádzkovanie všetkých druhov hazardných hier,</w:t>
      </w:r>
    </w:p>
    <w:p>
      <w:pPr>
        <w:pStyle w:val="BodyText"/>
        <w:jc w:val="both"/>
        <w:rPr>
          <w:rFonts w:ascii="Times New Roman" w:hAnsi="Times New Roman" w:cs="Times New Roman"/>
          <w:lang w:val="sk-SK"/>
        </w:rPr>
      </w:pPr>
    </w:p>
    <w:p>
      <w:pPr>
        <w:pStyle w:val="BodyText"/>
        <w:numPr>
          <w:ilvl w:val="0"/>
          <w:numId w:val="11"/>
        </w:numPr>
        <w:tabs>
          <w:tab w:val="left" w:pos="757"/>
        </w:tabs>
        <w:jc w:val="both"/>
        <w:rPr>
          <w:rFonts w:ascii="Times New Roman" w:hAnsi="Times New Roman" w:cs="Times New Roman"/>
          <w:lang w:val="sk-SK"/>
        </w:rPr>
      </w:pPr>
      <w:r>
        <w:rPr>
          <w:rFonts w:ascii="Times New Roman" w:hAnsi="Times New Roman" w:cs="Times New Roman"/>
          <w:lang w:val="sk-SK"/>
        </w:rPr>
        <w:t>odvodové povinnosti - v závislosti od jednotlivých druhov hazardných hier sa definujú odvodové povinnosti prevádzkovateľov hazardných hier,</w:t>
      </w:r>
    </w:p>
    <w:p>
      <w:pPr>
        <w:pStyle w:val="BodyText"/>
        <w:jc w:val="both"/>
        <w:rPr>
          <w:rFonts w:ascii="Times New Roman" w:hAnsi="Times New Roman" w:cs="Times New Roman"/>
          <w:lang w:val="sk-SK"/>
        </w:rPr>
      </w:pPr>
    </w:p>
    <w:p>
      <w:pPr>
        <w:pStyle w:val="BodyText"/>
        <w:numPr>
          <w:ilvl w:val="0"/>
          <w:numId w:val="11"/>
        </w:numPr>
        <w:tabs>
          <w:tab w:val="left" w:pos="757"/>
        </w:tabs>
        <w:jc w:val="both"/>
        <w:rPr>
          <w:rFonts w:ascii="Times New Roman" w:hAnsi="Times New Roman" w:cs="Times New Roman"/>
          <w:lang w:val="sk-SK"/>
        </w:rPr>
      </w:pPr>
      <w:r>
        <w:rPr>
          <w:rFonts w:ascii="Times New Roman" w:hAnsi="Times New Roman" w:cs="Times New Roman"/>
          <w:lang w:val="sk-SK"/>
        </w:rPr>
        <w:t>výkon štátneho dozoru - zlepšenie kontrolnej činnosti odstránením neefektívnych činností.  </w:t>
      </w:r>
    </w:p>
    <w:p>
      <w:pPr>
        <w:pStyle w:val="Title"/>
        <w:spacing w:after="120"/>
        <w:rPr>
          <w:rFonts w:ascii="Times New Roman" w:hAnsi="Times New Roman" w:cs="Times New Roman"/>
        </w:rPr>
      </w:pPr>
      <w:r>
        <w:br w:type="page"/>
      </w:r>
      <w:r>
        <w:rPr>
          <w:rFonts w:ascii="Times New Roman" w:hAnsi="Times New Roman" w:cs="Times New Roman"/>
          <w:b/>
          <w:bCs/>
        </w:rPr>
        <w:t>DOLOŽKA  ZLUČlTEĽNOSTI</w:t>
      </w:r>
    </w:p>
    <w:p>
      <w:pPr>
        <w:pStyle w:val="BodyText3"/>
        <w:rPr>
          <w:rFonts w:ascii="Times New Roman" w:hAnsi="Times New Roman" w:cs="Times New Roman"/>
          <w:szCs w:val="24"/>
        </w:rPr>
      </w:pPr>
      <w:r>
        <w:rPr>
          <w:rFonts w:ascii="Times New Roman" w:hAnsi="Times New Roman" w:cs="Times New Roman"/>
          <w:szCs w:val="24"/>
        </w:rPr>
        <w:t>návrhu zákona o hazardných hr</w:t>
      </w:r>
      <w:r>
        <w:rPr>
          <w:rFonts w:ascii="Times New Roman" w:hAnsi="Times New Roman" w:cs="Times New Roman"/>
          <w:szCs w:val="24"/>
        </w:rPr>
        <w:t xml:space="preserve">ách a o zmene a doplnení niektorých zákonov  </w:t>
      </w:r>
    </w:p>
    <w:p>
      <w:pPr>
        <w:pBdr>
          <w:top w:val="single" w:sz="4" w:space="1" w:color="auto"/>
        </w:pBdr>
        <w:jc w:val="both"/>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1.  Navrhovateľ zákona:</w:t>
      </w:r>
    </w:p>
    <w:p>
      <w:pPr>
        <w:pStyle w:val="N-text"/>
        <w:tabs>
          <w:tab w:val="left" w:pos="0"/>
          <w:tab w:val="clear" w:pos="284"/>
        </w:tabs>
        <w:rPr>
          <w:rFonts w:ascii="Times New Roman" w:hAnsi="Times New Roman" w:cs="Times New Roman"/>
        </w:rPr>
      </w:pPr>
      <w:r>
        <w:rPr>
          <w:rFonts w:ascii="Times New Roman" w:hAnsi="Times New Roman" w:cs="Times New Roman"/>
        </w:rPr>
        <w:t xml:space="preserve">     Vláda Slovenskej republiky</w:t>
      </w:r>
    </w:p>
    <w:p>
      <w:pPr>
        <w:pStyle w:val="N-text"/>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2.  Názov návrhu zákona:</w:t>
      </w:r>
    </w:p>
    <w:p>
      <w:pPr>
        <w:rPr>
          <w:rFonts w:ascii="Times New Roman" w:hAnsi="Times New Roman" w:cs="Times New Roman"/>
        </w:rPr>
      </w:pPr>
      <w:r>
        <w:rPr>
          <w:rFonts w:ascii="Times New Roman" w:hAnsi="Times New Roman" w:cs="Times New Roman"/>
        </w:rPr>
        <w:t xml:space="preserve">     Návrh zákona o hazardných hrách a o zmene a doplnení niektorých zákonov, </w:t>
      </w:r>
    </w:p>
    <w:p>
      <w:pPr>
        <w:pStyle w:val="tlNadpisbodov11pt"/>
        <w:numPr>
          <w:numId w:val="0"/>
        </w:numPr>
        <w:rPr>
          <w:rFonts w:ascii="Times New Roman" w:hAnsi="Times New Roman" w:cs="Times New Roman"/>
        </w:rPr>
      </w:pPr>
    </w:p>
    <w:p>
      <w:pPr>
        <w:pStyle w:val="tlNadpisbodov11pt"/>
        <w:numPr>
          <w:numId w:val="0"/>
        </w:numPr>
        <w:rPr>
          <w:rFonts w:ascii="Times New Roman" w:hAnsi="Times New Roman" w:cs="Times New Roman"/>
        </w:rPr>
      </w:pPr>
      <w:r>
        <w:rPr>
          <w:rFonts w:ascii="Times New Roman" w:hAnsi="Times New Roman" w:cs="Times New Roman"/>
        </w:rPr>
        <w:t>3. Záväzky Slovenskej republiky vo vzťahu k Európskym spoločenstvám a k Európskej únii:</w:t>
      </w:r>
    </w:p>
    <w:p>
      <w:pPr>
        <w:numPr>
          <w:ilvl w:val="0"/>
          <w:numId w:val="13"/>
        </w:numPr>
        <w:tabs>
          <w:tab w:val="left" w:pos="-177"/>
          <w:tab w:val="left" w:pos="800"/>
        </w:tabs>
        <w:ind w:left="800" w:hanging="400"/>
        <w:jc w:val="both"/>
        <w:rPr>
          <w:rFonts w:ascii="Times New Roman" w:hAnsi="Times New Roman" w:cs="Times New Roman"/>
        </w:rPr>
      </w:pPr>
      <w:r>
        <w:rPr>
          <w:rFonts w:ascii="Times New Roman" w:hAnsi="Times New Roman" w:cs="Times New Roman"/>
        </w:rPr>
        <w:t>Problematika návrhu zákona nie je prioritou podľa</w:t>
      </w:r>
    </w:p>
    <w:p>
      <w:pPr>
        <w:numPr>
          <w:ilvl w:val="0"/>
          <w:numId w:val="12"/>
        </w:numPr>
        <w:tabs>
          <w:tab w:val="left" w:pos="1425"/>
        </w:tabs>
        <w:ind w:hanging="180"/>
        <w:jc w:val="both"/>
        <w:rPr>
          <w:rFonts w:ascii="Times New Roman" w:hAnsi="Times New Roman" w:cs="Times New Roman"/>
        </w:rPr>
      </w:pPr>
      <w:r>
        <w:rPr>
          <w:rFonts w:ascii="Times New Roman" w:hAnsi="Times New Roman" w:cs="Times New Roman"/>
        </w:rPr>
        <w:t>Európskej dohody o pridružení,</w:t>
      </w:r>
    </w:p>
    <w:p>
      <w:pPr>
        <w:numPr>
          <w:ilvl w:val="0"/>
          <w:numId w:val="12"/>
        </w:numPr>
        <w:tabs>
          <w:tab w:val="left" w:pos="1425"/>
        </w:tabs>
        <w:ind w:hanging="180"/>
        <w:jc w:val="both"/>
        <w:rPr>
          <w:rFonts w:ascii="Times New Roman" w:hAnsi="Times New Roman" w:cs="Times New Roman"/>
        </w:rPr>
      </w:pPr>
      <w:r>
        <w:rPr>
          <w:rFonts w:ascii="Times New Roman" w:hAnsi="Times New Roman" w:cs="Times New Roman"/>
        </w:rPr>
        <w:t>Národného programu pre prijatie acquis communautaire,</w:t>
      </w:r>
    </w:p>
    <w:p>
      <w:pPr>
        <w:numPr>
          <w:ilvl w:val="0"/>
          <w:numId w:val="12"/>
        </w:numPr>
        <w:tabs>
          <w:tab w:val="left" w:pos="1425"/>
        </w:tabs>
        <w:ind w:hanging="180"/>
        <w:jc w:val="both"/>
        <w:rPr>
          <w:rFonts w:ascii="Times New Roman" w:hAnsi="Times New Roman" w:cs="Times New Roman"/>
        </w:rPr>
      </w:pPr>
      <w:r>
        <w:rPr>
          <w:rFonts w:ascii="Times New Roman" w:hAnsi="Times New Roman" w:cs="Times New Roman"/>
        </w:rPr>
        <w:t>Partnerstva pre vstup,</w:t>
      </w:r>
    </w:p>
    <w:p>
      <w:pPr>
        <w:numPr>
          <w:ilvl w:val="0"/>
          <w:numId w:val="12"/>
        </w:numPr>
        <w:tabs>
          <w:tab w:val="left" w:pos="1425"/>
        </w:tabs>
        <w:ind w:hanging="180"/>
        <w:jc w:val="both"/>
        <w:rPr>
          <w:rFonts w:ascii="Times New Roman" w:hAnsi="Times New Roman" w:cs="Times New Roman"/>
        </w:rPr>
      </w:pPr>
      <w:r>
        <w:rPr>
          <w:rFonts w:ascii="Times New Roman" w:hAnsi="Times New Roman" w:cs="Times New Roman"/>
        </w:rPr>
        <w:t xml:space="preserve">Prípravy asociovaných krajín strednej a východnej Európy </w:t>
      </w:r>
      <w:r>
        <w:rPr>
          <w:rFonts w:ascii="Times New Roman" w:hAnsi="Times New Roman" w:cs="Times New Roman"/>
        </w:rPr>
        <w:t>na integráciu do vnútorného trhu Európskej únie (Biela kniha),</w:t>
      </w:r>
    </w:p>
    <w:p>
      <w:pPr>
        <w:numPr>
          <w:ilvl w:val="0"/>
          <w:numId w:val="12"/>
        </w:numPr>
        <w:tabs>
          <w:tab w:val="left" w:pos="1425"/>
        </w:tabs>
        <w:ind w:hanging="180"/>
        <w:jc w:val="both"/>
        <w:rPr>
          <w:rFonts w:ascii="Times New Roman" w:hAnsi="Times New Roman" w:cs="Times New Roman"/>
        </w:rPr>
      </w:pPr>
      <w:r>
        <w:rPr>
          <w:rFonts w:ascii="Times New Roman" w:hAnsi="Times New Roman" w:cs="Times New Roman"/>
        </w:rPr>
        <w:t>screeningu</w:t>
      </w:r>
    </w:p>
    <w:p>
      <w:pPr>
        <w:ind w:left="540" w:hanging="180"/>
        <w:jc w:val="both"/>
        <w:rPr>
          <w:rFonts w:ascii="Times New Roman" w:hAnsi="Times New Roman" w:cs="Times New Roman"/>
        </w:rPr>
      </w:pPr>
    </w:p>
    <w:p>
      <w:pPr>
        <w:ind w:left="540" w:hanging="180"/>
        <w:jc w:val="both"/>
        <w:rPr>
          <w:rFonts w:ascii="Times New Roman" w:hAnsi="Times New Roman" w:cs="Times New Roman"/>
        </w:rPr>
      </w:pPr>
    </w:p>
    <w:p>
      <w:pPr>
        <w:pStyle w:val="Zkladntext"/>
        <w:ind w:left="800"/>
        <w:jc w:val="both"/>
        <w:rPr>
          <w:rFonts w:ascii="Times New Roman" w:hAnsi="Times New Roman" w:cs="Times New Roman"/>
        </w:rPr>
      </w:pPr>
      <w:r>
        <w:rPr>
          <w:rFonts w:ascii="Times New Roman" w:hAnsi="Times New Roman" w:cs="Times New Roman"/>
        </w:rPr>
        <w:t>Návrh zákona bol vypracovaný na základe Plánu legislatívnych úloh vlády SR na rok 2004.</w:t>
      </w:r>
    </w:p>
    <w:p>
      <w:pPr>
        <w:pStyle w:val="Zkladntext"/>
        <w:ind w:left="540" w:hanging="180"/>
        <w:jc w:val="both"/>
        <w:rPr>
          <w:rFonts w:ascii="Times New Roman" w:hAnsi="Times New Roman" w:cs="Times New Roman"/>
        </w:rPr>
      </w:pPr>
    </w:p>
    <w:p>
      <w:pPr>
        <w:pStyle w:val="Zkladntext"/>
        <w:numPr>
          <w:ilvl w:val="0"/>
          <w:numId w:val="13"/>
        </w:numPr>
        <w:tabs>
          <w:tab w:val="left" w:pos="-177"/>
          <w:tab w:val="left" w:pos="800"/>
        </w:tabs>
        <w:ind w:left="800" w:hanging="400"/>
        <w:jc w:val="both"/>
        <w:rPr>
          <w:rFonts w:ascii="Times New Roman" w:hAnsi="Times New Roman" w:cs="Times New Roman"/>
        </w:rPr>
      </w:pPr>
      <w:r>
        <w:rPr>
          <w:rFonts w:ascii="Times New Roman" w:hAnsi="Times New Roman" w:cs="Times New Roman"/>
        </w:rPr>
        <w:t>Žiadne záväzky zo schválených negociačných pozícií nemajú vzťah k návrhu zákona.</w:t>
      </w:r>
    </w:p>
    <w:p>
      <w:pPr>
        <w:pStyle w:val="Zkladntext"/>
        <w:ind w:left="300" w:hanging="180"/>
        <w:rPr>
          <w:rFonts w:ascii="Times New Roman" w:hAnsi="Times New Roman" w:cs="Times New Roman"/>
        </w:rPr>
      </w:pPr>
    </w:p>
    <w:p>
      <w:pPr>
        <w:pStyle w:val="Zkladntext"/>
        <w:ind w:left="300" w:hanging="180"/>
        <w:rPr>
          <w:rFonts w:ascii="Times New Roman" w:hAnsi="Times New Roman" w:cs="Times New Roman"/>
        </w:rPr>
      </w:pPr>
    </w:p>
    <w:p>
      <w:pPr>
        <w:pStyle w:val="tlNadpisbodov11pt"/>
        <w:numPr>
          <w:numId w:val="0"/>
        </w:numPr>
        <w:rPr>
          <w:rFonts w:ascii="Times New Roman" w:hAnsi="Times New Roman" w:cs="Times New Roman"/>
        </w:rPr>
      </w:pPr>
      <w:r>
        <w:rPr>
          <w:rFonts w:ascii="Times New Roman" w:hAnsi="Times New Roman" w:cs="Times New Roman"/>
        </w:rPr>
        <w:t>4.  Prob</w:t>
      </w:r>
      <w:r>
        <w:rPr>
          <w:rFonts w:ascii="Times New Roman" w:hAnsi="Times New Roman" w:cs="Times New Roman"/>
        </w:rPr>
        <w:t>lematika návrhu zákona:</w:t>
      </w:r>
    </w:p>
    <w:p>
      <w:pPr>
        <w:pStyle w:val="Zkladntext"/>
        <w:numPr>
          <w:ilvl w:val="1"/>
          <w:numId w:val="13"/>
        </w:numPr>
        <w:tabs>
          <w:tab w:val="clear" w:pos="543"/>
          <w:tab w:val="left" w:pos="700"/>
        </w:tabs>
        <w:ind w:left="700" w:hanging="340"/>
        <w:jc w:val="both"/>
        <w:rPr>
          <w:rFonts w:ascii="Times New Roman" w:hAnsi="Times New Roman" w:cs="Times New Roman"/>
        </w:rPr>
      </w:pPr>
      <w:r>
        <w:rPr>
          <w:rFonts w:ascii="Times New Roman" w:hAnsi="Times New Roman" w:cs="Times New Roman"/>
        </w:rPr>
        <w:t>je upravená v práve Európskych spoločenstiev: čl. 49 až 55 Zmluvy o založení Európskeho spoločenstva; rozhodnutie ESD C-243/01 Gambelli a ostatní“.</w:t>
      </w:r>
    </w:p>
    <w:p>
      <w:pPr>
        <w:pStyle w:val="Zkladntext"/>
        <w:numPr>
          <w:ilvl w:val="1"/>
          <w:numId w:val="13"/>
        </w:numPr>
        <w:tabs>
          <w:tab w:val="clear" w:pos="543"/>
          <w:tab w:val="left" w:pos="700"/>
        </w:tabs>
        <w:ind w:left="700" w:hanging="340"/>
        <w:jc w:val="both"/>
        <w:rPr>
          <w:rFonts w:ascii="Times New Roman" w:hAnsi="Times New Roman" w:cs="Times New Roman"/>
        </w:rPr>
      </w:pPr>
      <w:r>
        <w:rPr>
          <w:rFonts w:ascii="Times New Roman" w:hAnsi="Times New Roman" w:cs="Times New Roman"/>
        </w:rPr>
        <w:t>nie je upravená v práve Európskej únie.</w:t>
      </w:r>
    </w:p>
    <w:p>
      <w:pPr>
        <w:tabs>
          <w:tab w:val="left" w:pos="720"/>
        </w:tabs>
        <w:ind w:left="283" w:hanging="183"/>
        <w:jc w:val="both"/>
        <w:rPr>
          <w:rFonts w:ascii="Times New Roman" w:hAnsi="Times New Roman" w:cs="Times New Roman"/>
        </w:rPr>
      </w:pPr>
    </w:p>
    <w:p>
      <w:pPr>
        <w:pStyle w:val="tlNadpisbodov11pt"/>
        <w:numPr>
          <w:numId w:val="0"/>
        </w:numPr>
        <w:rPr>
          <w:rFonts w:ascii="Times New Roman" w:hAnsi="Times New Roman" w:cs="Times New Roman"/>
        </w:rPr>
      </w:pPr>
      <w:r>
        <w:rPr>
          <w:rFonts w:ascii="Times New Roman" w:hAnsi="Times New Roman" w:cs="Times New Roman"/>
        </w:rPr>
        <w:t>5. Stupeň zlučiteľnosti návrhu zákona s právom Európskych spoločenstiev a právom Európskej únie:</w:t>
      </w:r>
    </w:p>
    <w:p>
      <w:pPr>
        <w:pStyle w:val="tlNadpisbodov11pt"/>
        <w:numPr>
          <w:numId w:val="14"/>
        </w:numPr>
        <w:tabs>
          <w:tab w:val="left" w:pos="760"/>
        </w:tabs>
        <w:rPr>
          <w:rFonts w:ascii="Times New Roman" w:hAnsi="Times New Roman" w:cs="Times New Roman"/>
          <w:b w:val="0"/>
          <w:bCs w:val="0"/>
        </w:rPr>
      </w:pPr>
      <w:r>
        <w:rPr>
          <w:rFonts w:ascii="Times New Roman" w:hAnsi="Times New Roman" w:cs="Times New Roman"/>
          <w:b w:val="0"/>
          <w:bCs w:val="0"/>
        </w:rPr>
        <w:t>úplná.</w:t>
      </w:r>
    </w:p>
    <w:p>
      <w:pPr>
        <w:pStyle w:val="tlNadpisbodov11pt"/>
        <w:numPr>
          <w:numId w:val="0"/>
        </w:numPr>
        <w:rPr>
          <w:rFonts w:ascii="Times New Roman" w:hAnsi="Times New Roman" w:cs="Times New Roman"/>
        </w:rPr>
      </w:pPr>
      <w:r>
        <w:rPr>
          <w:rFonts w:ascii="Times New Roman" w:hAnsi="Times New Roman" w:cs="Times New Roman"/>
        </w:rPr>
        <w:t>6. Gestor:</w:t>
      </w:r>
    </w:p>
    <w:p>
      <w:pPr>
        <w:pStyle w:val="N-text"/>
        <w:rPr>
          <w:rFonts w:ascii="Times New Roman" w:hAnsi="Times New Roman" w:cs="Times New Roman"/>
        </w:rPr>
      </w:pPr>
      <w:r>
        <w:rPr>
          <w:rFonts w:ascii="Times New Roman" w:hAnsi="Times New Roman" w:cs="Times New Roman"/>
        </w:rPr>
        <w:t>bezpredmetné</w:t>
      </w:r>
    </w:p>
    <w:p>
      <w:pPr>
        <w:pStyle w:val="Zkladntext"/>
        <w:jc w:val="both"/>
        <w:rPr>
          <w:rFonts w:ascii="Times New Roman" w:hAnsi="Times New Roman" w:cs="Times New Roman"/>
        </w:rPr>
      </w:pPr>
    </w:p>
    <w:p>
      <w:pPr>
        <w:pStyle w:val="Zkladntext"/>
        <w:jc w:val="both"/>
        <w:rPr>
          <w:rFonts w:ascii="Times New Roman" w:hAnsi="Times New Roman" w:cs="Times New Roman"/>
        </w:rPr>
      </w:pPr>
    </w:p>
    <w:p>
      <w:pPr>
        <w:pStyle w:val="tlNadpisbodov11pt"/>
        <w:numPr>
          <w:numId w:val="0"/>
        </w:numPr>
        <w:rPr>
          <w:rFonts w:ascii="Times New Roman" w:hAnsi="Times New Roman" w:cs="Times New Roman"/>
        </w:rPr>
      </w:pPr>
      <w:r>
        <w:rPr>
          <w:rFonts w:ascii="Times New Roman" w:hAnsi="Times New Roman" w:cs="Times New Roman"/>
        </w:rPr>
        <w:t>7. Účasť expertov pri príprave návrhu zákona a ich stanovisko k zlučiteľnosti návrhu zákona s právom Európskych spoločenstiev a právom Európskej únie:</w:t>
      </w:r>
    </w:p>
    <w:p>
      <w:pPr>
        <w:pStyle w:val="N-text"/>
        <w:rPr>
          <w:rFonts w:ascii="Times New Roman" w:hAnsi="Times New Roman" w:cs="Times New Roman"/>
        </w:rPr>
      </w:pPr>
      <w:r>
        <w:rPr>
          <w:rFonts w:ascii="Times New Roman" w:hAnsi="Times New Roman" w:cs="Times New Roman"/>
        </w:rPr>
        <w:t xml:space="preserve">Na príprave návrhu zákona sa nezúčastnili experti. </w:t>
      </w:r>
    </w:p>
    <w:p>
      <w:pPr>
        <w:pStyle w:val="BodyText"/>
        <w:jc w:val="center"/>
        <w:rPr>
          <w:rFonts w:ascii="Times New Roman" w:hAnsi="Times New Roman" w:cs="Times New Roman"/>
          <w:b/>
          <w:bCs/>
        </w:rPr>
      </w:pPr>
    </w:p>
    <w:p>
      <w:pPr>
        <w:pStyle w:val="BodyText"/>
        <w:jc w:val="center"/>
        <w:rPr>
          <w:rFonts w:ascii="Times New Roman" w:hAnsi="Times New Roman" w:cs="Times New Roman"/>
          <w:b/>
          <w:bCs/>
          <w:sz w:val="28"/>
        </w:rPr>
      </w:pPr>
      <w:r>
        <w:rPr>
          <w:rFonts w:ascii="Times New Roman" w:hAnsi="Times New Roman" w:cs="Times New Roman"/>
          <w:b/>
          <w:bCs/>
          <w:sz w:val="28"/>
        </w:rPr>
        <w:t xml:space="preserve">Doložka </w:t>
      </w:r>
    </w:p>
    <w:p>
      <w:pPr>
        <w:pStyle w:val="BodyText"/>
        <w:jc w:val="center"/>
        <w:rPr>
          <w:rFonts w:ascii="Times New Roman" w:hAnsi="Times New Roman" w:cs="Times New Roman"/>
          <w:b/>
          <w:bCs/>
          <w:sz w:val="28"/>
        </w:rPr>
      </w:pPr>
    </w:p>
    <w:p>
      <w:pPr>
        <w:pStyle w:val="BodyText"/>
        <w:jc w:val="center"/>
        <w:rPr>
          <w:rFonts w:ascii="Times New Roman" w:hAnsi="Times New Roman" w:cs="Times New Roman"/>
          <w:b/>
          <w:bCs/>
        </w:rPr>
      </w:pPr>
      <w:r>
        <w:rPr>
          <w:rFonts w:ascii="Times New Roman" w:hAnsi="Times New Roman" w:cs="Times New Roman"/>
          <w:b/>
          <w:bCs/>
        </w:rPr>
        <w:t>k návrhu zákona o jeho finančných a ekonomických vplyvoch,</w:t>
      </w:r>
    </w:p>
    <w:p>
      <w:pPr>
        <w:pStyle w:val="BodyText"/>
        <w:jc w:val="center"/>
        <w:rPr>
          <w:rFonts w:ascii="Times New Roman" w:hAnsi="Times New Roman" w:cs="Times New Roman"/>
        </w:rPr>
      </w:pPr>
      <w:r>
        <w:rPr>
          <w:rFonts w:ascii="Times New Roman" w:hAnsi="Times New Roman" w:cs="Times New Roman"/>
          <w:b/>
          <w:bCs/>
        </w:rPr>
        <w:t>environmentálnych vplyvoch a vplyvoch na zamestnanosť</w:t>
      </w:r>
      <w:r>
        <w:rPr>
          <w:rFonts w:ascii="Times New Roman" w:hAnsi="Times New Roman" w:cs="Times New Roman"/>
        </w:rPr>
        <w:t> </w:t>
      </w:r>
    </w:p>
    <w:p>
      <w:pPr>
        <w:pStyle w:val="BodyText"/>
        <w:ind w:left="705"/>
        <w:jc w:val="both"/>
        <w:rPr>
          <w:rFonts w:ascii="Times New Roman" w:hAnsi="Times New Roman" w:cs="Times New Roman"/>
          <w:b/>
          <w:bCs/>
        </w:rPr>
      </w:pPr>
    </w:p>
    <w:p>
      <w:pPr>
        <w:pStyle w:val="BodyText"/>
        <w:jc w:val="both"/>
        <w:rPr>
          <w:rFonts w:ascii="Times New Roman" w:hAnsi="Times New Roman" w:cs="Times New Roman"/>
          <w:b/>
          <w:bCs/>
        </w:rPr>
      </w:pPr>
    </w:p>
    <w:p>
      <w:pPr>
        <w:pStyle w:val="BodyText"/>
        <w:spacing w:after="120"/>
        <w:jc w:val="both"/>
        <w:rPr>
          <w:rFonts w:ascii="Times New Roman" w:hAnsi="Times New Roman" w:cs="Times New Roman"/>
          <w:b/>
          <w:bCs/>
        </w:rPr>
      </w:pPr>
      <w:r>
        <w:rPr>
          <w:rFonts w:ascii="Times New Roman" w:hAnsi="Times New Roman" w:cs="Times New Roman"/>
          <w:b/>
          <w:bCs/>
        </w:rPr>
        <w:t>1. Odhad dopadov na verejné financie</w:t>
      </w:r>
    </w:p>
    <w:p>
      <w:pPr>
        <w:pStyle w:val="BodyText2"/>
        <w:tabs>
          <w:tab w:val="left" w:pos="0"/>
        </w:tabs>
        <w:rPr>
          <w:rFonts w:ascii="Times New Roman" w:hAnsi="Times New Roman" w:cs="Times New Roman"/>
        </w:rPr>
      </w:pPr>
      <w:r>
        <w:rPr>
          <w:rFonts w:ascii="Times New Roman" w:hAnsi="Times New Roman" w:cs="Times New Roman"/>
        </w:rPr>
        <w:t>Prijatím predloženého zákona o hazardných hrách sa v súčasnosti nepredpokladá negatívny vplyv na štátny rozpočet, na rozpočty obcí ani na rozpočty vyšších územných celkov (samosprávnych krajov). Ako vyplýva z porovnania odvodov, spracovaného  v  „Koncepcii štátnej politiky v oblasti hazardných hier“ za jednotlivé kategórie hazardných hier, pri zachovaní tendencie vývoja v oblasti hazardných hier, (najmä štruktúry vkladov a výhernosti) je možné očakávať zvýšenie odvodov v oblasti hazardných hier pre štátny rozpočet SR a rozpočty obcí približne o 15 %. Vychádzajúc z údajov za rok 2003 môže pri navrhovanej účinnosti  zákona od 1. marca navýšenie  odvodov do štátneho rozpočtu pre rok 2005 dosiahnuť až 75 mil. Sk.</w:t>
      </w:r>
    </w:p>
    <w:p>
      <w:pPr>
        <w:pStyle w:val="BodyText2"/>
        <w:tabs>
          <w:tab w:val="left" w:pos="0"/>
          <w:tab w:val="left" w:pos="375"/>
        </w:tabs>
        <w:rPr>
          <w:rFonts w:ascii="Times New Roman" w:hAnsi="Times New Roman" w:cs="Times New Roman"/>
        </w:rPr>
      </w:pPr>
      <w:r>
        <w:rPr>
          <w:rFonts w:ascii="Times New Roman" w:hAnsi="Times New Roman" w:cs="Times New Roman"/>
        </w:rPr>
        <w:t xml:space="preserve">Podľa návrhu zákona bude sa rozširuje pôsobnosť obcí vo veciach hazardných hier. Na zabezpečenie týchto činností sa navrhuje upraviť príjmy obcí z hazardných hier tak, aby boli vytvorené predpoklady na plynulé pokračovanie povoľovacej činnosti a zavedenie výkonu dozoru pri prevádzkovaní výherných prístrojov.  Odvody, ktoré podľa návrhu zákona budú plynúť priamo obciam, sa zvyšujú u výherných prístrojov o 5 tis. Sk, tzn. na 45 tis. Sk na jeden prístroj (počet prístrojov k polroku 2004 prekročil 12 800 ks), zavádzajú sa odvody z prevádzkovania  videohier a technických zariadení obsluhovaných priamo hráčmi vo výške 3% a mení sa  systém výpočtu odvodov u niektorých hier. Na základe týchto zmien je možné očakávať navýšenie príjmov obcí až o  43 mil. Sk.  </w:t>
      </w:r>
    </w:p>
    <w:p>
      <w:pPr>
        <w:pStyle w:val="BodyText"/>
        <w:jc w:val="both"/>
        <w:rPr>
          <w:rFonts w:ascii="Times New Roman" w:hAnsi="Times New Roman" w:cs="Times New Roman"/>
        </w:rPr>
      </w:pPr>
      <w:r>
        <w:rPr>
          <w:rFonts w:ascii="Times New Roman" w:hAnsi="Times New Roman" w:cs="Times New Roman"/>
        </w:rPr>
        <w:t xml:space="preserve">Uvedená čiastka sa bude týkať všetkých obcí, na území ktorých sa budú predmetné hazardné hry prevádzkovať. Prostriedky budú prevádzkovatelia poukazovať priamo na účty jednotlivých obcí. </w:t>
      </w:r>
    </w:p>
    <w:p>
      <w:pPr>
        <w:pStyle w:val="BodyText"/>
        <w:jc w:val="both"/>
        <w:rPr>
          <w:rFonts w:ascii="Times New Roman" w:hAnsi="Times New Roman" w:cs="Times New Roman"/>
        </w:rPr>
      </w:pPr>
      <w:r>
        <w:rPr>
          <w:rFonts w:ascii="Times New Roman" w:hAnsi="Times New Roman" w:cs="Times New Roman"/>
        </w:rPr>
        <w:tab/>
      </w:r>
    </w:p>
    <w:p>
      <w:pPr>
        <w:pStyle w:val="BodyText"/>
        <w:jc w:val="both"/>
        <w:rPr>
          <w:rFonts w:ascii="Times New Roman" w:hAnsi="Times New Roman" w:cs="Times New Roman"/>
        </w:rPr>
      </w:pPr>
      <w:r>
        <w:rPr>
          <w:rFonts w:ascii="Times New Roman" w:hAnsi="Times New Roman" w:cs="Times New Roman"/>
          <w:b/>
          <w:bCs/>
        </w:rPr>
        <w:t>2. Odhad dopadov na obyvateľov, hospodárenie podnikateľskej sféry a iných právnických osôb</w:t>
      </w:r>
    </w:p>
    <w:p>
      <w:pPr>
        <w:pStyle w:val="BodyTextIndent2"/>
        <w:ind w:firstLine="0"/>
        <w:rPr>
          <w:rFonts w:ascii="Times New Roman" w:hAnsi="Times New Roman" w:cs="Times New Roman"/>
        </w:rPr>
      </w:pPr>
      <w:r>
        <w:rPr>
          <w:rFonts w:ascii="Times New Roman" w:hAnsi="Times New Roman" w:cs="Times New Roman"/>
        </w:rPr>
        <w:t xml:space="preserve">Realizáciou predloženého návrhu zákona sa nepredpokladá negatívny vplyv na    obyvateľov ani na hospodárenie podnikateľskej sféry a iných právnických osôb. </w:t>
      </w:r>
    </w:p>
    <w:p>
      <w:pPr>
        <w:jc w:val="both"/>
        <w:rPr>
          <w:rFonts w:ascii="Times New Roman" w:hAnsi="Times New Roman" w:cs="Times New Roman"/>
        </w:rPr>
      </w:pPr>
    </w:p>
    <w:p>
      <w:pPr>
        <w:pStyle w:val="BodyText"/>
        <w:spacing w:after="120"/>
        <w:jc w:val="both"/>
        <w:rPr>
          <w:rFonts w:ascii="Times New Roman" w:hAnsi="Times New Roman" w:cs="Times New Roman"/>
        </w:rPr>
      </w:pPr>
      <w:r>
        <w:rPr>
          <w:rFonts w:ascii="Times New Roman" w:hAnsi="Times New Roman" w:cs="Times New Roman"/>
          <w:b/>
          <w:bCs/>
        </w:rPr>
        <w:t>3. Odhad dopadov na životné prostredie</w:t>
      </w:r>
    </w:p>
    <w:p>
      <w:pPr>
        <w:pStyle w:val="BodyText"/>
        <w:jc w:val="both"/>
        <w:rPr>
          <w:rFonts w:ascii="Times New Roman" w:hAnsi="Times New Roman" w:cs="Times New Roman"/>
          <w:b/>
          <w:bCs/>
        </w:rPr>
      </w:pPr>
      <w:r>
        <w:rPr>
          <w:rFonts w:ascii="Times New Roman" w:hAnsi="Times New Roman" w:cs="Times New Roman"/>
        </w:rPr>
        <w:t xml:space="preserve">Realizáciou predloženého návrhu zákona sa nepredpokladá žiadny vplyv na životné prostredie.   </w:t>
      </w:r>
      <w:r>
        <w:rPr>
          <w:rFonts w:ascii="Times New Roman" w:hAnsi="Times New Roman" w:cs="Times New Roman"/>
          <w:b/>
          <w:bCs/>
        </w:rPr>
        <w:tab/>
      </w:r>
    </w:p>
    <w:p>
      <w:pPr>
        <w:pStyle w:val="BodyText"/>
        <w:ind w:firstLine="708"/>
        <w:jc w:val="both"/>
        <w:rPr>
          <w:rFonts w:ascii="Times New Roman" w:hAnsi="Times New Roman" w:cs="Times New Roman"/>
          <w:b/>
          <w:bCs/>
        </w:rPr>
      </w:pPr>
    </w:p>
    <w:p>
      <w:pPr>
        <w:pStyle w:val="BodyText"/>
        <w:spacing w:after="120"/>
        <w:jc w:val="both"/>
        <w:rPr>
          <w:rFonts w:ascii="Times New Roman" w:hAnsi="Times New Roman" w:cs="Times New Roman"/>
          <w:b/>
          <w:bCs/>
        </w:rPr>
      </w:pPr>
      <w:r>
        <w:rPr>
          <w:rFonts w:ascii="Times New Roman" w:hAnsi="Times New Roman" w:cs="Times New Roman"/>
          <w:b/>
          <w:bCs/>
        </w:rPr>
        <w:t>4. Odhad dopadov na zamestnanosť</w:t>
      </w:r>
    </w:p>
    <w:p>
      <w:pPr>
        <w:pStyle w:val="BodyText"/>
        <w:jc w:val="both"/>
        <w:rPr>
          <w:rFonts w:ascii="Times New Roman" w:hAnsi="Times New Roman" w:cs="Times New Roman"/>
        </w:rPr>
      </w:pPr>
      <w:r>
        <w:rPr>
          <w:rFonts w:ascii="Times New Roman" w:hAnsi="Times New Roman" w:cs="Times New Roman"/>
        </w:rPr>
        <w:t>Realizáciou predloženého návrhu zákona sa nepredpokladá žiadny vplyv na nezamestnanosť ani na zamestnanosť občanov Slovenskej republiky. </w:t>
      </w:r>
    </w:p>
    <w:p>
      <w:pPr>
        <w:pStyle w:val="BodyText"/>
        <w:jc w:val="both"/>
        <w:rPr>
          <w:rFonts w:ascii="Times New Roman" w:hAnsi="Times New Roman" w:cs="Times New Roman"/>
        </w:rPr>
      </w:pPr>
    </w:p>
    <w:p>
      <w:pPr>
        <w:pStyle w:val="BodyText"/>
        <w:jc w:val="both"/>
        <w:rPr>
          <w:rFonts w:ascii="Times New Roman" w:hAnsi="Times New Roman" w:cs="Times New Roman"/>
        </w:rPr>
      </w:pPr>
    </w:p>
    <w:p>
      <w:pPr>
        <w:pStyle w:val="BodyText"/>
        <w:jc w:val="both"/>
        <w:rPr>
          <w:rFonts w:ascii="Times New Roman" w:hAnsi="Times New Roman" w:cs="Times New Roman"/>
        </w:rPr>
      </w:pPr>
    </w:p>
    <w:p>
      <w:pPr>
        <w:pStyle w:val="Heading1"/>
        <w:spacing w:line="288" w:lineRule="auto"/>
        <w:jc w:val="center"/>
        <w:rPr>
          <w:rFonts w:ascii="Times New Roman" w:hAnsi="Times New Roman" w:cs="Times New Roman"/>
        </w:rPr>
      </w:pPr>
      <w:r>
        <w:rPr>
          <w:rFonts w:ascii="Times New Roman" w:hAnsi="Times New Roman" w:cs="Times New Roman"/>
        </w:rPr>
        <w:t>Osobitná časť</w:t>
      </w:r>
    </w:p>
    <w:p>
      <w:pPr>
        <w:spacing w:line="288" w:lineRule="auto"/>
        <w:rPr>
          <w:rFonts w:ascii="Times New Roman" w:hAnsi="Times New Roman" w:cs="Times New Roman"/>
          <w:b/>
          <w:bCs/>
        </w:rPr>
      </w:pPr>
    </w:p>
    <w:p>
      <w:pPr>
        <w:spacing w:line="288" w:lineRule="auto"/>
        <w:rPr>
          <w:rFonts w:ascii="Times New Roman" w:hAnsi="Times New Roman" w:cs="Times New Roman"/>
          <w:b/>
          <w:bCs/>
        </w:rPr>
      </w:pPr>
      <w:r>
        <w:rPr>
          <w:rFonts w:ascii="Times New Roman" w:hAnsi="Times New Roman" w:cs="Times New Roman"/>
          <w:b/>
          <w:bCs/>
        </w:rPr>
        <w:t>K Čl. I.</w:t>
      </w:r>
    </w:p>
    <w:p>
      <w:pPr>
        <w:spacing w:line="288" w:lineRule="auto"/>
        <w:rPr>
          <w:rFonts w:ascii="Times New Roman" w:hAnsi="Times New Roman" w:cs="Times New Roman"/>
          <w:b/>
          <w:bCs/>
        </w:rPr>
      </w:pPr>
    </w:p>
    <w:p>
      <w:pPr>
        <w:spacing w:line="288" w:lineRule="auto"/>
        <w:rPr>
          <w:rFonts w:ascii="Times New Roman" w:hAnsi="Times New Roman" w:cs="Times New Roman"/>
          <w:b/>
          <w:bCs/>
        </w:rPr>
      </w:pPr>
      <w:r>
        <w:rPr>
          <w:rFonts w:ascii="Times New Roman" w:hAnsi="Times New Roman" w:cs="Times New Roman"/>
          <w:b/>
          <w:bCs/>
        </w:rPr>
        <w:t>K § 1</w:t>
      </w:r>
    </w:p>
    <w:p>
      <w:pPr>
        <w:spacing w:line="288" w:lineRule="auto"/>
        <w:jc w:val="both"/>
        <w:rPr>
          <w:rFonts w:ascii="Times New Roman" w:hAnsi="Times New Roman" w:cs="Times New Roman"/>
          <w:color w:val="000000"/>
          <w:szCs w:val="20"/>
        </w:rPr>
      </w:pPr>
      <w:r>
        <w:rPr>
          <w:rFonts w:ascii="Times New Roman" w:hAnsi="Times New Roman" w:cs="Times New Roman"/>
        </w:rPr>
        <w:t xml:space="preserve">Predmet a účel úpravy definuje okruh spoločenských vzťahov a situácií, na ktoré sa vzťahujú ustanovenia navrhovaného zákona. Zákon sa vzťahuje na </w:t>
      </w:r>
      <w:r>
        <w:rPr>
          <w:rFonts w:ascii="Times New Roman" w:hAnsi="Times New Roman" w:cs="Times New Roman"/>
          <w:szCs w:val="20"/>
        </w:rPr>
        <w:t>hazardné hry, podmienky prevádzkovania hazardných hier a práva a povinnosti prevádzkovateľov hazardných hier a účastníkov hazardných hier, rozsah a podmienky prevádzkovania štátnych lotérií, podmienky na používanie technických zariadení určených na prevádzkovanie hazardných hier, štátnu reguláciu hazardných hier, niektoré podmienky vzniku  a činnosti národnej lotériovej spoločnosti, ochranu účastníkov hazardných hier, pôsobnosť orgánov štátnej správy a obcí na úsek</w:t>
      </w:r>
      <w:r>
        <w:rPr>
          <w:rFonts w:ascii="Times New Roman" w:hAnsi="Times New Roman" w:cs="Times New Roman"/>
          <w:szCs w:val="20"/>
        </w:rPr>
        <w:t xml:space="preserve">u hazardných hier, štátny dozor nad prevádzkovaním hazardných hier a </w:t>
      </w:r>
      <w:r>
        <w:rPr>
          <w:rFonts w:ascii="Times New Roman" w:hAnsi="Times New Roman" w:cs="Times New Roman"/>
          <w:color w:val="000000"/>
          <w:szCs w:val="20"/>
        </w:rPr>
        <w:t>sankcie za porušenie povinností na úseku hazardných hier.</w:t>
      </w:r>
    </w:p>
    <w:p>
      <w:pPr>
        <w:spacing w:line="288" w:lineRule="auto"/>
        <w:jc w:val="both"/>
        <w:rPr>
          <w:rFonts w:ascii="Times New Roman" w:hAnsi="Times New Roman" w:cs="Times New Roman"/>
          <w:color w:val="000000"/>
          <w:szCs w:val="20"/>
        </w:rPr>
      </w:pPr>
    </w:p>
    <w:p>
      <w:pPr>
        <w:spacing w:line="288" w:lineRule="auto"/>
        <w:jc w:val="both"/>
        <w:rPr>
          <w:rFonts w:ascii="Times New Roman" w:hAnsi="Times New Roman" w:cs="Times New Roman"/>
          <w:color w:val="000000"/>
          <w:szCs w:val="20"/>
        </w:rPr>
      </w:pPr>
      <w:r>
        <w:rPr>
          <w:rFonts w:ascii="Times New Roman" w:hAnsi="Times New Roman" w:cs="Times New Roman"/>
          <w:color w:val="000000"/>
          <w:szCs w:val="20"/>
        </w:rPr>
        <w:t>Zároveň sa konštatuje, že účelom zákona je vo verejnom záujme vytvoriť podmienky na ochranu verejného poriadku v rámci vyššie uvedených vzťahov a činností.</w:t>
      </w:r>
    </w:p>
    <w:p>
      <w:pPr>
        <w:spacing w:line="288" w:lineRule="auto"/>
        <w:rPr>
          <w:rFonts w:ascii="Times New Roman" w:hAnsi="Times New Roman" w:cs="Times New Roman"/>
          <w:color w:val="000000"/>
          <w:szCs w:val="20"/>
        </w:rPr>
      </w:pPr>
    </w:p>
    <w:p>
      <w:pPr>
        <w:pStyle w:val="BodyText3"/>
        <w:rPr>
          <w:rFonts w:ascii="Times New Roman" w:hAnsi="Times New Roman" w:cs="Times New Roman"/>
        </w:rPr>
      </w:pPr>
      <w:r>
        <w:rPr>
          <w:rFonts w:ascii="Times New Roman" w:hAnsi="Times New Roman" w:cs="Times New Roman"/>
        </w:rPr>
        <w:t xml:space="preserve">Zákon explicitne vylučuje tzv. spotrebiteľské hry (lotérie) z predmetu jeho úpravy. Tieto bude možné bez ohľadu na možnú formu výhry (peňažné alebo vecné výhry) realizovať bez povolenia štátnych orgánov. Týmto taktiež výhry zo spotrebiteľských lotérií už nebudú oslobodené od dane z príjmov. </w:t>
      </w:r>
    </w:p>
    <w:p>
      <w:pPr>
        <w:pStyle w:val="Heading1"/>
        <w:spacing w:line="288" w:lineRule="auto"/>
        <w:rPr>
          <w:rFonts w:ascii="Times New Roman" w:hAnsi="Times New Roman" w:cs="Times New Roman"/>
        </w:rPr>
      </w:pPr>
    </w:p>
    <w:p>
      <w:pPr>
        <w:pStyle w:val="Heading1"/>
        <w:spacing w:line="288" w:lineRule="auto"/>
        <w:rPr>
          <w:rFonts w:ascii="Times New Roman" w:hAnsi="Times New Roman" w:cs="Times New Roman"/>
        </w:rPr>
      </w:pPr>
      <w:r>
        <w:rPr>
          <w:rFonts w:ascii="Times New Roman" w:hAnsi="Times New Roman" w:cs="Times New Roman"/>
        </w:rPr>
        <w:t>K § 2</w:t>
      </w:r>
    </w:p>
    <w:p>
      <w:pPr>
        <w:spacing w:line="288" w:lineRule="auto"/>
        <w:jc w:val="both"/>
        <w:rPr>
          <w:rFonts w:ascii="Times New Roman" w:hAnsi="Times New Roman" w:cs="Times New Roman"/>
        </w:rPr>
      </w:pPr>
      <w:r>
        <w:rPr>
          <w:rFonts w:ascii="Times New Roman" w:hAnsi="Times New Roman" w:cs="Times New Roman"/>
        </w:rPr>
        <w:t xml:space="preserve">Na účely zákona sú vymedzené viaceré významné pojmy, ako napríklad prevádzkovateľ hazardnej hry, prevádzkovanie hazardnej hry, hráč, stávka, vklad, herný plán, finančná zábezpeka a podobne. Definované pojmy sa používajú v rámci celého zákona a tvoria kostru právnej úpravy. </w:t>
      </w:r>
    </w:p>
    <w:p>
      <w:pPr>
        <w:spacing w:line="288" w:lineRule="auto"/>
        <w:rPr>
          <w:rFonts w:ascii="Times New Roman" w:hAnsi="Times New Roman" w:cs="Times New Roman"/>
        </w:rPr>
      </w:pPr>
    </w:p>
    <w:p>
      <w:pPr>
        <w:pStyle w:val="Heading1"/>
        <w:spacing w:line="288" w:lineRule="auto"/>
        <w:rPr>
          <w:rFonts w:ascii="Times New Roman" w:hAnsi="Times New Roman" w:cs="Times New Roman"/>
        </w:rPr>
      </w:pPr>
      <w:r>
        <w:rPr>
          <w:rFonts w:ascii="Times New Roman" w:hAnsi="Times New Roman" w:cs="Times New Roman"/>
        </w:rPr>
        <w:t>K § 3</w:t>
      </w:r>
    </w:p>
    <w:p>
      <w:pPr>
        <w:spacing w:line="288" w:lineRule="auto"/>
        <w:jc w:val="both"/>
        <w:rPr>
          <w:rFonts w:ascii="Times New Roman" w:hAnsi="Times New Roman" w:cs="Times New Roman"/>
          <w:szCs w:val="20"/>
        </w:rPr>
      </w:pPr>
      <w:r>
        <w:rPr>
          <w:rFonts w:ascii="Times New Roman" w:hAnsi="Times New Roman" w:cs="Times New Roman"/>
        </w:rPr>
        <w:t xml:space="preserve">Na účely zákona sa za hazardné hry považujú </w:t>
      </w:r>
      <w:r>
        <w:rPr>
          <w:rFonts w:ascii="Times New Roman" w:hAnsi="Times New Roman" w:cs="Times New Roman"/>
          <w:color w:val="000000"/>
          <w:szCs w:val="20"/>
        </w:rPr>
        <w:t>všetky hry, v ktorých dobrovoľne zúčastnená fyzická osoba, ak existujú alebo nastanú stanovené podmienky, je oprávnená získať výhru v peniazoch, veciach alebo právach. Hraničný výsledok hazardnej hry (výhra alebo prehra) závisí výlučne alebo prevažne od náhody alebo od dopredu neznámeho výsledku určitej okolnosti alebo udalosti. Výsledok okolnosti alebo udalosti, ktorá určuje hraničný výsledok hazardnej hry (žrebovanie, športové súťaženie, dostih, pretek, hracie zariadenie a podobne), nesmie byť vopred nikomu známy a nesmie byť nikým ovplyvnený.</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 xml:space="preserve">Hazardné hry sa delia na </w:t>
      </w:r>
      <w:r>
        <w:rPr>
          <w:rFonts w:ascii="Times New Roman" w:hAnsi="Times New Roman" w:cs="Times New Roman"/>
          <w:szCs w:val="20"/>
        </w:rPr>
        <w:t xml:space="preserve">lotériové hry, hazardné hry v kasínach, stávkové hry, hazardné hry prevádzkované pomocou elektronicky, elektronickomechanicky alebo mechanicky riadených výherných prístrojov alebo podobných zariadení, hazardné hry prevádzkované pomocou technických zariadení obsluhovaných priamo hráčmi hazardných hier alebo prevádzkované prostredníctvom telekomunikačných zariadení a videohry, </w:t>
      </w:r>
      <w:r>
        <w:rPr>
          <w:rFonts w:ascii="Times New Roman" w:hAnsi="Times New Roman" w:cs="Times New Roman"/>
        </w:rPr>
        <w:t xml:space="preserve">hazardné hry prevádzkované cez internet. Nakoľko vzhľadom na dynamický  vývoj v oblasti herného priemyslu nie je možné definíciou exaktne postihnúť všetky hry, ktoré by napĺňali pojmové znaky hazardnej hry, zákon počíta s tzv. nepomenovanými hazardnými hrami, ktoré je možné prevádzkovať výlučne za podmienok stanovených zákonom o hazardných hrách. </w:t>
      </w:r>
    </w:p>
    <w:p>
      <w:pPr>
        <w:spacing w:line="288" w:lineRule="auto"/>
        <w:jc w:val="both"/>
        <w:rPr>
          <w:rFonts w:ascii="Times New Roman" w:hAnsi="Times New Roman" w:cs="Times New Roman"/>
          <w:szCs w:val="20"/>
        </w:rPr>
      </w:pPr>
    </w:p>
    <w:p>
      <w:pPr>
        <w:spacing w:line="288" w:lineRule="auto"/>
        <w:jc w:val="both"/>
        <w:rPr>
          <w:rFonts w:ascii="Times New Roman" w:hAnsi="Times New Roman" w:cs="Times New Roman"/>
          <w:szCs w:val="20"/>
        </w:rPr>
      </w:pPr>
      <w:r>
        <w:rPr>
          <w:rFonts w:ascii="Times New Roman" w:hAnsi="Times New Roman" w:cs="Times New Roman"/>
          <w:szCs w:val="20"/>
        </w:rPr>
        <w:t xml:space="preserve">Toto ustanovenie obsahuje taktiež negatívne vymedzenie hazardných hier. Ide o hry, ktoré by mohli do určitej miery splniť pojmové náležitosti hazardných hier, avšak v kontexte ich nie je potrebné takto posudzovať a podriadiť režimu podľa zákona o hazardných hrách. </w:t>
      </w:r>
    </w:p>
    <w:p>
      <w:pPr>
        <w:spacing w:line="288" w:lineRule="auto"/>
        <w:jc w:val="both"/>
        <w:rPr>
          <w:rFonts w:ascii="Times New Roman" w:hAnsi="Times New Roman" w:cs="Times New Roman"/>
          <w:szCs w:val="20"/>
        </w:rPr>
      </w:pPr>
    </w:p>
    <w:p>
      <w:pPr>
        <w:spacing w:line="288" w:lineRule="auto"/>
        <w:jc w:val="both"/>
        <w:rPr>
          <w:rFonts w:ascii="Times New Roman" w:hAnsi="Times New Roman" w:cs="Times New Roman"/>
          <w:color w:val="000000"/>
          <w:szCs w:val="20"/>
        </w:rPr>
      </w:pPr>
      <w:r>
        <w:rPr>
          <w:rFonts w:ascii="Times New Roman" w:hAnsi="Times New Roman" w:cs="Times New Roman"/>
          <w:szCs w:val="20"/>
        </w:rPr>
        <w:t xml:space="preserve">Zákon explicitne zakazuje hazardné hry </w:t>
      </w:r>
      <w:r>
        <w:rPr>
          <w:rFonts w:ascii="Times New Roman" w:hAnsi="Times New Roman" w:cs="Times New Roman"/>
          <w:color w:val="000000"/>
          <w:szCs w:val="20"/>
        </w:rPr>
        <w:t>ktoré nezaručujú všetkým hráčom rovnaké podmienky vrátane možnosti výhry, napríklad pyramídové hry alebo reťazové hry, pričom toto ustanovenie reaguje taktiež na § 250g Trestného zákona, ktorý upravuje skutkovú podstatu trestného činu prevádzkovania nepoctivých hier a stávok.</w:t>
      </w:r>
    </w:p>
    <w:p>
      <w:pPr>
        <w:spacing w:line="288" w:lineRule="auto"/>
        <w:rPr>
          <w:rFonts w:ascii="Times New Roman" w:hAnsi="Times New Roman" w:cs="Times New Roman"/>
          <w:color w:val="000000"/>
          <w:szCs w:val="20"/>
        </w:rPr>
      </w:pPr>
    </w:p>
    <w:p>
      <w:pPr>
        <w:pStyle w:val="Heading1"/>
        <w:spacing w:line="288" w:lineRule="auto"/>
        <w:rPr>
          <w:rFonts w:ascii="Times New Roman" w:hAnsi="Times New Roman" w:cs="Times New Roman"/>
        </w:rPr>
      </w:pPr>
      <w:r>
        <w:rPr>
          <w:rFonts w:ascii="Times New Roman" w:hAnsi="Times New Roman" w:cs="Times New Roman"/>
        </w:rPr>
        <w:t>K § 4 až § 9</w:t>
      </w:r>
    </w:p>
    <w:p>
      <w:pPr>
        <w:spacing w:line="288" w:lineRule="auto"/>
        <w:jc w:val="both"/>
        <w:rPr>
          <w:rFonts w:ascii="Times New Roman" w:hAnsi="Times New Roman" w:cs="Times New Roman"/>
        </w:rPr>
      </w:pPr>
      <w:r>
        <w:rPr>
          <w:rFonts w:ascii="Times New Roman" w:hAnsi="Times New Roman" w:cs="Times New Roman"/>
        </w:rPr>
        <w:t>Zákon obsahuje definície a popis lotériových hier, hier v kasínach a stávkových hier. Rovnako zákon definuje výherné prístroje, hry prevádzkované pomocou technických zariadení obsluhovaných priamo hráčmi hazardných hier alebo prevádzkované prostredníctvom telekomunikačných zariadení a videohry ako aj hazardné hry prevádzkované cez internet.</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 xml:space="preserve">Zákon definuje kritériá na zaradenie jednotlivých hazardných hier do zákonom rozoznávaných skupín alebo typov hier. </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Vzhľadom na rozvoj hracích zariadení zákon tu definuje taktiež nové kategórie a spôsoby prevádzkovania hazardných hier, ktoré doposiaľ absentovali v právnej úprave a pri aplikácii spôsobovali problémy.</w:t>
      </w:r>
    </w:p>
    <w:p>
      <w:pPr>
        <w:pStyle w:val="Heading1"/>
        <w:spacing w:line="288" w:lineRule="auto"/>
        <w:rPr>
          <w:rFonts w:ascii="Times New Roman" w:hAnsi="Times New Roman" w:cs="Times New Roman"/>
        </w:rPr>
      </w:pPr>
    </w:p>
    <w:p>
      <w:pPr>
        <w:pStyle w:val="Heading1"/>
        <w:spacing w:line="288" w:lineRule="auto"/>
        <w:rPr>
          <w:rFonts w:ascii="Times New Roman" w:hAnsi="Times New Roman" w:cs="Times New Roman"/>
        </w:rPr>
      </w:pPr>
      <w:r>
        <w:rPr>
          <w:rFonts w:ascii="Times New Roman" w:hAnsi="Times New Roman" w:cs="Times New Roman"/>
        </w:rPr>
        <w:t>K § 10 až 15</w:t>
      </w:r>
    </w:p>
    <w:p>
      <w:pPr>
        <w:spacing w:line="288" w:lineRule="auto"/>
        <w:jc w:val="both"/>
        <w:rPr>
          <w:rFonts w:ascii="Times New Roman" w:hAnsi="Times New Roman" w:cs="Times New Roman"/>
          <w:color w:val="000000"/>
          <w:szCs w:val="20"/>
        </w:rPr>
      </w:pPr>
      <w:r>
        <w:rPr>
          <w:rFonts w:ascii="Times New Roman" w:hAnsi="Times New Roman" w:cs="Times New Roman"/>
        </w:rPr>
        <w:t xml:space="preserve">Zákon určuje </w:t>
      </w:r>
      <w:r>
        <w:rPr>
          <w:rFonts w:ascii="Times New Roman" w:hAnsi="Times New Roman" w:cs="Times New Roman"/>
          <w:color w:val="000000"/>
          <w:szCs w:val="20"/>
        </w:rPr>
        <w:t>Ministerstvo financií Slovenskej republiky, Daňové riaditeľstvo Slovenskej republiky, daňové úrady a obce ako orgány poverené vykonávaním dozoru vo veciach hazardných hier. Zároveň zákon vymedzuje ich právomoci a kompetencie.</w:t>
      </w:r>
    </w:p>
    <w:p>
      <w:pPr>
        <w:pStyle w:val="BodyText3"/>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Zákon stanovuje práva a povinnosti orgánov dozoru a ich zamestnancov pri vykonávaní štátneho dozoru v oblasti hazardných hier. Zároveň ich zaväzuje k mlčanlivosti o skutočnostiach o ktorých sa dozvedeli pri výkone svojej činnosti pričom povinnosť mlčanlivosti trvá aj po skončení pracovného pomeru alebo výkonu činnosti.  Vychádzajúc z akceptácie nemožnosti a nevhodnosti absolutizovania požiadavky mlčanlivosti zákon rovnako obsahuje podmienky, za ktorých zamestnanci orgánu dozoru nie sú povinní mlčanlivosť zachovávať.</w:t>
      </w:r>
    </w:p>
    <w:p>
      <w:pPr>
        <w:pStyle w:val="BodyText3"/>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color w:val="000000"/>
          <w:szCs w:val="20"/>
        </w:rPr>
        <w:t xml:space="preserve">Dozorovanými subjektami sú v zmysle zákona </w:t>
      </w:r>
      <w:r>
        <w:rPr>
          <w:rFonts w:ascii="Times New Roman" w:hAnsi="Times New Roman" w:cs="Times New Roman"/>
        </w:rPr>
        <w:t>prevádzkovatelia hazardných hier, fyzické osoby oprávnené na podnikanie a právnické osoby, ktoré sa zúčastňujú na prevádzkovaní hazardných hier alebo na základe zmluvného alebo obdobného vzťahu vykonávajú činnosti pre prevádzkovateľa hazardnej hry, osoby, ktoré  na základe pracovnoprávneho pomeru, obdobného pomeru alebo zmluvného vzťahu k prevádzkovateľovi hazardnej hry vykonávajú činnosti pri prevádzkovaní hazardných hier. Medzi dozorované subjekty patria aj právnické osoby a fyzické osoby, ktoré prevádzkujú hazardné hry podľa tohto zákona bez licencie vydanej príslušným povoľujúcim orgánom. Pre vyššie uvedené dozorované subjekty zákon stanovuje práva a povinnosti.</w:t>
      </w:r>
    </w:p>
    <w:p>
      <w:pPr>
        <w:spacing w:line="288" w:lineRule="auto"/>
        <w:rPr>
          <w:rFonts w:ascii="Times New Roman" w:hAnsi="Times New Roman" w:cs="Times New Roman"/>
        </w:rPr>
      </w:pPr>
    </w:p>
    <w:p>
      <w:pPr>
        <w:spacing w:line="288" w:lineRule="auto"/>
        <w:rPr>
          <w:rFonts w:ascii="Times New Roman" w:hAnsi="Times New Roman" w:cs="Times New Roman"/>
          <w:b/>
          <w:bCs/>
        </w:rPr>
      </w:pPr>
      <w:r>
        <w:rPr>
          <w:rFonts w:ascii="Times New Roman" w:hAnsi="Times New Roman" w:cs="Times New Roman"/>
          <w:b/>
          <w:bCs/>
        </w:rPr>
        <w:t>K § 16 až § 28</w:t>
      </w:r>
    </w:p>
    <w:p>
      <w:pPr>
        <w:spacing w:line="288" w:lineRule="auto"/>
        <w:jc w:val="both"/>
        <w:rPr>
          <w:rFonts w:ascii="Times New Roman" w:hAnsi="Times New Roman" w:cs="Times New Roman"/>
        </w:rPr>
      </w:pPr>
      <w:r>
        <w:rPr>
          <w:rFonts w:ascii="Times New Roman" w:hAnsi="Times New Roman" w:cs="Times New Roman"/>
        </w:rPr>
        <w:t>Prevádzkovať hazardnú hru možno iba na základe licencie vydanej podľa zákona. Prevod získanej licencie je zakázaný. Uvedený zákaz platí aj pri predaji podniku alebo jeho časti na základe zmluvy o predaji podniku. Rovnako licencia neprechádza na právneho nástupcu pri splynutí, zlúčení prípade rozdelení prevádzkovateľa hry.</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 xml:space="preserve">Licenciu možno udeliť iba právnickej osobe spĺňajúcej zákonom stanovené požiadavky. </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Zákon rozoznáva niekoľko druhov licencií, ktoré sa odlišujú formou ich udeľovania, resp. podmienkami, pri splnení ktorých môže právnická osoba požiadať o udelenie licencie.</w:t>
      </w:r>
    </w:p>
    <w:p>
      <w:pPr>
        <w:spacing w:line="288" w:lineRule="auto"/>
        <w:jc w:val="both"/>
        <w:rPr>
          <w:rFonts w:ascii="Times New Roman" w:hAnsi="Times New Roman" w:cs="Times New Roman"/>
        </w:rPr>
      </w:pPr>
      <w:r>
        <w:rPr>
          <w:rFonts w:ascii="Times New Roman" w:hAnsi="Times New Roman" w:cs="Times New Roman"/>
        </w:rPr>
        <w:t xml:space="preserve">Na základe všeobecnej licencie možno prevádzkovať hry vo forme žrebových vecných lotérií a tombol. Ministerstvo financií Slovenskej republiky zverejní pripravený návrh všeobecnej licencie tak, že osoby, ktorých sa bude v budúcnosti týkať pri prevádzkovaní hazardných hier majú možnosť návrh v danej lehote pripomienkovať. Až po vyhodnotení pripomienok Ministerstvo financií Slovenskej republiky všeobecnú licenciu vyhlási a táto sa stáva podkladom pre prevádzkovanie vymedzeného okruhu hazardných hier. Takto prevádzkovatelia tombol a žrebových vecných lotérií v mimoriadne zjednodušenom postupe iba oznamujú prevádzkovanie hazardnej hry bez toho, aby museli žiadať o individuálnu licenciu. Odpadá tak administratívne náročnejší proces rozhodovania o žiadosti o udelenie licencie. </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Ak nie je v zákone uvedené inak, ostatné hazardné hry možno prevádzkovať na základe individuálnej licencie. Individuálna licencia sa vydáva na prevádzkovanie konkrétnej hry. Zákon vymedzuje podmienky, ktoré musí splniť žiadateľ o udelenie licencie na prevádzkovanie príslušných hazardných hier. Podmienky sú viazané najmä na dostatočnosť a prehľadnosť zdrojov, využívaných pri prevádzkovaní hier, transparentné vzťahy v rámci obchodných spoločností, uchádzajúcich sa o prevádzkovanie hazardných hier. Významným predpokladom zabezpečenia stability trhu v sektore hazardných hier je stanovenie primeranej a dostatočnej úrovne základného imania. Pri jeho určení pre jednotlivé druhy hazardných hier  sa vychádzalo z doterajších skúseností,  požiadavky na zjednodušenie administratívneho procesu v licenčnom konaní, určenia rovnakých podmienok pre žiadateľov o prevádzkovanie jednotlivých druhov. V záujme posilnenia likvidity sa súčasne navrhuje výlučne peňažná forma vkladu do základného imania. Ďalej sú presne vymedzené požiadavky na obsah žiadosti a jej prílohy, ako aj na subjekt žiadateľa o vydanie licencie.</w:t>
      </w:r>
    </w:p>
    <w:p>
      <w:pPr>
        <w:spacing w:line="288" w:lineRule="auto"/>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Individuálnu licenciu vydá pre výherné prístroje obec. V ostatných prípadoch je povoľujúcim orgánom Ministerstvo financií Slovenskej republiky. Doba platnosti licencie je obmedzená a rozlišuje sa podľa druhu ha</w:t>
      </w:r>
      <w:r>
        <w:rPr>
          <w:rFonts w:ascii="Times New Roman" w:hAnsi="Times New Roman" w:cs="Times New Roman"/>
        </w:rPr>
        <w:t xml:space="preserve">zardnej hry. </w:t>
      </w:r>
    </w:p>
    <w:p>
      <w:pPr>
        <w:pStyle w:val="BodyText2"/>
        <w:spacing w:line="288" w:lineRule="auto"/>
        <w:rPr>
          <w:rFonts w:ascii="Times New Roman" w:hAnsi="Times New Roman" w:cs="Times New Roman"/>
        </w:rPr>
      </w:pPr>
    </w:p>
    <w:p>
      <w:pPr>
        <w:pStyle w:val="BodyText2"/>
        <w:spacing w:line="288" w:lineRule="auto"/>
        <w:rPr>
          <w:rFonts w:ascii="Times New Roman" w:hAnsi="Times New Roman" w:cs="Times New Roman"/>
        </w:rPr>
      </w:pPr>
      <w:r>
        <w:rPr>
          <w:rFonts w:ascii="Times New Roman" w:hAnsi="Times New Roman" w:cs="Times New Roman"/>
        </w:rPr>
        <w:t xml:space="preserve">Individuálne licencie sú tzv. nárokovými licenciami. Povoľujúci orgán ich udelí každému, kto splní v zákone ustanovené podmienky. </w:t>
      </w:r>
    </w:p>
    <w:p>
      <w:pPr>
        <w:pStyle w:val="BodyText2"/>
        <w:spacing w:line="288" w:lineRule="auto"/>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Okrem vyššie uvedeného rozdelenia licencií zákon rozoznáva osobitné licencie na prevádzkovanie hazardných hier v kasíne a licenciu na prevádzkovanie štátnych lotérií. Zákon vymedzuje, čo sú štátne lotérie a v súlade s princípmi minimalizácie spoločenských rizík spojených s hazardnými hrami možno licenciu na prevádzkovanie číselných lotérií, špeciálneho binga a hazardných hier, prevádzkovaných prostredníctvom internetu vydať iba národnej lotériovej spoločnosti. Z  analogického princípu sa vychádzalo pri návrhu licencie na prevádzkovanie hazardných hier v kasíne.</w:t>
      </w:r>
    </w:p>
    <w:p>
      <w:pPr>
        <w:spacing w:line="288" w:lineRule="auto"/>
        <w:rPr>
          <w:rFonts w:ascii="Times New Roman" w:hAnsi="Times New Roman" w:cs="Times New Roman"/>
        </w:rPr>
      </w:pPr>
    </w:p>
    <w:p>
      <w:pPr>
        <w:spacing w:line="288" w:lineRule="auto"/>
        <w:rPr>
          <w:rFonts w:ascii="Times New Roman" w:hAnsi="Times New Roman" w:cs="Times New Roman"/>
          <w:b/>
          <w:bCs/>
        </w:rPr>
      </w:pPr>
      <w:r>
        <w:rPr>
          <w:rFonts w:ascii="Times New Roman" w:hAnsi="Times New Roman" w:cs="Times New Roman"/>
          <w:b/>
          <w:bCs/>
        </w:rPr>
        <w:t>K § 29 až 33</w:t>
      </w:r>
    </w:p>
    <w:p>
      <w:pPr>
        <w:pStyle w:val="BodyTextIndent"/>
        <w:spacing w:before="0" w:line="288" w:lineRule="auto"/>
        <w:ind w:firstLine="0"/>
        <w:rPr>
          <w:rFonts w:ascii="Times New Roman" w:hAnsi="Times New Roman" w:cs="Times New Roman"/>
        </w:rPr>
      </w:pPr>
      <w:r>
        <w:rPr>
          <w:rFonts w:ascii="Times New Roman" w:hAnsi="Times New Roman" w:cs="Times New Roman"/>
        </w:rPr>
        <w:t>Prevádzkovateľ hazardnej hry alebo žiadateľ o vydanie licencie je povinný nechať odborne posúdiť nasledovné zariadenia a systémy používané pri prevádzkovaní hazardnej hry: výherné prístroje, technické zariadenia priamo obsluhované hráčmi, zariadenia využívané pri prevádzkovaní videohier, zariadenia využívané pri prevádzkovaní binga, elektronické spojenie medzi jednotlivými prevádzkami prevádzkovateľa hazardnej hry a centrálnym miestom spracovania hazardnej hry, prepojenie a zabezpečenie prepojenia na elektronické komunikačné siete, ak sú používa</w:t>
      </w:r>
      <w:r>
        <w:rPr>
          <w:rFonts w:ascii="Times New Roman" w:hAnsi="Times New Roman" w:cs="Times New Roman"/>
        </w:rPr>
        <w:t>né na prevádzkovanie hazardnej hry, softvér, ktorým sa priamo prevádzkuje hazardná hra.</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V zmysle zákona je prevádzkovateľ hazardnej hry povinný zabezpečiť odborné posúdenie zariadení a systémov vždy pred začiatkom prevádzkovania hazardnej hry na základe novej licencie a po uplynutí doby, na ktorú je osvedčenie vydané. Zariadenia a systémy môžu odborne posudzovať len subjekty poverené ministerstvom, a to len tie zariadenia a spojenia, ktoré budú mať uvedené v poverení. Poverenie subjekt získa na základe žia</w:t>
      </w:r>
      <w:r>
        <w:rPr>
          <w:rFonts w:ascii="Times New Roman" w:hAnsi="Times New Roman" w:cs="Times New Roman"/>
        </w:rPr>
        <w:t>dosti a po splnení zákonom stanovených podmienok.</w:t>
      </w:r>
    </w:p>
    <w:p>
      <w:pPr>
        <w:spacing w:line="288" w:lineRule="auto"/>
        <w:rPr>
          <w:rFonts w:ascii="Times New Roman" w:hAnsi="Times New Roman" w:cs="Times New Roman"/>
        </w:rPr>
      </w:pPr>
    </w:p>
    <w:p>
      <w:pPr>
        <w:spacing w:line="288" w:lineRule="auto"/>
        <w:rPr>
          <w:rFonts w:ascii="Times New Roman" w:hAnsi="Times New Roman" w:cs="Times New Roman"/>
          <w:b/>
          <w:bCs/>
        </w:rPr>
      </w:pPr>
      <w:r>
        <w:rPr>
          <w:rFonts w:ascii="Times New Roman" w:hAnsi="Times New Roman" w:cs="Times New Roman"/>
          <w:b/>
          <w:bCs/>
        </w:rPr>
        <w:t>K § 34</w:t>
      </w:r>
    </w:p>
    <w:p>
      <w:pPr>
        <w:spacing w:line="288" w:lineRule="auto"/>
        <w:jc w:val="both"/>
        <w:rPr>
          <w:rFonts w:ascii="Times New Roman" w:hAnsi="Times New Roman" w:cs="Times New Roman"/>
          <w:szCs w:val="20"/>
        </w:rPr>
      </w:pPr>
      <w:r>
        <w:rPr>
          <w:rFonts w:ascii="Times New Roman" w:hAnsi="Times New Roman" w:cs="Times New Roman"/>
        </w:rPr>
        <w:t>V zmysle zákona je p</w:t>
      </w:r>
      <w:r>
        <w:rPr>
          <w:rFonts w:ascii="Times New Roman" w:hAnsi="Times New Roman" w:cs="Times New Roman"/>
          <w:szCs w:val="20"/>
        </w:rPr>
        <w:t xml:space="preserve">revádzkovateľ hazardnej hry zodpovedný počas celej doby platnosti licencie za dodržiavanie podmienok potrebných k vydaniu predmetnej licencie a za plnenie podmienok uvedených v licencii. Tejto zodpovednosti sa nemôže zbaviť. Na území Slovenskej republiky možno propagovať len tie hazardné hry, na ktoré bola udelená licencia v zmysle tohto zákona. Prevádzkovateľ hazardnej hry je povinný dbať o to, aby jeho zamestnanci a ďalšie osoby spolupracujúce a vykonávajúce činnosti pri prevádzkovaní hazardných hier plnili povinnosti ustanovené týmto zákonom. Osoba oprávnená prijímať stávky alebo vklady sa nesmie zúčastňovať ako hráč hazardnej hry, v ktorej stávky alebo vklady prijíma. </w:t>
      </w:r>
    </w:p>
    <w:p>
      <w:pPr>
        <w:spacing w:line="288" w:lineRule="auto"/>
        <w:jc w:val="both"/>
        <w:rPr>
          <w:rFonts w:ascii="Times New Roman" w:hAnsi="Times New Roman" w:cs="Times New Roman"/>
          <w:szCs w:val="20"/>
        </w:rPr>
      </w:pPr>
    </w:p>
    <w:p>
      <w:pPr>
        <w:pStyle w:val="BodyText2"/>
        <w:spacing w:line="288" w:lineRule="auto"/>
        <w:rPr>
          <w:rFonts w:ascii="Times New Roman" w:hAnsi="Times New Roman" w:cs="Times New Roman"/>
          <w:szCs w:val="20"/>
        </w:rPr>
      </w:pPr>
      <w:r>
        <w:rPr>
          <w:rFonts w:ascii="Times New Roman" w:hAnsi="Times New Roman" w:cs="Times New Roman"/>
          <w:szCs w:val="20"/>
        </w:rPr>
        <w:t>Účasť na hazardných hrách je zakázaná osobám mladším ako 18 rokov. Prevádzkovateľ hazardnej hry je povinný vykonať opatrenia, aby sa tieto osoby nemohli zúčastňovať hazardných hier. Prevádzkovateľ hazardnej hry a orgán dozoru má právo na tieto účely požadovať predloženie preukazu totožnosti.</w:t>
      </w:r>
    </w:p>
    <w:p>
      <w:pPr>
        <w:spacing w:line="288" w:lineRule="auto"/>
        <w:jc w:val="both"/>
        <w:rPr>
          <w:rFonts w:ascii="Times New Roman" w:hAnsi="Times New Roman" w:cs="Times New Roman"/>
          <w:szCs w:val="20"/>
        </w:rPr>
      </w:pPr>
    </w:p>
    <w:p>
      <w:pPr>
        <w:spacing w:line="288" w:lineRule="auto"/>
        <w:jc w:val="both"/>
        <w:rPr>
          <w:rFonts w:ascii="Times New Roman" w:hAnsi="Times New Roman" w:cs="Times New Roman"/>
          <w:szCs w:val="20"/>
        </w:rPr>
      </w:pPr>
      <w:r>
        <w:rPr>
          <w:rFonts w:ascii="Times New Roman" w:hAnsi="Times New Roman" w:cs="Times New Roman"/>
          <w:szCs w:val="20"/>
        </w:rPr>
        <w:t>Okrem uvedeného zákon kladie ďalšie požiadavky na spôsob, rozsah a dobu prevádzkovania hazardných hier ako aj zodpovednosť prevádzkovateľa.</w:t>
      </w:r>
    </w:p>
    <w:p>
      <w:pPr>
        <w:spacing w:line="288" w:lineRule="auto"/>
        <w:rPr>
          <w:rFonts w:ascii="Times New Roman" w:hAnsi="Times New Roman" w:cs="Times New Roman"/>
          <w:szCs w:val="20"/>
        </w:rPr>
      </w:pPr>
    </w:p>
    <w:p>
      <w:pPr>
        <w:pStyle w:val="Heading1"/>
        <w:spacing w:line="288" w:lineRule="auto"/>
        <w:rPr>
          <w:rFonts w:ascii="Times New Roman" w:hAnsi="Times New Roman" w:cs="Times New Roman"/>
          <w:szCs w:val="20"/>
        </w:rPr>
      </w:pPr>
      <w:r>
        <w:rPr>
          <w:rFonts w:ascii="Times New Roman" w:hAnsi="Times New Roman" w:cs="Times New Roman"/>
          <w:szCs w:val="20"/>
        </w:rPr>
        <w:t>K § 35 až 37</w:t>
      </w:r>
    </w:p>
    <w:p>
      <w:pPr>
        <w:pStyle w:val="BodyText2"/>
        <w:spacing w:line="288" w:lineRule="auto"/>
        <w:rPr>
          <w:rFonts w:ascii="Times New Roman" w:hAnsi="Times New Roman" w:cs="Times New Roman"/>
          <w:szCs w:val="20"/>
        </w:rPr>
      </w:pPr>
      <w:r>
        <w:rPr>
          <w:rFonts w:ascii="Times New Roman" w:hAnsi="Times New Roman" w:cs="Times New Roman"/>
          <w:szCs w:val="20"/>
        </w:rPr>
        <w:t>Na základe osobitého významu práv a záujmov chránených prostredníctvom finančnej zábezpeky zákon stanovuje presné podmienky na nakladanie s ňou. V zmysle zákona je zásadne obmedzená možnosť disponovania s finančnou zábezpekou, ako aj presne stanovená jej minimálna výška. Požadovaná minimálna výška finančnej zábezpeky je určen</w:t>
      </w:r>
      <w:r>
        <w:rPr>
          <w:rFonts w:ascii="Times New Roman" w:hAnsi="Times New Roman" w:cs="Times New Roman"/>
          <w:szCs w:val="20"/>
        </w:rPr>
        <w:t xml:space="preserve">á v závislosti od výšky hernej istiny a druhu hazardnej hry. </w:t>
      </w:r>
    </w:p>
    <w:p>
      <w:pPr>
        <w:pStyle w:val="BodyText2"/>
        <w:spacing w:line="288" w:lineRule="auto"/>
        <w:rPr>
          <w:rFonts w:ascii="Times New Roman" w:hAnsi="Times New Roman" w:cs="Times New Roman"/>
          <w:b/>
          <w:szCs w:val="20"/>
        </w:rPr>
      </w:pPr>
    </w:p>
    <w:p>
      <w:pPr>
        <w:spacing w:line="288" w:lineRule="auto"/>
        <w:jc w:val="both"/>
        <w:rPr>
          <w:rFonts w:ascii="Times New Roman" w:hAnsi="Times New Roman" w:cs="Times New Roman"/>
          <w:szCs w:val="20"/>
        </w:rPr>
      </w:pPr>
      <w:r>
        <w:rPr>
          <w:rFonts w:ascii="Times New Roman" w:hAnsi="Times New Roman" w:cs="Times New Roman"/>
          <w:szCs w:val="20"/>
        </w:rPr>
        <w:t>Prevádzkovateľ hry je povinný odvádzať odvod do štátneho rozpočtu. Výška odvodu je určená v závislosti od výšky hernej istiny a druhu hazardnej hry. Rovnako v závislosti od druhu hry je určená lehota na uskutočnenie odvodu.</w:t>
      </w:r>
    </w:p>
    <w:p>
      <w:pPr>
        <w:spacing w:line="288" w:lineRule="auto"/>
        <w:jc w:val="both"/>
        <w:rPr>
          <w:rFonts w:ascii="Times New Roman" w:hAnsi="Times New Roman" w:cs="Times New Roman"/>
          <w:szCs w:val="20"/>
        </w:rPr>
      </w:pPr>
    </w:p>
    <w:p>
      <w:pPr>
        <w:spacing w:line="288" w:lineRule="auto"/>
        <w:jc w:val="both"/>
        <w:rPr>
          <w:rFonts w:ascii="Times New Roman" w:hAnsi="Times New Roman" w:cs="Times New Roman"/>
          <w:szCs w:val="20"/>
        </w:rPr>
      </w:pPr>
      <w:r>
        <w:rPr>
          <w:rFonts w:ascii="Times New Roman" w:hAnsi="Times New Roman" w:cs="Times New Roman"/>
          <w:szCs w:val="20"/>
        </w:rPr>
        <w:t xml:space="preserve">Stanovenie úrovne finančnej zábezpeky a odvodov vychádza z rozdielneho charakteru jednotlivých druhov hier. Pri určení jej výšky rozhodujúcim kritériom bolo najmä zabezpečenie primeranej výšky zdrojov na výplatu výhier v prípade vyššej výhernosti, tak aby neboli poškodené nároky hráčov. Osobitosť jednotlivých druhov hier bola východiskom i pri vymedzení výšky odvodov, ktorá sa odráža jednak v stanovení základne pre výpočet  ako aj v určení podielu /percenta/, resp. stanovení </w:t>
      </w:r>
      <w:r>
        <w:rPr>
          <w:rFonts w:ascii="Times New Roman" w:hAnsi="Times New Roman" w:cs="Times New Roman"/>
          <w:szCs w:val="20"/>
        </w:rPr>
        <w:t xml:space="preserve">výšky odvodov absolútne. </w:t>
      </w:r>
    </w:p>
    <w:p>
      <w:pPr>
        <w:spacing w:line="288" w:lineRule="auto"/>
        <w:jc w:val="both"/>
        <w:rPr>
          <w:rFonts w:ascii="Times New Roman" w:hAnsi="Times New Roman" w:cs="Times New Roman"/>
          <w:b/>
          <w:szCs w:val="20"/>
        </w:rPr>
      </w:pPr>
    </w:p>
    <w:p>
      <w:pPr>
        <w:spacing w:line="288" w:lineRule="auto"/>
        <w:jc w:val="both"/>
        <w:rPr>
          <w:rFonts w:ascii="Times New Roman" w:hAnsi="Times New Roman" w:cs="Times New Roman"/>
        </w:rPr>
      </w:pPr>
      <w:r>
        <w:rPr>
          <w:rFonts w:ascii="Times New Roman" w:hAnsi="Times New Roman" w:cs="Times New Roman"/>
          <w:szCs w:val="20"/>
        </w:rPr>
        <w:t xml:space="preserve">Prevádzkovateľ hazardnej hry prevádzkovanej v herni musí vyhotoviť prevádzkové pravidlá herne obsahujúce minimálne: </w:t>
      </w:r>
      <w:r>
        <w:rPr>
          <w:rFonts w:ascii="Times New Roman" w:hAnsi="Times New Roman" w:cs="Times New Roman"/>
        </w:rPr>
        <w:t>otváracie hodiny herne, práva a povinnosti návštevníkov herne, práva a povinnosti dozoru herne, označenie stáleho</w:t>
      </w:r>
      <w:r>
        <w:rPr>
          <w:rFonts w:ascii="Times New Roman" w:hAnsi="Times New Roman" w:cs="Times New Roman"/>
        </w:rPr>
        <w:t xml:space="preserve"> dozoru herne.</w:t>
      </w:r>
    </w:p>
    <w:p>
      <w:pPr>
        <w:spacing w:line="288" w:lineRule="auto"/>
        <w:rPr>
          <w:rFonts w:ascii="Times New Roman" w:hAnsi="Times New Roman" w:cs="Times New Roman"/>
        </w:rPr>
      </w:pPr>
    </w:p>
    <w:p>
      <w:pPr>
        <w:spacing w:line="288" w:lineRule="auto"/>
        <w:rPr>
          <w:rFonts w:ascii="Times New Roman" w:hAnsi="Times New Roman" w:cs="Times New Roman"/>
          <w:b/>
          <w:bCs/>
        </w:rPr>
      </w:pPr>
      <w:r>
        <w:rPr>
          <w:rFonts w:ascii="Times New Roman" w:hAnsi="Times New Roman" w:cs="Times New Roman"/>
          <w:b/>
          <w:bCs/>
        </w:rPr>
        <w:t>K § 38 až 44</w:t>
      </w:r>
    </w:p>
    <w:p>
      <w:pPr>
        <w:spacing w:line="288" w:lineRule="auto"/>
        <w:jc w:val="both"/>
        <w:rPr>
          <w:rFonts w:ascii="Times New Roman" w:hAnsi="Times New Roman" w:cs="Times New Roman"/>
        </w:rPr>
      </w:pPr>
      <w:r>
        <w:rPr>
          <w:rFonts w:ascii="Times New Roman" w:hAnsi="Times New Roman" w:cs="Times New Roman"/>
        </w:rPr>
        <w:t>Zákon stanovuje popri všeobecných pravidlách aj osobitné pravidlá pre prevádzkovanie lotérií. Hernou istinou pri tombolách, žrebových lotériách, okamžitých lotériách a iných lotériách, kde budú vydávané žreby, je počet predaných žrebov vynásobený cenou za jeden žreb. Hernou istinou pri číselných lotériách je suma rovnajúca sa výške prijatých vkladov. Pravdepodobnosť výhry pri žrebových lotériách, tombolách a okamžitých lotériách nesmie byť nižšia ako 1:200. Najnižšia výhra pri tombolách a žrebových lotériách musí mať hodnotu ceny žrebu. Úhrnná hodnota výhier pri žrebových lotériách, tombolách a okamžitých lotériách nesmie byť nižšia ako 30 % hernej istiny.</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Rovnako zákon stanovuje podmienky predaja žrebov, tlače žrebov, náležitostí žrebov, vyraďovania žrebov, znehodnocovania žrebov, podmienky žrebovania a podmienky a lehoty na uplatnenie nároku na výhru.</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Zákon stanovuje osobe odborne spôsobilej a zodpovednej za prevádzkovanie lotérie povinnosť určiť zodpovedného zástupcu s právami a povinnosťami určenými v zákone.</w:t>
      </w:r>
    </w:p>
    <w:p>
      <w:pPr>
        <w:pStyle w:val="Heading1"/>
        <w:spacing w:line="288" w:lineRule="auto"/>
        <w:rPr>
          <w:rFonts w:ascii="Times New Roman" w:hAnsi="Times New Roman" w:cs="Times New Roman"/>
        </w:rPr>
      </w:pPr>
    </w:p>
    <w:p>
      <w:pPr>
        <w:pStyle w:val="Heading1"/>
        <w:spacing w:line="288" w:lineRule="auto"/>
        <w:rPr>
          <w:rFonts w:ascii="Times New Roman" w:hAnsi="Times New Roman" w:cs="Times New Roman"/>
        </w:rPr>
      </w:pPr>
      <w:r>
        <w:rPr>
          <w:rFonts w:ascii="Times New Roman" w:hAnsi="Times New Roman" w:cs="Times New Roman"/>
        </w:rPr>
        <w:t xml:space="preserve">K § 45 </w:t>
      </w:r>
    </w:p>
    <w:p>
      <w:pPr>
        <w:spacing w:line="288" w:lineRule="auto"/>
        <w:jc w:val="both"/>
        <w:rPr>
          <w:rFonts w:ascii="Times New Roman" w:hAnsi="Times New Roman" w:cs="Times New Roman"/>
        </w:rPr>
      </w:pPr>
      <w:r>
        <w:rPr>
          <w:rFonts w:ascii="Times New Roman" w:hAnsi="Times New Roman" w:cs="Times New Roman"/>
        </w:rPr>
        <w:t xml:space="preserve">Prevádzkovanie hazardných hier v kasíne sa spravuje osobitnými požiadavkami zákona. </w:t>
      </w:r>
    </w:p>
    <w:p>
      <w:pPr>
        <w:spacing w:line="288" w:lineRule="auto"/>
        <w:jc w:val="both"/>
        <w:rPr>
          <w:rFonts w:ascii="Times New Roman" w:hAnsi="Times New Roman" w:cs="Times New Roman"/>
        </w:rPr>
      </w:pPr>
      <w:r>
        <w:rPr>
          <w:rFonts w:ascii="Times New Roman" w:hAnsi="Times New Roman" w:cs="Times New Roman"/>
        </w:rPr>
        <w:t>Zákon výslovne zakazuje osobám zamestnaným v kasíne zúčastniť sa na stávkových hrách v kasíne, kde sú zamestnané. Ak tieto osoby vykonávajú odborné činnosti, nesmú sa zúčastňovať na stávkových hrách v kasínach povolených v celej Slovenskej republike.</w:t>
      </w:r>
    </w:p>
    <w:p>
      <w:pPr>
        <w:pStyle w:val="BodyText2"/>
        <w:spacing w:line="288" w:lineRule="auto"/>
        <w:rPr>
          <w:rFonts w:ascii="Times New Roman" w:hAnsi="Times New Roman" w:cs="Times New Roman"/>
        </w:rPr>
      </w:pPr>
    </w:p>
    <w:p>
      <w:pPr>
        <w:pStyle w:val="BodyText2"/>
        <w:spacing w:line="288" w:lineRule="auto"/>
        <w:rPr>
          <w:rFonts w:ascii="Times New Roman" w:hAnsi="Times New Roman" w:cs="Times New Roman"/>
        </w:rPr>
      </w:pPr>
      <w:r>
        <w:rPr>
          <w:rFonts w:ascii="Times New Roman" w:hAnsi="Times New Roman" w:cs="Times New Roman"/>
        </w:rPr>
        <w:t>Zákon taktiež stanovuje požiadavky na žetóny a spôsob zaobchádzania s nimi. Samostatne zákon stanovuje pravidlá pre nakladanie s obslužným.</w:t>
      </w:r>
    </w:p>
    <w:p>
      <w:pPr>
        <w:spacing w:line="288" w:lineRule="auto"/>
        <w:rPr>
          <w:rFonts w:ascii="Times New Roman" w:hAnsi="Times New Roman" w:cs="Times New Roman"/>
        </w:rPr>
      </w:pPr>
      <w:r>
        <w:rPr>
          <w:rFonts w:ascii="Times New Roman" w:hAnsi="Times New Roman" w:cs="Times New Roman"/>
        </w:rPr>
        <w:tab/>
      </w:r>
    </w:p>
    <w:p>
      <w:pPr>
        <w:pStyle w:val="Heading1"/>
        <w:spacing w:line="288" w:lineRule="auto"/>
        <w:rPr>
          <w:rFonts w:ascii="Times New Roman" w:hAnsi="Times New Roman" w:cs="Times New Roman"/>
        </w:rPr>
      </w:pPr>
      <w:r>
        <w:rPr>
          <w:rFonts w:ascii="Times New Roman" w:hAnsi="Times New Roman" w:cs="Times New Roman"/>
        </w:rPr>
        <w:t>K § 46 až 50</w:t>
      </w:r>
    </w:p>
    <w:p>
      <w:pPr>
        <w:spacing w:line="288" w:lineRule="auto"/>
        <w:jc w:val="both"/>
        <w:rPr>
          <w:rFonts w:ascii="Times New Roman" w:hAnsi="Times New Roman" w:cs="Times New Roman"/>
        </w:rPr>
      </w:pPr>
      <w:r>
        <w:rPr>
          <w:rFonts w:ascii="Times New Roman" w:hAnsi="Times New Roman" w:cs="Times New Roman"/>
        </w:rPr>
        <w:t>Zákon obsahuje osobitné požiadavky na prevádzkovanie stávkových hier, výherných prístrojov a na prevádzkovanie hier prostredníctvom technických zariadení obsluhovaných priamo hráčmi, prostredníctvom telekomunikačných zariadení a vi</w:t>
      </w:r>
      <w:r>
        <w:rPr>
          <w:rFonts w:ascii="Times New Roman" w:hAnsi="Times New Roman" w:cs="Times New Roman"/>
        </w:rPr>
        <w:t>deohier.</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Pri prevádzkovaní stávkových hier je prevádzkovateľ, okrem všeobecných požiadaviek na prevádzkovanie hier, povinný dodržať obmedzenie týkajúce sa najmä prijímania stávok, personálnom prepojení v prípade stávkujúceho a prevádzkovateľa hazardnej a prevádzkovateľa, vo vzťahu k predmetu  stávky.</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 xml:space="preserve">Zákon stanovuje presné pravidlá na prevádzku výherných prístrojov. Pravidlá sa týkajú najmä výšky vkladu a zaobchádzania s ním. Výšky výhry, kontrolu výherných prístrojov prostredníctvom oprávneného subjektu </w:t>
      </w:r>
      <w:r>
        <w:rPr>
          <w:rFonts w:ascii="Times New Roman" w:hAnsi="Times New Roman" w:cs="Times New Roman"/>
        </w:rPr>
        <w:t>ako aj podmienky a rozsah tzv. „prémiovej hry“.</w:t>
      </w:r>
    </w:p>
    <w:p>
      <w:pPr>
        <w:spacing w:line="288" w:lineRule="auto"/>
        <w:jc w:val="both"/>
        <w:rPr>
          <w:rFonts w:ascii="Times New Roman" w:hAnsi="Times New Roman" w:cs="Times New Roman"/>
        </w:rPr>
      </w:pPr>
    </w:p>
    <w:p>
      <w:pPr>
        <w:spacing w:line="288" w:lineRule="auto"/>
        <w:jc w:val="both"/>
        <w:rPr>
          <w:rFonts w:ascii="Times New Roman" w:hAnsi="Times New Roman" w:cs="Times New Roman"/>
        </w:rPr>
      </w:pPr>
      <w:r>
        <w:rPr>
          <w:rFonts w:ascii="Times New Roman" w:hAnsi="Times New Roman" w:cs="Times New Roman"/>
        </w:rPr>
        <w:t xml:space="preserve">Prevádzkovateľ hier prostredníctvom technických zariadení obsluhovaných priamo hráčmi, prostredníctvom telekomunikačných zariadení a videohier je povinný najmä zabezpečiť, aby boli v pri ním prevádzkovaných hrách dodržané ustanovenia zákona o maximálnej a minimálnej výške vkladu a o možnosti hráčov oboznámiť sa s herným plánom. </w:t>
      </w:r>
    </w:p>
    <w:p>
      <w:pPr>
        <w:spacing w:line="288" w:lineRule="auto"/>
        <w:rPr>
          <w:rFonts w:ascii="Times New Roman" w:hAnsi="Times New Roman" w:cs="Times New Roman"/>
        </w:rPr>
      </w:pPr>
    </w:p>
    <w:p>
      <w:pPr>
        <w:pStyle w:val="Heading1"/>
        <w:spacing w:line="288" w:lineRule="auto"/>
        <w:rPr>
          <w:rFonts w:ascii="Times New Roman" w:hAnsi="Times New Roman" w:cs="Times New Roman"/>
        </w:rPr>
      </w:pPr>
      <w:r>
        <w:rPr>
          <w:rFonts w:ascii="Times New Roman" w:hAnsi="Times New Roman" w:cs="Times New Roman"/>
        </w:rPr>
        <w:t>K § 51 a § 52</w:t>
      </w:r>
    </w:p>
    <w:p>
      <w:pPr>
        <w:spacing w:line="288" w:lineRule="auto"/>
        <w:jc w:val="both"/>
        <w:rPr>
          <w:rFonts w:ascii="Times New Roman" w:hAnsi="Times New Roman" w:cs="Times New Roman"/>
          <w:szCs w:val="28"/>
        </w:rPr>
      </w:pPr>
      <w:r>
        <w:rPr>
          <w:rFonts w:ascii="Times New Roman" w:hAnsi="Times New Roman" w:cs="Times New Roman"/>
        </w:rPr>
        <w:t xml:space="preserve">Zákon vyhradil prevádzkovanie niektorých hier národnej lotériovej spoločnosti. V osobitných ustanovenia týkajúcich sa národnej lotériovej spoločnosti zákon ustanovuje, že </w:t>
      </w:r>
      <w:r>
        <w:rPr>
          <w:rFonts w:ascii="Times New Roman" w:hAnsi="Times New Roman" w:cs="Times New Roman"/>
          <w:szCs w:val="28"/>
        </w:rPr>
        <w:t>Národná lotériová spoločnosť je akciová spoločnosť, kde zakladateľmi a akcionármi môže byť len Slovenská republika zastúpená ministerstvom alebo iná národná lotériová spoločnosť. Sídlo národnej lotériovej spoločnosti je na území Slovenskej republiky. Obchodné meno národnej lotériovej spoločnosti obsahuje označenie „národná lotériová spoločnosť“ alebo skratku „n.l.s.“ Označenie národná lotériová spoločnosť ani jeho preklady nesmie užívať žiadna iná fyzická alebo právnická osoba. Prevod akcií osobám, ktoré nemôžu byť zakladateľmi alebo akcionármi národnej lotériovej spoločnosti je neplatný. Zmena formy národnej lotériovej spoločnosti nie je možná. Základné imanie národnej lotériovej spoločnosti je minimálne 10 000 000 Sk. Akcie národnej lotériovej spoločnosti sú akcie na meno v zaknihovanej podobe. Zmena formy alebo podoby akcií národnej lotériovej spoločnosti sa nepripúšťa. Národná lotériová spoločnosť nemôže vydávať žiadne akcie určené pre zamestnancov, an</w:t>
      </w:r>
      <w:r>
        <w:rPr>
          <w:rFonts w:ascii="Times New Roman" w:hAnsi="Times New Roman" w:cs="Times New Roman"/>
          <w:szCs w:val="28"/>
        </w:rPr>
        <w:t xml:space="preserve">i prioritné akcie. </w:t>
      </w:r>
    </w:p>
    <w:p>
      <w:pPr>
        <w:spacing w:line="288" w:lineRule="auto"/>
        <w:jc w:val="both"/>
        <w:rPr>
          <w:rFonts w:ascii="Times New Roman" w:hAnsi="Times New Roman" w:cs="Times New Roman"/>
          <w:szCs w:val="28"/>
        </w:rPr>
      </w:pPr>
      <w:r>
        <w:rPr>
          <w:rFonts w:ascii="Times New Roman" w:hAnsi="Times New Roman" w:cs="Times New Roman"/>
          <w:szCs w:val="28"/>
        </w:rPr>
        <w:t>Národná lotériová spoločnosť súčasne môže vykonávať niektoré alebo všetky podnikateľské činnosti uvedené v zákone. Výkon podnikateľských činností môže byť viazaný na splnenie podmienok vymedzených navrhovaným zákonom alebo osobitnými zá</w:t>
      </w:r>
      <w:r>
        <w:rPr>
          <w:rFonts w:ascii="Times New Roman" w:hAnsi="Times New Roman" w:cs="Times New Roman"/>
          <w:szCs w:val="28"/>
        </w:rPr>
        <w:t xml:space="preserve">konmi. </w:t>
      </w:r>
    </w:p>
    <w:p>
      <w:pPr>
        <w:spacing w:line="288" w:lineRule="auto"/>
        <w:rPr>
          <w:rFonts w:ascii="Times New Roman" w:hAnsi="Times New Roman" w:cs="Times New Roman"/>
          <w:szCs w:val="28"/>
        </w:rPr>
      </w:pPr>
    </w:p>
    <w:p>
      <w:pPr>
        <w:spacing w:line="288" w:lineRule="auto"/>
        <w:rPr>
          <w:rFonts w:ascii="Times New Roman" w:hAnsi="Times New Roman" w:cs="Times New Roman"/>
          <w:b/>
          <w:bCs/>
          <w:szCs w:val="28"/>
        </w:rPr>
      </w:pPr>
      <w:r>
        <w:rPr>
          <w:rFonts w:ascii="Times New Roman" w:hAnsi="Times New Roman" w:cs="Times New Roman"/>
          <w:b/>
          <w:bCs/>
          <w:szCs w:val="28"/>
        </w:rPr>
        <w:t>K § 53 až 55</w:t>
      </w:r>
    </w:p>
    <w:p>
      <w:pPr>
        <w:spacing w:line="288" w:lineRule="auto"/>
        <w:jc w:val="both"/>
        <w:rPr>
          <w:rFonts w:ascii="Times New Roman" w:hAnsi="Times New Roman" w:cs="Times New Roman"/>
          <w:szCs w:val="28"/>
        </w:rPr>
      </w:pPr>
      <w:r>
        <w:rPr>
          <w:rFonts w:ascii="Times New Roman" w:hAnsi="Times New Roman" w:cs="Times New Roman"/>
          <w:szCs w:val="28"/>
        </w:rPr>
        <w:t xml:space="preserve">Navrhuje sa, aby ak </w:t>
      </w:r>
      <w:r>
        <w:rPr>
          <w:rFonts w:ascii="Times New Roman" w:hAnsi="Times New Roman" w:cs="Times New Roman"/>
        </w:rPr>
        <w:t xml:space="preserve">orgány dozoru v rámci výkonu svojej pôsobnosti podľa zákona zistia, že dozorované subjekty porušili svoje povinnosti podľa zákona, podmienky prevádzkovania hazardných hier podľa príslušnej licencie, povinnosti podľa herného plánu, povinnosti podľa pravidiel hazardných hier alebo nesplnili povinnosti im uložené právoplatným rozhodnutím orgánu dozoru, mohli za podmienok stanovených zákonom </w:t>
      </w:r>
      <w:r>
        <w:rPr>
          <w:rFonts w:ascii="Times New Roman" w:hAnsi="Times New Roman" w:cs="Times New Roman"/>
          <w:szCs w:val="28"/>
        </w:rPr>
        <w:t>uložiť dozorovaným subjektom, ktoré porušili svoje povinnosti sankcie uvedené v zákone prípadne ich zaviazať na iné konanie v zmysle zákona. Vymedzenie sankcií zahŕňa sankcie finančného a nefinančného charakteru a pokuty v prípade priestupkov a správnych deliktov.</w:t>
      </w:r>
    </w:p>
    <w:p>
      <w:pPr>
        <w:spacing w:line="288" w:lineRule="auto"/>
        <w:rPr>
          <w:rFonts w:ascii="Times New Roman" w:hAnsi="Times New Roman" w:cs="Times New Roman"/>
          <w:szCs w:val="28"/>
        </w:rPr>
      </w:pPr>
    </w:p>
    <w:p>
      <w:pPr>
        <w:spacing w:line="288" w:lineRule="auto"/>
        <w:rPr>
          <w:rFonts w:ascii="Times New Roman" w:hAnsi="Times New Roman" w:cs="Times New Roman"/>
          <w:b/>
          <w:bCs/>
          <w:szCs w:val="28"/>
        </w:rPr>
      </w:pPr>
      <w:r>
        <w:rPr>
          <w:rFonts w:ascii="Times New Roman" w:hAnsi="Times New Roman" w:cs="Times New Roman"/>
          <w:b/>
          <w:bCs/>
          <w:szCs w:val="28"/>
        </w:rPr>
        <w:t>K § 56</w:t>
      </w:r>
    </w:p>
    <w:p>
      <w:pPr>
        <w:spacing w:line="288" w:lineRule="auto"/>
        <w:jc w:val="both"/>
        <w:rPr>
          <w:rFonts w:ascii="Times New Roman" w:hAnsi="Times New Roman" w:cs="Times New Roman"/>
          <w:szCs w:val="28"/>
        </w:rPr>
      </w:pPr>
      <w:r>
        <w:rPr>
          <w:rFonts w:ascii="Times New Roman" w:hAnsi="Times New Roman" w:cs="Times New Roman"/>
          <w:szCs w:val="28"/>
        </w:rPr>
        <w:t>Ak zákon nestanovuje inak, na konania podľa zákona sa použije všeobecný predpis o správnom konaní. Na  prevádzkovateľov hazardných hier, okrem úpravy podľa tohto zákona sa vzťahuje Obchodný zákonník.</w:t>
      </w:r>
    </w:p>
    <w:p>
      <w:pPr>
        <w:spacing w:line="288" w:lineRule="auto"/>
        <w:jc w:val="both"/>
        <w:rPr>
          <w:rFonts w:ascii="Times New Roman" w:hAnsi="Times New Roman" w:cs="Times New Roman"/>
          <w:szCs w:val="28"/>
        </w:rPr>
      </w:pPr>
    </w:p>
    <w:p>
      <w:pPr>
        <w:spacing w:line="288" w:lineRule="auto"/>
        <w:jc w:val="both"/>
        <w:rPr>
          <w:rFonts w:ascii="Times New Roman" w:hAnsi="Times New Roman" w:cs="Times New Roman"/>
          <w:szCs w:val="28"/>
        </w:rPr>
      </w:pPr>
    </w:p>
    <w:p>
      <w:pPr>
        <w:spacing w:line="288" w:lineRule="auto"/>
        <w:rPr>
          <w:rFonts w:ascii="Times New Roman" w:hAnsi="Times New Roman" w:cs="Times New Roman"/>
          <w:b/>
          <w:bCs/>
          <w:szCs w:val="28"/>
        </w:rPr>
      </w:pPr>
      <w:r>
        <w:rPr>
          <w:rFonts w:ascii="Times New Roman" w:hAnsi="Times New Roman" w:cs="Times New Roman"/>
          <w:b/>
          <w:bCs/>
          <w:szCs w:val="28"/>
        </w:rPr>
        <w:t xml:space="preserve"> K § 57 a § 58</w:t>
      </w:r>
    </w:p>
    <w:p>
      <w:pPr>
        <w:pStyle w:val="BodyText2"/>
        <w:spacing w:line="288" w:lineRule="auto"/>
        <w:rPr>
          <w:rFonts w:ascii="Times New Roman" w:hAnsi="Times New Roman" w:cs="Times New Roman"/>
          <w:szCs w:val="28"/>
        </w:rPr>
      </w:pPr>
      <w:r>
        <w:rPr>
          <w:rFonts w:ascii="Times New Roman" w:hAnsi="Times New Roman" w:cs="Times New Roman"/>
          <w:szCs w:val="28"/>
        </w:rPr>
        <w:t>Prechodnými ustanoveniami sa upravuje postup príslušných orgánov pre konania o vydaní povolenia na prevádzkovanie lotérie alebo inej podobnej hry začaté do účinnosti zákona a pre konania o udelení pokút začaté do účinnosti navrhovaného zákona.  Rovnako sa stanovuje režim, podľa ktorého sa spravujú povolenia na prevádzkovanie lotérií a iných podobných hier vydané podľa predpisov účinných do účinnosti navrhovaného zákona.</w:t>
      </w:r>
    </w:p>
    <w:p>
      <w:pPr>
        <w:spacing w:line="288" w:lineRule="auto"/>
        <w:jc w:val="both"/>
        <w:rPr>
          <w:rFonts w:ascii="Times New Roman" w:hAnsi="Times New Roman" w:cs="Times New Roman"/>
          <w:szCs w:val="28"/>
        </w:rPr>
      </w:pPr>
    </w:p>
    <w:p>
      <w:pPr>
        <w:spacing w:line="288" w:lineRule="auto"/>
        <w:jc w:val="both"/>
        <w:rPr>
          <w:rFonts w:ascii="Times New Roman" w:hAnsi="Times New Roman" w:cs="Times New Roman"/>
          <w:szCs w:val="28"/>
        </w:rPr>
      </w:pPr>
      <w:r>
        <w:rPr>
          <w:rFonts w:ascii="Times New Roman" w:hAnsi="Times New Roman" w:cs="Times New Roman"/>
          <w:szCs w:val="28"/>
        </w:rPr>
        <w:t>Zrušujúcimi ustanoveniami dochádza k zrušeniu zákona č. 194/1990 Zb. o lotériách a iných podobných hrách v znení neskorších predpisov.</w:t>
      </w:r>
    </w:p>
    <w:p>
      <w:pPr>
        <w:spacing w:line="288" w:lineRule="auto"/>
        <w:rPr>
          <w:rFonts w:ascii="Times New Roman" w:hAnsi="Times New Roman" w:cs="Times New Roman"/>
          <w:szCs w:val="28"/>
        </w:rPr>
      </w:pPr>
    </w:p>
    <w:p>
      <w:pPr>
        <w:spacing w:line="288" w:lineRule="auto"/>
        <w:rPr>
          <w:rFonts w:ascii="Times New Roman" w:hAnsi="Times New Roman" w:cs="Times New Roman"/>
          <w:szCs w:val="28"/>
        </w:rPr>
      </w:pPr>
    </w:p>
    <w:p>
      <w:pPr>
        <w:spacing w:line="288" w:lineRule="auto"/>
        <w:rPr>
          <w:rFonts w:ascii="Times New Roman" w:hAnsi="Times New Roman" w:cs="Times New Roman"/>
          <w:b/>
          <w:bCs/>
          <w:szCs w:val="28"/>
        </w:rPr>
      </w:pPr>
      <w:r>
        <w:rPr>
          <w:rFonts w:ascii="Times New Roman" w:hAnsi="Times New Roman" w:cs="Times New Roman"/>
          <w:b/>
          <w:bCs/>
          <w:szCs w:val="28"/>
        </w:rPr>
        <w:t>K Čl. II</w:t>
      </w:r>
    </w:p>
    <w:p>
      <w:pPr>
        <w:spacing w:line="288" w:lineRule="auto"/>
        <w:jc w:val="both"/>
        <w:rPr>
          <w:rFonts w:ascii="Times New Roman" w:hAnsi="Times New Roman" w:cs="Times New Roman"/>
          <w:b/>
          <w:bCs/>
          <w:szCs w:val="28"/>
        </w:rPr>
      </w:pPr>
      <w:r>
        <w:rPr>
          <w:rFonts w:ascii="Times New Roman" w:hAnsi="Times New Roman" w:cs="Times New Roman"/>
        </w:rPr>
        <w:t xml:space="preserve">Navrhovanou novelizáciu zákona č. 145/1995 Z.z. o správnych poplatkoch v znení neskorších predpisov sa zabezpečuje súlad s príslušnými ustanoveniami návrhu zákona o hazardných hrách a reflektujú sa nové potreby pri úprave poplatkových povinností, týkajúcich sa prevádzkovania hazardných hier. </w:t>
      </w:r>
    </w:p>
    <w:p>
      <w:pPr>
        <w:spacing w:line="288" w:lineRule="auto"/>
        <w:jc w:val="both"/>
        <w:rPr>
          <w:rFonts w:ascii="Times New Roman" w:hAnsi="Times New Roman" w:cs="Times New Roman"/>
          <w:b/>
          <w:bCs/>
          <w:szCs w:val="28"/>
        </w:rPr>
      </w:pPr>
    </w:p>
    <w:p>
      <w:pPr>
        <w:spacing w:line="288"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 </w:t>
      </w:r>
    </w:p>
    <w:p>
      <w:pPr>
        <w:spacing w:line="288" w:lineRule="auto"/>
        <w:rPr>
          <w:rFonts w:ascii="Times New Roman" w:hAnsi="Times New Roman" w:cs="Times New Roman"/>
          <w:b/>
          <w:bCs/>
        </w:rPr>
      </w:pPr>
      <w:r>
        <w:rPr>
          <w:rFonts w:ascii="Times New Roman" w:hAnsi="Times New Roman" w:cs="Times New Roman"/>
          <w:b/>
          <w:bCs/>
        </w:rPr>
        <w:t>K Čl. III.</w:t>
      </w:r>
    </w:p>
    <w:p>
      <w:pPr>
        <w:pStyle w:val="BodyTextIndent"/>
        <w:spacing w:before="0" w:line="288" w:lineRule="auto"/>
        <w:ind w:firstLine="0"/>
        <w:rPr>
          <w:rFonts w:ascii="Times New Roman" w:hAnsi="Times New Roman" w:cs="Times New Roman"/>
          <w:b/>
          <w:bCs/>
          <w:szCs w:val="28"/>
        </w:rPr>
      </w:pPr>
      <w:r>
        <w:rPr>
          <w:rFonts w:ascii="Times New Roman" w:hAnsi="Times New Roman" w:cs="Times New Roman"/>
        </w:rPr>
        <w:t>Navrhovanou novelizáciu zákona č. 40/1964 Zb. Občiansky zákonník v znení neskorších predpisov sa zabezpečuje súlad s príslušnými ustanoveniami návrhu zákona o hazardných hrách.</w:t>
      </w:r>
    </w:p>
    <w:p>
      <w:pPr>
        <w:pStyle w:val="BodyTextIndent"/>
        <w:spacing w:before="0" w:line="288" w:lineRule="auto"/>
        <w:ind w:firstLine="0"/>
        <w:rPr>
          <w:rFonts w:ascii="Times New Roman" w:hAnsi="Times New Roman" w:cs="Times New Roman"/>
        </w:rPr>
      </w:pPr>
      <w:r>
        <w:rPr>
          <w:rFonts w:ascii="Times New Roman" w:hAnsi="Times New Roman" w:cs="Times New Roman"/>
        </w:rPr>
        <w:t>Ustanovenie § 846 zákona č. 40/1964 Zb. Občiansky zákonník v znení neskorších predpisov sa mení tak, že ustanovenia Občianskeho zákonníka upravujúce stávku a hru sa nevzťahujú na hazardné hry vykonávané podľa zákona o hazardných hrách.</w:t>
      </w:r>
    </w:p>
    <w:p>
      <w:pPr>
        <w:spacing w:line="288" w:lineRule="auto"/>
        <w:rPr>
          <w:rFonts w:ascii="Times New Roman" w:hAnsi="Times New Roman" w:cs="Times New Roman"/>
          <w:b/>
        </w:rPr>
      </w:pPr>
    </w:p>
    <w:p>
      <w:pPr>
        <w:spacing w:line="288" w:lineRule="auto"/>
        <w:rPr>
          <w:rFonts w:ascii="Times New Roman" w:hAnsi="Times New Roman" w:cs="Times New Roman"/>
          <w:b/>
        </w:rPr>
      </w:pPr>
      <w:r>
        <w:rPr>
          <w:rFonts w:ascii="Times New Roman" w:hAnsi="Times New Roman" w:cs="Times New Roman"/>
          <w:b/>
        </w:rPr>
        <w:t>K Čl. IV.</w:t>
      </w:r>
    </w:p>
    <w:p>
      <w:pPr>
        <w:spacing w:line="288" w:lineRule="auto"/>
        <w:jc w:val="both"/>
        <w:rPr>
          <w:rFonts w:ascii="Times New Roman" w:hAnsi="Times New Roman" w:cs="Times New Roman"/>
        </w:rPr>
      </w:pPr>
      <w:r>
        <w:rPr>
          <w:rFonts w:ascii="Times New Roman" w:hAnsi="Times New Roman" w:cs="Times New Roman"/>
        </w:rPr>
        <w:t xml:space="preserve">Navrhovanou úpravou zákona č.367/2000 Z.z. o ochrane pred legalizáciou príjmov z trestnej činnosti v bodoch 1 a 2 sa zabezpečuje súlad novoupravených pojmov v oblasti hazardných hier s predmetným zákonom. </w:t>
      </w:r>
    </w:p>
    <w:p>
      <w:pPr>
        <w:spacing w:line="288" w:lineRule="auto"/>
        <w:jc w:val="both"/>
        <w:rPr>
          <w:rFonts w:ascii="Times New Roman" w:hAnsi="Times New Roman" w:cs="Times New Roman"/>
        </w:rPr>
      </w:pPr>
      <w:r>
        <w:rPr>
          <w:rFonts w:ascii="Times New Roman" w:hAnsi="Times New Roman" w:cs="Times New Roman"/>
        </w:rPr>
        <w:t>Úpravy navrhované v bodoch 3 a 4 umožnia kontrolu právnických osôb a fyzických osôb, ktoré už nevykonávajú činnosti na základe ktorých boli povinnými osobami za obdobie, keď vykonávali tieto činnosti, ako aj ich postih, ak v čase, keď boli povinnými osobami porušili ustanovenia zákona o ochrane pred legalizáciou príjmov z trestnej činnosti.</w:t>
      </w:r>
    </w:p>
    <w:p>
      <w:pPr>
        <w:spacing w:line="288" w:lineRule="auto"/>
        <w:rPr>
          <w:rFonts w:ascii="Times New Roman" w:hAnsi="Times New Roman" w:cs="Times New Roman"/>
        </w:rPr>
      </w:pPr>
      <w:r>
        <w:rPr>
          <w:rFonts w:ascii="Times New Roman" w:hAnsi="Times New Roman" w:cs="Times New Roman"/>
        </w:rPr>
        <w:t xml:space="preserve"> </w:t>
      </w:r>
    </w:p>
    <w:p>
      <w:pPr>
        <w:spacing w:line="288" w:lineRule="auto"/>
        <w:rPr>
          <w:rFonts w:ascii="Times New Roman" w:hAnsi="Times New Roman" w:cs="Times New Roman"/>
          <w:b/>
          <w:bCs/>
        </w:rPr>
      </w:pPr>
      <w:r>
        <w:rPr>
          <w:rFonts w:ascii="Times New Roman" w:hAnsi="Times New Roman" w:cs="Times New Roman"/>
          <w:b/>
          <w:bCs/>
        </w:rPr>
        <w:t>K Čl. V.</w:t>
      </w:r>
    </w:p>
    <w:p>
      <w:pPr>
        <w:pStyle w:val="BodyTextIndent"/>
        <w:spacing w:before="0" w:line="288" w:lineRule="auto"/>
        <w:ind w:firstLine="0"/>
        <w:rPr>
          <w:rFonts w:ascii="Times New Roman" w:hAnsi="Times New Roman" w:cs="Times New Roman"/>
        </w:rPr>
      </w:pPr>
      <w:r>
        <w:rPr>
          <w:rFonts w:ascii="Times New Roman" w:hAnsi="Times New Roman" w:cs="Times New Roman"/>
        </w:rPr>
        <w:t>Účinnosť zákona sa navrhuje o</w:t>
      </w:r>
      <w:r>
        <w:rPr>
          <w:rFonts w:ascii="Times New Roman" w:hAnsi="Times New Roman" w:cs="Times New Roman"/>
        </w:rPr>
        <w:t>d 1. marca 2005.</w:t>
      </w:r>
    </w:p>
    <w:p>
      <w:pPr>
        <w:pStyle w:val="BodyTextIndent"/>
        <w:spacing w:before="0" w:line="288" w:lineRule="auto"/>
        <w:ind w:firstLine="0"/>
        <w:rPr>
          <w:rFonts w:ascii="Times New Roman" w:hAnsi="Times New Roman" w:cs="Times New Roman"/>
        </w:rPr>
      </w:pPr>
    </w:p>
    <w:p>
      <w:pPr>
        <w:pStyle w:val="BodyTextIndent"/>
        <w:spacing w:before="0" w:line="288" w:lineRule="auto"/>
        <w:ind w:firstLine="0"/>
        <w:rPr>
          <w:rFonts w:ascii="Times New Roman" w:hAnsi="Times New Roman" w:cs="Times New Roman"/>
        </w:rPr>
      </w:pPr>
    </w:p>
    <w:p>
      <w:pPr>
        <w:pStyle w:val="BodyTextIndent"/>
        <w:spacing w:before="0" w:line="288" w:lineRule="auto"/>
        <w:ind w:firstLine="0"/>
        <w:rPr>
          <w:rFonts w:ascii="Times New Roman" w:hAnsi="Times New Roman" w:cs="Times New Roman"/>
        </w:rPr>
      </w:pPr>
      <w:r>
        <w:rPr>
          <w:rFonts w:ascii="Times New Roman" w:hAnsi="Times New Roman" w:cs="Times New Roman"/>
        </w:rPr>
        <w:t>Bratislava 24. novembra 2004</w:t>
      </w:r>
    </w:p>
    <w:p>
      <w:pPr>
        <w:pStyle w:val="BodyTextIndent"/>
        <w:spacing w:before="0" w:line="288" w:lineRule="auto"/>
        <w:ind w:firstLine="0"/>
        <w:rPr>
          <w:rFonts w:ascii="Times New Roman" w:hAnsi="Times New Roman" w:cs="Times New Roman"/>
        </w:rPr>
      </w:pPr>
    </w:p>
    <w:p>
      <w:pPr>
        <w:pStyle w:val="BodyTextIndent"/>
        <w:spacing w:before="0" w:line="288" w:lineRule="auto"/>
        <w:ind w:firstLine="0"/>
        <w:rPr>
          <w:rFonts w:ascii="Times New Roman" w:hAnsi="Times New Roman" w:cs="Times New Roman"/>
        </w:rPr>
      </w:pPr>
    </w:p>
    <w:tbl>
      <w:tblPr>
        <w:tblpPr w:leftFromText="141" w:rightFromText="141" w:vertAnchor="text" w:horzAnchor="margin" w:tblpY="516"/>
        <w:tblW w:w="0" w:type="auto"/>
        <w:tblCellMar>
          <w:top w:w="0" w:type="dxa"/>
          <w:left w:w="70" w:type="dxa"/>
          <w:bottom w:w="0" w:type="dxa"/>
          <w:right w:w="70" w:type="dxa"/>
        </w:tblCellMar>
      </w:tblPr>
      <w:tblGrid>
        <w:gridCol w:w="4393"/>
        <w:gridCol w:w="4393"/>
      </w:tblGrid>
      <w:tr>
        <w:tblPrEx>
          <w:tblW w:w="0" w:type="auto"/>
          <w:tblCellMar>
            <w:top w:w="0" w:type="dxa"/>
            <w:left w:w="70" w:type="dxa"/>
            <w:bottom w:w="0" w:type="dxa"/>
            <w:right w:w="70" w:type="dxa"/>
          </w:tblCellMar>
        </w:tblPrEx>
        <w:trPr>
          <w:trHeight w:hRule="auto" w:val="0"/>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Mikuláš Dzurinda, v.r.</w:t>
            </w:r>
          </w:p>
        </w:tc>
      </w:tr>
      <w:tr>
        <w:tblPrEx>
          <w:tblW w:w="0" w:type="auto"/>
          <w:tblCellMar>
            <w:top w:w="0" w:type="dxa"/>
            <w:left w:w="70" w:type="dxa"/>
            <w:bottom w:w="0" w:type="dxa"/>
            <w:right w:w="70" w:type="dxa"/>
          </w:tblCellMar>
        </w:tblPrEx>
        <w:trPr>
          <w:trHeight w:hRule="auto" w:val="0"/>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predseda vlády Slovenskej republiky</w:t>
            </w:r>
          </w:p>
        </w:tc>
      </w:tr>
      <w:tr>
        <w:tblPrEx>
          <w:tblW w:w="0" w:type="auto"/>
          <w:tblCellMar>
            <w:top w:w="0" w:type="dxa"/>
            <w:left w:w="70" w:type="dxa"/>
            <w:bottom w:w="0" w:type="dxa"/>
            <w:right w:w="70" w:type="dxa"/>
          </w:tblCellMar>
        </w:tblPrEx>
        <w:trPr>
          <w:trHeight w:val="1087"/>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p>
        </w:tc>
      </w:tr>
      <w:tr>
        <w:tblPrEx>
          <w:tblW w:w="0" w:type="auto"/>
          <w:tblCellMar>
            <w:top w:w="0" w:type="dxa"/>
            <w:left w:w="70" w:type="dxa"/>
            <w:bottom w:w="0" w:type="dxa"/>
            <w:right w:w="70" w:type="dxa"/>
          </w:tblCellMar>
        </w:tblPrEx>
        <w:trPr>
          <w:trHeight w:hRule="auto" w:val="0"/>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Ivan Mikloš, v.r.</w:t>
            </w:r>
          </w:p>
        </w:tc>
      </w:tr>
      <w:tr>
        <w:tblPrEx>
          <w:tblW w:w="0" w:type="auto"/>
          <w:tblCellMar>
            <w:top w:w="0" w:type="dxa"/>
            <w:left w:w="70" w:type="dxa"/>
            <w:bottom w:w="0" w:type="dxa"/>
            <w:right w:w="70" w:type="dxa"/>
          </w:tblCellMar>
        </w:tblPrEx>
        <w:trPr>
          <w:trHeight w:hRule="auto" w:val="0"/>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podpredseda vlády</w:t>
            </w:r>
          </w:p>
        </w:tc>
      </w:tr>
      <w:tr>
        <w:tblPrEx>
          <w:tblW w:w="0" w:type="auto"/>
          <w:tblCellMar>
            <w:top w:w="0" w:type="dxa"/>
            <w:left w:w="70" w:type="dxa"/>
            <w:bottom w:w="0" w:type="dxa"/>
            <w:right w:w="70" w:type="dxa"/>
          </w:tblCellMar>
        </w:tblPrEx>
        <w:trPr>
          <w:trHeight w:hRule="auto" w:val="0"/>
        </w:trPr>
        <w:tc>
          <w:tcPr>
            <w:tcW w:w="4393" w:type="dxa"/>
            <w:tcBorders>
              <w:top w:val="nil"/>
              <w:left w:val="nil"/>
              <w:bottom w:val="nil"/>
              <w:right w:val="nil"/>
              <w:tl2br w:val="nil"/>
              <w:tr2bl w:val="nil"/>
            </w:tcBorders>
            <w:textDirection w:val="lrTb"/>
            <w:vAlign w:val="top"/>
          </w:tcPr>
          <w:p>
            <w:pPr>
              <w:jc w:val="both"/>
              <w:rPr>
                <w:rFonts w:ascii="Times New Roman" w:hAnsi="Times New Roman" w:cs="Times New Roman"/>
              </w:rPr>
            </w:pPr>
          </w:p>
        </w:tc>
        <w:tc>
          <w:tcPr>
            <w:tcW w:w="4393" w:type="dxa"/>
            <w:tcBorders>
              <w:top w:val="nil"/>
              <w:left w:val="nil"/>
              <w:bottom w:val="nil"/>
              <w:right w:val="nil"/>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a minister  financií Slovenskej republiky</w:t>
            </w:r>
          </w:p>
        </w:tc>
      </w:tr>
    </w:tbl>
    <w:p>
      <w:pPr>
        <w:pStyle w:val="BodyTextIndent"/>
        <w:spacing w:before="0" w:line="288" w:lineRule="auto"/>
        <w:ind w:firstLine="0"/>
        <w:rPr>
          <w:rFonts w:ascii="Times New Roman" w:hAnsi="Times New Roman" w:cs="Times New Roman"/>
        </w:rPr>
      </w:pPr>
    </w:p>
    <w:p>
      <w:pPr>
        <w:jc w:val="both"/>
        <w:rPr>
          <w:rFonts w:ascii="Times New Roman" w:hAnsi="Times New Roman" w:cs="Times New Roman"/>
        </w:rPr>
      </w:pPr>
    </w:p>
    <w:p>
      <w:pPr>
        <w:pStyle w:val="BodyTextIndent"/>
        <w:spacing w:before="0" w:line="288" w:lineRule="auto"/>
        <w:ind w:firstLine="0"/>
        <w:rPr>
          <w:rFonts w:ascii="Times New Roman" w:hAnsi="Times New Roman" w:cs="Times New Roman"/>
        </w:rPr>
      </w:pPr>
    </w:p>
    <w:p>
      <w:pPr>
        <w:pStyle w:val="BodyTextIndent"/>
        <w:spacing w:before="0" w:line="288" w:lineRule="auto"/>
        <w:ind w:firstLine="0"/>
        <w:rPr>
          <w:rFonts w:ascii="Times New Roman" w:hAnsi="Times New Roman" w:cs="Times New Roman"/>
        </w:rPr>
      </w:pPr>
    </w:p>
    <w:p>
      <w:pPr>
        <w:ind w:left="4956"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ind w:left="4248" w:firstLine="708"/>
        <w:jc w:val="both"/>
        <w:rPr>
          <w:rFonts w:ascii="Times New Roman" w:hAnsi="Times New Roman" w:cs="Times New Roman"/>
        </w:rPr>
      </w:pPr>
    </w:p>
    <w:p>
      <w:pPr>
        <w:ind w:left="4248" w:firstLine="708"/>
        <w:jc w:val="both"/>
        <w:rPr>
          <w:rFonts w:ascii="Times New Roman" w:hAnsi="Times New Roman" w:cs="Times New Roman"/>
        </w:rPr>
      </w:pPr>
    </w:p>
    <w:p>
      <w:pPr>
        <w:ind w:left="4248" w:firstLine="708"/>
        <w:jc w:val="both"/>
        <w:rPr>
          <w:rFonts w:ascii="Times New Roman" w:hAnsi="Times New Roman" w:cs="Times New Roman"/>
        </w:rPr>
      </w:pPr>
    </w:p>
    <w:p>
      <w:pPr>
        <w:ind w:left="4248" w:firstLine="708"/>
        <w:jc w:val="both"/>
        <w:rPr>
          <w:rFonts w:ascii="Times New Roman" w:hAnsi="Times New Roman" w:cs="Times New Roman"/>
        </w:rPr>
      </w:pPr>
    </w:p>
    <w:p>
      <w:pPr>
        <w:pStyle w:val="BodyTextIndent"/>
        <w:spacing w:before="0" w:line="288" w:lineRule="auto"/>
        <w:ind w:firstLine="0"/>
        <w:rPr>
          <w:rFonts w:ascii="Times New Roman" w:hAnsi="Times New Roman" w:cs="Times New Roman"/>
        </w:rPr>
      </w:pPr>
    </w:p>
    <w:sectPr>
      <w:headerReference w:type="even" r:id="rId4"/>
      <w:headerReference w:type="default" r:id="rId5"/>
      <w:pgSz w:w="12240" w:h="15840" w:code="1"/>
      <w:pgMar w:top="1440" w:right="1797" w:bottom="1222" w:left="1797" w:header="709" w:footer="709" w:gutter="0"/>
      <w:paperSrc w:first="11" w:other="11"/>
      <w:cols w:space="708"/>
      <w:bidi w:val="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Header"/>
      <w:ind w:right="360"/>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14</w:t>
    </w:r>
    <w:r>
      <w:rPr>
        <w:rStyle w:val="PageNumber"/>
        <w:rFonts w:ascii="Times New Roman" w:hAnsi="Times New Roman" w:cs="Times New Roman"/>
      </w:rPr>
      <w:fldChar w:fldCharType="end"/>
    </w:r>
  </w:p>
  <w:p>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0A8"/>
    <w:multiLevelType w:val="hybridMultilevel"/>
    <w:tmpl w:val="2E028AF8"/>
    <w:lvl w:ilvl="0">
      <w:start w:val="1"/>
      <w:numFmt w:val="lowerLetter"/>
      <w:lvlText w:val="%1)"/>
      <w:lvlJc w:val="left"/>
      <w:pPr>
        <w:tabs>
          <w:tab w:val="num" w:pos="-177"/>
        </w:tabs>
        <w:ind w:left="521" w:hanging="341"/>
      </w:pPr>
    </w:lvl>
    <w:lvl w:ilvl="1">
      <w:start w:val="1"/>
      <w:numFmt w:val="lowerLetter"/>
      <w:lvlText w:val="%2)"/>
      <w:lvlJc w:val="left"/>
      <w:pPr>
        <w:tabs>
          <w:tab w:val="num" w:pos="543"/>
        </w:tabs>
        <w:ind w:left="543" w:hanging="360"/>
      </w:pPr>
    </w:lvl>
    <w:lvl w:ilvl="2">
      <w:start w:val="1"/>
      <w:numFmt w:val="lowerRoman"/>
      <w:lvlText w:val="%3."/>
      <w:lvlJc w:val="right"/>
      <w:pPr>
        <w:tabs>
          <w:tab w:val="num" w:pos="1263"/>
        </w:tabs>
        <w:ind w:left="1263" w:hanging="180"/>
      </w:pPr>
    </w:lvl>
    <w:lvl w:ilvl="3">
      <w:start w:val="1"/>
      <w:numFmt w:val="decimal"/>
      <w:lvlText w:val="%4."/>
      <w:lvlJc w:val="left"/>
      <w:pPr>
        <w:tabs>
          <w:tab w:val="num" w:pos="1983"/>
        </w:tabs>
        <w:ind w:left="1983" w:hanging="360"/>
      </w:pPr>
    </w:lvl>
    <w:lvl w:ilvl="4">
      <w:start w:val="1"/>
      <w:numFmt w:val="lowerLetter"/>
      <w:lvlText w:val="%5."/>
      <w:lvlJc w:val="left"/>
      <w:pPr>
        <w:tabs>
          <w:tab w:val="num" w:pos="2703"/>
        </w:tabs>
        <w:ind w:left="2703" w:hanging="360"/>
      </w:pPr>
    </w:lvl>
    <w:lvl w:ilvl="5">
      <w:start w:val="1"/>
      <w:numFmt w:val="lowerRoman"/>
      <w:lvlText w:val="%6."/>
      <w:lvlJc w:val="right"/>
      <w:pPr>
        <w:tabs>
          <w:tab w:val="num" w:pos="3423"/>
        </w:tabs>
        <w:ind w:left="3423" w:hanging="180"/>
      </w:pPr>
    </w:lvl>
    <w:lvl w:ilvl="6">
      <w:start w:val="1"/>
      <w:numFmt w:val="decimal"/>
      <w:lvlText w:val="%7."/>
      <w:lvlJc w:val="left"/>
      <w:pPr>
        <w:tabs>
          <w:tab w:val="num" w:pos="4143"/>
        </w:tabs>
        <w:ind w:left="4143" w:hanging="360"/>
      </w:pPr>
    </w:lvl>
    <w:lvl w:ilvl="7">
      <w:start w:val="1"/>
      <w:numFmt w:val="lowerLetter"/>
      <w:lvlText w:val="%8."/>
      <w:lvlJc w:val="left"/>
      <w:pPr>
        <w:tabs>
          <w:tab w:val="num" w:pos="4863"/>
        </w:tabs>
        <w:ind w:left="4863" w:hanging="360"/>
      </w:pPr>
    </w:lvl>
    <w:lvl w:ilvl="8">
      <w:start w:val="1"/>
      <w:numFmt w:val="lowerRoman"/>
      <w:lvlText w:val="%9."/>
      <w:lvlJc w:val="right"/>
      <w:pPr>
        <w:tabs>
          <w:tab w:val="num" w:pos="5583"/>
        </w:tabs>
        <w:ind w:left="5583" w:hanging="180"/>
      </w:pPr>
    </w:lvl>
  </w:abstractNum>
  <w:abstractNum w:abstractNumId="1">
    <w:nsid w:val="078D6BB0"/>
    <w:multiLevelType w:val="hybridMultilevel"/>
    <w:tmpl w:val="F8CE7D90"/>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5502A1"/>
    <w:multiLevelType w:val="hybridMultilevel"/>
    <w:tmpl w:val="FB242700"/>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DD73B6"/>
    <w:multiLevelType w:val="hybridMultilevel"/>
    <w:tmpl w:val="A78E8364"/>
    <w:lvl w:ilvl="0">
      <w:start w:val="0"/>
      <w:numFmt w:val="bullet"/>
      <w:lvlText w:val="-"/>
      <w:lvlJc w:val="left"/>
      <w:pPr>
        <w:tabs>
          <w:tab w:val="num" w:pos="1425"/>
        </w:tabs>
        <w:ind w:left="1425" w:hanging="360"/>
      </w:pPr>
      <w:rPr>
        <w:rFonts w:ascii="Times New Roman" w:hAnsi="Times New Roman"/>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cs="Wingdings"/>
        <w:rtl w:val="0"/>
      </w:rPr>
    </w:lvl>
    <w:lvl w:ilvl="3">
      <w:start w:val="1"/>
      <w:numFmt w:val="bullet"/>
      <w:lvlText w:val=""/>
      <w:lvlJc w:val="left"/>
      <w:pPr>
        <w:tabs>
          <w:tab w:val="num" w:pos="3240"/>
        </w:tabs>
        <w:ind w:left="3240" w:hanging="360"/>
      </w:pPr>
      <w:rPr>
        <w:rFonts w:ascii="Symbol" w:hAnsi="Symbol" w:cs="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cs="Wingdings"/>
        <w:rtl w:val="0"/>
      </w:rPr>
    </w:lvl>
    <w:lvl w:ilvl="6">
      <w:start w:val="1"/>
      <w:numFmt w:val="bullet"/>
      <w:lvlText w:val=""/>
      <w:lvlJc w:val="left"/>
      <w:pPr>
        <w:tabs>
          <w:tab w:val="num" w:pos="5400"/>
        </w:tabs>
        <w:ind w:left="5400" w:hanging="360"/>
      </w:pPr>
      <w:rPr>
        <w:rFonts w:ascii="Symbol" w:hAnsi="Symbol" w:cs="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cs="Wingdings"/>
        <w:rtl w:val="0"/>
      </w:rPr>
    </w:lvl>
  </w:abstractNum>
  <w:abstractNum w:abstractNumId="4">
    <w:nsid w:val="1F983D2E"/>
    <w:multiLevelType w:val="hybridMultilevel"/>
    <w:tmpl w:val="7AA21B56"/>
    <w:lvl w:ilvl="0">
      <w:start w:val="1"/>
      <w:numFmt w:val="lowerLetter"/>
      <w:lvlText w:val="%1)"/>
      <w:lvlJc w:val="left"/>
      <w:pPr>
        <w:tabs>
          <w:tab w:val="num" w:pos="1071"/>
        </w:tabs>
        <w:ind w:left="1071" w:hanging="363"/>
      </w:pPr>
    </w:lvl>
    <w:lvl w:ilvl="1">
      <w:start w:val="1"/>
      <w:numFmt w:val="lowerLetter"/>
      <w:lvlText w:val="%2."/>
      <w:lvlJc w:val="left"/>
      <w:pPr>
        <w:tabs>
          <w:tab w:val="num" w:pos="1071"/>
        </w:tabs>
        <w:ind w:left="1071" w:hanging="360"/>
      </w:pPr>
    </w:lvl>
    <w:lvl w:ilvl="2">
      <w:start w:val="1"/>
      <w:numFmt w:val="lowerRoman"/>
      <w:lvlText w:val="%3."/>
      <w:lvlJc w:val="right"/>
      <w:pPr>
        <w:tabs>
          <w:tab w:val="num" w:pos="1791"/>
        </w:tabs>
        <w:ind w:left="1791" w:hanging="180"/>
      </w:pPr>
    </w:lvl>
    <w:lvl w:ilvl="3">
      <w:start w:val="1"/>
      <w:numFmt w:val="decimal"/>
      <w:lvlText w:val="%4."/>
      <w:lvlJc w:val="left"/>
      <w:pPr>
        <w:tabs>
          <w:tab w:val="num" w:pos="2511"/>
        </w:tabs>
        <w:ind w:left="2511" w:hanging="360"/>
      </w:pPr>
    </w:lvl>
    <w:lvl w:ilvl="4">
      <w:start w:val="1"/>
      <w:numFmt w:val="lowerLetter"/>
      <w:lvlText w:val="%5."/>
      <w:lvlJc w:val="left"/>
      <w:pPr>
        <w:tabs>
          <w:tab w:val="num" w:pos="3231"/>
        </w:tabs>
        <w:ind w:left="3231" w:hanging="360"/>
      </w:pPr>
    </w:lvl>
    <w:lvl w:ilvl="5">
      <w:start w:val="1"/>
      <w:numFmt w:val="lowerRoman"/>
      <w:lvlText w:val="%6."/>
      <w:lvlJc w:val="right"/>
      <w:pPr>
        <w:tabs>
          <w:tab w:val="num" w:pos="3951"/>
        </w:tabs>
        <w:ind w:left="3951" w:hanging="180"/>
      </w:pPr>
    </w:lvl>
    <w:lvl w:ilvl="6">
      <w:start w:val="1"/>
      <w:numFmt w:val="decimal"/>
      <w:lvlText w:val="%7."/>
      <w:lvlJc w:val="left"/>
      <w:pPr>
        <w:tabs>
          <w:tab w:val="num" w:pos="4671"/>
        </w:tabs>
        <w:ind w:left="4671" w:hanging="360"/>
      </w:pPr>
    </w:lvl>
    <w:lvl w:ilvl="7">
      <w:start w:val="1"/>
      <w:numFmt w:val="lowerLetter"/>
      <w:lvlText w:val="%8."/>
      <w:lvlJc w:val="left"/>
      <w:pPr>
        <w:tabs>
          <w:tab w:val="num" w:pos="5391"/>
        </w:tabs>
        <w:ind w:left="5391" w:hanging="360"/>
      </w:pPr>
    </w:lvl>
    <w:lvl w:ilvl="8">
      <w:start w:val="1"/>
      <w:numFmt w:val="lowerRoman"/>
      <w:lvlText w:val="%9."/>
      <w:lvlJc w:val="right"/>
      <w:pPr>
        <w:tabs>
          <w:tab w:val="num" w:pos="6111"/>
        </w:tabs>
        <w:ind w:left="6111" w:hanging="180"/>
      </w:pPr>
    </w:lvl>
  </w:abstractNum>
  <w:abstractNum w:abstractNumId="5">
    <w:nsid w:val="2E5D695B"/>
    <w:multiLevelType w:val="hybridMultilevel"/>
    <w:tmpl w:val="1E2AAA82"/>
    <w:lvl w:ilvl="0">
      <w:start w:val="1"/>
      <w:numFmt w:val="lowerLetter"/>
      <w:lvlText w:val="%1)"/>
      <w:lvlJc w:val="left"/>
      <w:pPr>
        <w:tabs>
          <w:tab w:val="num" w:pos="1211"/>
        </w:tabs>
        <w:ind w:left="567" w:firstLine="284"/>
      </w:pPr>
    </w:lvl>
    <w:lvl w:ilvl="1">
      <w:start w:val="1"/>
      <w:numFmt w:val="decimal"/>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6">
    <w:nsid w:val="3BF44151"/>
    <w:multiLevelType w:val="hybridMultilevel"/>
    <w:tmpl w:val="72F8EE5C"/>
    <w:lvl w:ilvl="0">
      <w:start w:val="1"/>
      <w:numFmt w:val="lowerLetter"/>
      <w:lvlText w:val="%1)"/>
      <w:lvlJc w:val="left"/>
      <w:pPr>
        <w:tabs>
          <w:tab w:val="num" w:pos="760"/>
        </w:tabs>
        <w:ind w:left="760" w:hanging="360"/>
      </w:p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7">
    <w:nsid w:val="3E5746C4"/>
    <w:multiLevelType w:val="hybridMultilevel"/>
    <w:tmpl w:val="4DD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3984397"/>
    <w:multiLevelType w:val="hybridMultilevel"/>
    <w:tmpl w:val="D98C71C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198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40E6122"/>
    <w:multiLevelType w:val="multilevel"/>
    <w:tmpl w:val="8FBA44D2"/>
    <w:lvl w:ilvl="0">
      <w:start w:val="1"/>
      <w:numFmt w:val="decimal"/>
      <w:suff w:val="nothing"/>
      <w:lvlText w:val="§ %1"/>
      <w:lvlJc w:val="center"/>
      <w:pPr>
        <w:ind w:left="0" w:firstLine="0"/>
      </w:pPr>
      <w:rPr>
        <w:rFonts w:ascii="Times New Roman" w:hAnsi="Times New Roman"/>
        <w:b/>
        <w:i w:val="0"/>
        <w:rtl w:val="0"/>
      </w:rPr>
    </w:lvl>
    <w:lvl w:ilvl="1">
      <w:start w:val="1"/>
      <w:numFmt w:val="decimal"/>
      <w:lvlText w:val="(%2)"/>
      <w:lvlJc w:val="left"/>
      <w:pPr>
        <w:tabs>
          <w:tab w:val="num" w:pos="567"/>
        </w:tabs>
        <w:ind w:left="567" w:hanging="567"/>
      </w:pPr>
    </w:lvl>
    <w:lvl w:ilvl="2">
      <w:start w:val="1"/>
      <w:numFmt w:val="none"/>
      <w:lvlText w:val="a) "/>
      <w:lvlJc w:val="left"/>
      <w:pPr>
        <w:tabs>
          <w:tab w:val="num" w:pos="36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5CC24F05"/>
    <w:multiLevelType w:val="hybridMultilevel"/>
    <w:tmpl w:val="6B54DED0"/>
    <w:lvl w:ilvl="0">
      <w:start w:val="1"/>
      <w:numFmt w:val="lowerLetter"/>
      <w:lvlText w:val="%1)"/>
      <w:lvlJc w:val="left"/>
      <w:pPr>
        <w:tabs>
          <w:tab w:val="num" w:pos="1021"/>
        </w:tabs>
        <w:ind w:left="1021"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9FE0503"/>
    <w:multiLevelType w:val="hybridMultilevel"/>
    <w:tmpl w:val="D63429E6"/>
    <w:lvl w:ilvl="0">
      <w:start w:val="1"/>
      <w:numFmt w:val="bullet"/>
      <w:lvlText w:val=""/>
      <w:lvlJc w:val="left"/>
      <w:pPr>
        <w:tabs>
          <w:tab w:val="num" w:pos="757"/>
        </w:tabs>
        <w:ind w:left="757" w:hanging="397"/>
      </w:pPr>
      <w:rPr>
        <w:rFonts w:ascii="Symbol" w:hAnsi="Symbol"/>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A324089"/>
    <w:multiLevelType w:val="hybridMultilevel"/>
    <w:tmpl w:val="525AB1C8"/>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AD10F69"/>
    <w:multiLevelType w:val="hybridMultilevel"/>
    <w:tmpl w:val="75C44058"/>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0"/>
  </w:num>
  <w:num w:numId="3">
    <w:abstractNumId w:val="12"/>
  </w:num>
  <w:num w:numId="4">
    <w:abstractNumId w:val="8"/>
  </w:num>
  <w:num w:numId="5">
    <w:abstractNumId w:val="4"/>
  </w:num>
  <w:num w:numId="6">
    <w:abstractNumId w:val="13"/>
  </w:num>
  <w:num w:numId="7">
    <w:abstractNumId w:val="9"/>
  </w:num>
  <w:num w:numId="8">
    <w:abstractNumId w:val="2"/>
  </w:num>
  <w:num w:numId="9">
    <w:abstractNumId w:val="1"/>
  </w:num>
  <w:num w:numId="10">
    <w:abstractNumId w:val="7"/>
  </w:num>
  <w:num w:numId="11">
    <w:abstractNumId w:val="11"/>
  </w:num>
  <w:num w:numId="12">
    <w:abstractNumId w:val="3"/>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rawingGridVerticalSpacing w:val="13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jc w:val="both"/>
      <w:outlineLvl w:val="1"/>
    </w:pPr>
    <w:rPr>
      <w:b/>
      <w:bCs/>
      <w:color w:val="000000"/>
      <w:szCs w:val="20"/>
    </w:rPr>
  </w:style>
  <w:style w:type="paragraph" w:styleId="Heading3">
    <w:name w:val="heading 3"/>
    <w:basedOn w:val="Normal"/>
    <w:next w:val="Normal"/>
    <w:uiPriority w:val="9"/>
    <w:qFormat/>
    <w:pPr>
      <w:keepNext/>
      <w:jc w:val="both"/>
      <w:outlineLvl w:val="2"/>
    </w:pPr>
    <w:rPr>
      <w:b/>
      <w:bCs/>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left"/>
    </w:pPr>
    <w:rPr>
      <w:color w:val="000000"/>
      <w:szCs w:val="20"/>
      <w:lang w:val="cs-CZ"/>
    </w:rPr>
  </w:style>
  <w:style w:type="paragraph" w:styleId="BodyText2">
    <w:name w:val="Body Text 2"/>
    <w:basedOn w:val="Normal"/>
    <w:pPr>
      <w:jc w:val="both"/>
    </w:pPr>
  </w:style>
  <w:style w:type="paragraph" w:styleId="BodyTextFirstIndent">
    <w:name w:val="Body Text First Indent"/>
    <w:basedOn w:val="BodyText"/>
    <w:pPr>
      <w:spacing w:after="120"/>
      <w:ind w:firstLine="210"/>
      <w:jc w:val="left"/>
    </w:pPr>
    <w:rPr>
      <w:color w:val="auto"/>
      <w:szCs w:val="24"/>
      <w:lang w:val="sk-SK"/>
    </w:rPr>
  </w:style>
  <w:style w:type="paragraph" w:styleId="BodyTextIndent">
    <w:name w:val="Body Text Indent"/>
    <w:basedOn w:val="Normal"/>
    <w:pPr>
      <w:spacing w:before="120"/>
      <w:ind w:firstLine="708"/>
      <w:jc w:val="both"/>
    </w:pPr>
  </w:style>
  <w:style w:type="paragraph" w:styleId="BodyTextIndent2">
    <w:name w:val="Body Text Indent 2"/>
    <w:basedOn w:val="Normal"/>
    <w:pPr>
      <w:spacing w:before="120"/>
      <w:ind w:firstLine="567"/>
      <w:jc w:val="both"/>
    </w:pPr>
  </w:style>
  <w:style w:type="paragraph" w:customStyle="1" w:styleId="titulok">
    <w:name w:val="titulok"/>
    <w:basedOn w:val="Normal"/>
    <w:pPr>
      <w:spacing w:before="100" w:beforeAutospacing="1" w:after="100" w:afterAutospacing="1"/>
      <w:jc w:val="center"/>
    </w:pPr>
    <w:rPr>
      <w:rFonts w:ascii="Arial" w:hAnsi="Arial" w:cs="Arial"/>
      <w:b/>
      <w:bCs/>
      <w:color w:val="007060"/>
      <w:lang w:val="cs-CZ"/>
    </w:rPr>
  </w:style>
  <w:style w:type="paragraph" w:styleId="Footer">
    <w:name w:val="footer"/>
    <w:basedOn w:val="Normal"/>
    <w:pPr>
      <w:tabs>
        <w:tab w:val="center" w:pos="4536"/>
        <w:tab w:val="right" w:pos="9072"/>
      </w:tabs>
      <w:jc w:val="left"/>
    </w:pPr>
    <w:rPr>
      <w:sz w:val="20"/>
      <w:szCs w:val="20"/>
    </w:rPr>
  </w:style>
  <w:style w:type="paragraph" w:styleId="BodyText3">
    <w:name w:val="Body Text 3"/>
    <w:basedOn w:val="Normal"/>
    <w:pPr>
      <w:spacing w:line="288" w:lineRule="auto"/>
      <w:jc w:val="both"/>
    </w:pPr>
    <w:rPr>
      <w:color w:val="000000"/>
      <w:szCs w:val="20"/>
    </w:r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Title">
    <w:name w:val="Title"/>
    <w:basedOn w:val="Normal"/>
    <w:uiPriority w:val="10"/>
    <w:qFormat/>
    <w:pPr>
      <w:autoSpaceDE/>
      <w:autoSpaceDN/>
      <w:jc w:val="center"/>
    </w:pPr>
    <w:rPr>
      <w:rFonts w:ascii="Arial" w:hAnsi="Arial" w:cs="Arial"/>
    </w:rPr>
  </w:style>
  <w:style w:type="paragraph" w:customStyle="1" w:styleId="N-text">
    <w:name w:val="N-text"/>
    <w:basedOn w:val="Normal"/>
    <w:pPr>
      <w:tabs>
        <w:tab w:val="left" w:pos="284"/>
      </w:tabs>
      <w:jc w:val="both"/>
    </w:pPr>
  </w:style>
  <w:style w:type="paragraph" w:customStyle="1" w:styleId="tlNadpisbodov11pt">
    <w:name w:val="Štýl Nadpis bodov + 11 pt"/>
    <w:basedOn w:val="Normal"/>
    <w:pPr>
      <w:numPr>
        <w:ilvl w:val="0"/>
        <w:numId w:val="30"/>
      </w:numPr>
      <w:tabs>
        <w:tab w:val="left" w:pos="760"/>
      </w:tabs>
      <w:spacing w:after="120"/>
      <w:ind w:left="760" w:hanging="360"/>
      <w:jc w:val="both"/>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202</TotalTime>
  <Pages>1</Pages>
  <Words>4586</Words>
  <Characters>26145</Characters>
  <Application>Microsoft Office Word</Application>
  <DocSecurity>0</DocSecurity>
  <Lines>0</Lines>
  <Paragraphs>0</Paragraphs>
  <ScaleCrop>false</ScaleCrop>
  <Company/>
  <LinksUpToDate>false</LinksUpToDate>
  <CharactersWithSpaces>32107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dovodova sprava</dc:title>
  <dc:creator>MF SR</dc:creator>
  <cp:lastModifiedBy>pturinic</cp:lastModifiedBy>
  <cp:revision>27</cp:revision>
  <cp:lastPrinted>2004-11-30T12:20:00Z</cp:lastPrinted>
  <dcterms:created xsi:type="dcterms:W3CDTF">2004-08-04T13:41:00Z</dcterms:created>
  <dcterms:modified xsi:type="dcterms:W3CDTF">2004-11-30T12:22:00Z</dcterms:modified>
</cp:coreProperties>
</file>