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AT*Toronto" w:hAnsi="AT*Toronto" w:cs="Times New Roman"/>
          <w:color w:val="FF0000"/>
        </w:rPr>
      </w:pPr>
      <w:r>
        <w:rPr>
          <w:rFonts w:ascii="AT*Toronto" w:hAnsi="AT*Toronto" w:cs="Times New Roman"/>
        </w:rPr>
        <w:t>N Á R O D N Á   R A D A   S L O V E N S K E J   RE P U B L I K Y</w:t>
      </w:r>
    </w:p>
    <w:p>
      <w:pPr>
        <w:jc w:val="center"/>
        <w:rPr>
          <w:rFonts w:ascii="AT*Toronto" w:hAnsi="AT*Toronto" w:cs="Times New Roman"/>
          <w:b/>
          <w:bCs/>
          <w:sz w:val="28"/>
          <w:u w:val="single"/>
        </w:rPr>
      </w:pPr>
    </w:p>
    <w:p>
      <w:pPr>
        <w:pStyle w:val="Subtitle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>III. volebné obdobie</w:t>
      </w:r>
    </w:p>
    <w:p>
      <w:pPr>
        <w:jc w:val="center"/>
        <w:rPr>
          <w:rFonts w:ascii="AT*Toronto" w:hAnsi="AT*Toronto" w:cs="Times New Roman"/>
          <w:sz w:val="28"/>
        </w:rPr>
      </w:pPr>
    </w:p>
    <w:p>
      <w:pPr>
        <w:jc w:val="center"/>
        <w:rPr>
          <w:rFonts w:ascii="AT*Toronto" w:hAnsi="AT*Toronto" w:cs="Times New Roman"/>
          <w:sz w:val="28"/>
        </w:rPr>
      </w:pPr>
    </w:p>
    <w:p>
      <w:pPr>
        <w:jc w:val="center"/>
        <w:rPr>
          <w:rFonts w:ascii="AT*Toronto" w:hAnsi="AT*Toronto" w:cs="Times New Roman"/>
          <w:sz w:val="28"/>
        </w:rPr>
      </w:pPr>
    </w:p>
    <w:p>
      <w:pPr>
        <w:jc w:val="center"/>
        <w:rPr>
          <w:rFonts w:ascii="AT*Toronto" w:hAnsi="AT*Toronto" w:cs="Times New Roman"/>
          <w:sz w:val="28"/>
        </w:rPr>
      </w:pPr>
    </w:p>
    <w:p>
      <w:pPr>
        <w:jc w:val="center"/>
        <w:rPr>
          <w:rFonts w:ascii="AT*Toronto" w:hAnsi="AT*Toronto" w:cs="Times New Roman"/>
          <w:sz w:val="28"/>
        </w:rPr>
      </w:pPr>
      <w:r>
        <w:rPr>
          <w:rFonts w:ascii="AT*Toronto" w:hAnsi="AT*Toronto" w:cs="Times New Roman"/>
          <w:sz w:val="28"/>
        </w:rPr>
        <w:tab/>
        <w:tab/>
        <w:tab/>
        <w:tab/>
        <w:tab/>
        <w:tab/>
        <w:tab/>
        <w:t>Číslo:</w:t>
      </w:r>
    </w:p>
    <w:p>
      <w:pPr>
        <w:jc w:val="center"/>
        <w:rPr>
          <w:rFonts w:ascii="AT*Toronto" w:hAnsi="AT*Toronto" w:cs="Times New Roman"/>
          <w:sz w:val="28"/>
        </w:rPr>
      </w:pPr>
    </w:p>
    <w:p>
      <w:pPr>
        <w:jc w:val="center"/>
        <w:rPr>
          <w:rFonts w:ascii="AT*Toronto" w:hAnsi="AT*Toronto" w:cs="Times New Roman"/>
          <w:sz w:val="28"/>
        </w:rPr>
      </w:pPr>
    </w:p>
    <w:p>
      <w:pPr>
        <w:jc w:val="center"/>
        <w:rPr>
          <w:rFonts w:ascii="AT*Toronto" w:hAnsi="AT*Toronto" w:cs="Times New Roman"/>
          <w:sz w:val="28"/>
        </w:rPr>
      </w:pPr>
    </w:p>
    <w:p>
      <w:pPr>
        <w:jc w:val="center"/>
        <w:rPr>
          <w:rFonts w:ascii="AT*Toronto" w:hAnsi="AT*Toronto" w:cs="Times New Roman"/>
          <w:sz w:val="28"/>
        </w:rPr>
      </w:pPr>
    </w:p>
    <w:p>
      <w:pPr>
        <w:jc w:val="center"/>
        <w:rPr>
          <w:rFonts w:ascii="AT*Toronto" w:hAnsi="AT*Toronto" w:cs="Times New Roman"/>
          <w:sz w:val="28"/>
        </w:rPr>
      </w:pPr>
    </w:p>
    <w:p>
      <w:pPr>
        <w:jc w:val="center"/>
        <w:rPr>
          <w:rFonts w:ascii="AT*Toronto" w:hAnsi="AT*Toronto" w:cs="Times New Roman"/>
          <w:sz w:val="28"/>
        </w:rPr>
      </w:pPr>
    </w:p>
    <w:p>
      <w:pPr>
        <w:pStyle w:val="Heading1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>N Á V R H</w:t>
      </w:r>
    </w:p>
    <w:p>
      <w:pPr>
        <w:jc w:val="center"/>
        <w:rPr>
          <w:rFonts w:ascii="AT*Toronto" w:hAnsi="AT*Toronto" w:cs="Times New Roman"/>
          <w:b/>
          <w:bCs/>
          <w:sz w:val="28"/>
        </w:rPr>
      </w:pPr>
    </w:p>
    <w:p>
      <w:pPr>
        <w:jc w:val="center"/>
        <w:rPr>
          <w:rFonts w:ascii="AT*Toronto" w:hAnsi="AT*Toronto" w:cs="Times New Roman"/>
          <w:b/>
          <w:bCs/>
          <w:sz w:val="28"/>
        </w:rPr>
      </w:pPr>
    </w:p>
    <w:p>
      <w:pPr>
        <w:jc w:val="center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 xml:space="preserve"> poslanca  Národnej rady Slovenskej republiky Tibora Cabaja</w:t>
      </w:r>
    </w:p>
    <w:p>
      <w:pPr>
        <w:jc w:val="center"/>
        <w:rPr>
          <w:rFonts w:ascii="AT*Toronto" w:hAnsi="AT*Toronto" w:cs="Times New Roman"/>
        </w:rPr>
      </w:pPr>
    </w:p>
    <w:p>
      <w:pPr>
        <w:jc w:val="center"/>
        <w:rPr>
          <w:rFonts w:ascii="AT*Toronto" w:hAnsi="AT*Toronto" w:cs="Times New Roman"/>
          <w:b/>
          <w:bCs/>
          <w:sz w:val="28"/>
        </w:rPr>
      </w:pPr>
      <w:r>
        <w:rPr>
          <w:rFonts w:ascii="AT*Toronto" w:hAnsi="AT*Toronto" w:cs="Times New Roman"/>
          <w:b/>
          <w:bCs/>
          <w:sz w:val="28"/>
        </w:rPr>
        <w:t>n a    v y d a n i e</w:t>
      </w:r>
    </w:p>
    <w:p>
      <w:pPr>
        <w:jc w:val="center"/>
        <w:rPr>
          <w:rFonts w:ascii="AT*Toronto" w:hAnsi="AT*Toronto" w:cs="Times New Roman"/>
          <w:b/>
          <w:bCs/>
          <w:sz w:val="28"/>
        </w:rPr>
      </w:pPr>
    </w:p>
    <w:p>
      <w:pPr>
        <w:pStyle w:val="BodyText"/>
        <w:pBdr>
          <w:bottom w:val="single" w:sz="12" w:space="1" w:color="auto"/>
        </w:pBdr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 xml:space="preserve">zákona, ktorým sa mení a dopĺňa zákon č. 303/2001 Z. z. o voľbách do orgánov samosprávnych krajov a o doplnení Občianskeho súdneho poriadku </w:t>
      </w:r>
    </w:p>
    <w:p>
      <w:pPr>
        <w:jc w:val="both"/>
        <w:rPr>
          <w:rFonts w:ascii="AT*Toronto" w:hAnsi="AT*Toronto" w:cs="Times New Roman"/>
        </w:rPr>
      </w:pPr>
    </w:p>
    <w:p>
      <w:pPr>
        <w:jc w:val="both"/>
        <w:rPr>
          <w:rFonts w:ascii="AT*Toronto" w:hAnsi="AT*Toronto" w:cs="Times New Roman"/>
        </w:rPr>
      </w:pPr>
    </w:p>
    <w:p>
      <w:pPr>
        <w:jc w:val="both"/>
        <w:rPr>
          <w:rFonts w:ascii="AT*Toronto" w:hAnsi="AT*Toronto" w:cs="Times New Roman"/>
        </w:rPr>
      </w:pPr>
    </w:p>
    <w:p>
      <w:pPr>
        <w:jc w:val="both"/>
        <w:rPr>
          <w:rFonts w:ascii="AT*Toronto" w:hAnsi="AT*Toronto" w:cs="Times New Roman"/>
          <w:b/>
          <w:bCs/>
          <w:u w:val="single"/>
        </w:rPr>
      </w:pPr>
      <w:r>
        <w:rPr>
          <w:rFonts w:ascii="AT*Toronto" w:hAnsi="AT*Toronto" w:cs="Times New Roman"/>
          <w:b/>
          <w:bCs/>
          <w:u w:val="single"/>
        </w:rPr>
        <w:t>P r e d k l a d á:</w:t>
      </w:r>
      <w:r>
        <w:rPr>
          <w:rFonts w:ascii="AT*Toronto" w:hAnsi="AT*Toronto" w:cs="Times New Roman"/>
        </w:rPr>
        <w:tab/>
        <w:tab/>
        <w:tab/>
        <w:tab/>
        <w:tab/>
        <w:tab/>
      </w:r>
      <w:r>
        <w:rPr>
          <w:rFonts w:ascii="AT*Toronto" w:hAnsi="AT*Toronto" w:cs="Times New Roman"/>
          <w:b/>
          <w:bCs/>
          <w:u w:val="single"/>
        </w:rPr>
        <w:t>Návrh na uznesenie:</w:t>
      </w:r>
    </w:p>
    <w:p>
      <w:pPr>
        <w:jc w:val="both"/>
        <w:rPr>
          <w:rFonts w:ascii="AT*Toronto" w:hAnsi="AT*Toronto" w:cs="Times New Roman"/>
          <w:u w:val="single"/>
        </w:rPr>
      </w:pPr>
    </w:p>
    <w:p>
      <w:pPr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>Tibor Cabaj</w:t>
        <w:tab/>
        <w:tab/>
        <w:tab/>
        <w:tab/>
        <w:tab/>
        <w:tab/>
        <w:tab/>
        <w:t>Národná rada Slovenskej republiky</w:t>
      </w:r>
    </w:p>
    <w:p>
      <w:pPr>
        <w:jc w:val="both"/>
        <w:rPr>
          <w:rFonts w:ascii="AT*Toronto" w:hAnsi="AT*Toronto" w:cs="Times New Roman"/>
          <w:b/>
          <w:bCs/>
        </w:rPr>
      </w:pPr>
      <w:r>
        <w:rPr>
          <w:rFonts w:ascii="AT*Toronto" w:hAnsi="AT*Toronto" w:cs="Times New Roman"/>
        </w:rPr>
        <w:tab/>
        <w:tab/>
        <w:tab/>
        <w:tab/>
        <w:tab/>
        <w:tab/>
        <w:tab/>
        <w:tab/>
      </w:r>
      <w:r>
        <w:rPr>
          <w:rFonts w:ascii="AT*Toronto" w:hAnsi="AT*Toronto" w:cs="Times New Roman"/>
          <w:b/>
          <w:bCs/>
        </w:rPr>
        <w:t>s c h v a ľ u j e</w:t>
      </w:r>
    </w:p>
    <w:p>
      <w:pPr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  <w:b/>
          <w:bCs/>
        </w:rPr>
        <w:tab/>
        <w:tab/>
        <w:tab/>
        <w:tab/>
        <w:tab/>
        <w:tab/>
        <w:tab/>
        <w:tab/>
      </w:r>
      <w:r>
        <w:rPr>
          <w:rFonts w:ascii="AT*Toronto" w:hAnsi="AT*Toronto" w:cs="Times New Roman"/>
        </w:rPr>
        <w:t>návrh poslanca Národnej</w:t>
      </w:r>
    </w:p>
    <w:p>
      <w:pPr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ab/>
        <w:tab/>
        <w:tab/>
        <w:tab/>
        <w:tab/>
        <w:tab/>
        <w:tab/>
      </w:r>
      <w:r>
        <w:rPr>
          <w:rFonts w:ascii="AT*Toronto" w:hAnsi="AT*Toronto" w:cs="Times New Roman"/>
        </w:rPr>
        <w:tab/>
        <w:t xml:space="preserve">rady Slovenskej republiky </w:t>
      </w:r>
    </w:p>
    <w:p>
      <w:pPr>
        <w:ind w:left="4956" w:firstLine="708"/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>Tibora Cabaja na vydanie</w:t>
      </w:r>
    </w:p>
    <w:p>
      <w:pPr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ab/>
        <w:tab/>
        <w:tab/>
        <w:tab/>
        <w:tab/>
        <w:tab/>
        <w:tab/>
        <w:tab/>
        <w:t>zákona NR SR, ktorým sa mení</w:t>
      </w:r>
    </w:p>
    <w:p>
      <w:pPr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ab/>
        <w:tab/>
        <w:tab/>
        <w:tab/>
        <w:tab/>
        <w:tab/>
        <w:tab/>
        <w:tab/>
        <w:t>s dopĺňa zákon č. 303/2001 Z . z.</w:t>
      </w:r>
    </w:p>
    <w:p>
      <w:pPr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ab/>
        <w:tab/>
        <w:tab/>
        <w:tab/>
        <w:tab/>
        <w:tab/>
        <w:tab/>
        <w:tab/>
        <w:t xml:space="preserve">o voľbách do orgánov </w:t>
      </w:r>
    </w:p>
    <w:p>
      <w:pPr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ab/>
        <w:tab/>
        <w:tab/>
        <w:tab/>
        <w:tab/>
        <w:tab/>
        <w:tab/>
        <w:tab/>
        <w:t xml:space="preserve">samosprávnych krajov  </w:t>
      </w:r>
    </w:p>
    <w:p>
      <w:pPr>
        <w:ind w:left="4956" w:firstLine="708"/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>a o doplnení Občianskeho súdneho</w:t>
      </w:r>
    </w:p>
    <w:p>
      <w:pPr>
        <w:ind w:left="4956" w:firstLine="708"/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 xml:space="preserve">poriadku </w:t>
      </w:r>
    </w:p>
    <w:p>
      <w:pPr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ab/>
        <w:tab/>
        <w:tab/>
        <w:tab/>
        <w:tab/>
        <w:tab/>
        <w:tab/>
        <w:tab/>
      </w:r>
    </w:p>
    <w:p>
      <w:pPr>
        <w:jc w:val="both"/>
        <w:rPr>
          <w:rFonts w:ascii="AT*Toronto" w:hAnsi="AT*Toronto" w:cs="Times New Roman"/>
        </w:rPr>
      </w:pPr>
    </w:p>
    <w:p>
      <w:pPr>
        <w:jc w:val="both"/>
        <w:rPr>
          <w:rFonts w:ascii="AT*Toronto" w:hAnsi="AT*Toronto" w:cs="Times New Roman"/>
        </w:rPr>
      </w:pPr>
    </w:p>
    <w:p>
      <w:pPr>
        <w:jc w:val="both"/>
        <w:rPr>
          <w:rFonts w:ascii="AT*Toronto" w:hAnsi="AT*Toronto" w:cs="Times New Roman"/>
        </w:rPr>
      </w:pPr>
    </w:p>
    <w:p>
      <w:pPr>
        <w:jc w:val="both"/>
        <w:rPr>
          <w:rFonts w:ascii="AT*Toronto" w:hAnsi="AT*Toronto" w:cs="Times New Roman"/>
        </w:rPr>
      </w:pPr>
    </w:p>
    <w:p>
      <w:pPr>
        <w:jc w:val="both"/>
        <w:rPr>
          <w:rFonts w:ascii="AT*Toronto" w:hAnsi="AT*Toronto" w:cs="Times New Roman"/>
        </w:rPr>
      </w:pPr>
    </w:p>
    <w:p>
      <w:pPr>
        <w:pStyle w:val="Heading2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>Bratis</w:t>
      </w:r>
      <w:r>
        <w:rPr>
          <w:rFonts w:ascii="AT*Toronto" w:hAnsi="AT*Toronto" w:cs="Times New Roman"/>
        </w:rPr>
        <w:t>lava  september 2004</w:t>
      </w:r>
    </w:p>
    <w:p>
      <w:pPr>
        <w:rPr>
          <w:rFonts w:ascii="AT*Toronto" w:hAnsi="AT*Toronto" w:cs="Times New Roman"/>
          <w:b/>
          <w:bCs/>
        </w:rPr>
      </w:pPr>
    </w:p>
    <w:p>
      <w:pPr>
        <w:jc w:val="center"/>
        <w:rPr>
          <w:rFonts w:ascii="AT*Toronto" w:hAnsi="AT*Toronto" w:cs="Times New Roman"/>
          <w:b/>
          <w:bCs/>
        </w:rPr>
      </w:pPr>
    </w:p>
    <w:p>
      <w:pPr>
        <w:jc w:val="center"/>
        <w:rPr>
          <w:rFonts w:ascii="AT*Toronto" w:hAnsi="AT*Toronto" w:cs="Times New Roman"/>
          <w:b/>
          <w:bCs/>
        </w:rPr>
      </w:pPr>
    </w:p>
    <w:p>
      <w:pPr>
        <w:pStyle w:val="Heading3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>NÁRODNÁ RADA SLOVENSKEJ REPUBLIKY</w:t>
      </w:r>
    </w:p>
    <w:p>
      <w:pPr>
        <w:jc w:val="center"/>
        <w:rPr>
          <w:rFonts w:ascii="AT*Toronto" w:hAnsi="AT*Toronto" w:cs="Times New Roman"/>
          <w:b/>
          <w:bCs/>
          <w:sz w:val="28"/>
          <w:u w:val="single"/>
        </w:rPr>
      </w:pPr>
    </w:p>
    <w:p>
      <w:pPr>
        <w:pStyle w:val="Heading4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>III. volebné obdobie</w:t>
      </w:r>
    </w:p>
    <w:p>
      <w:pPr>
        <w:jc w:val="center"/>
        <w:rPr>
          <w:rFonts w:ascii="AT*Toronto" w:hAnsi="AT*Toronto" w:cs="Times New Roman"/>
          <w:sz w:val="28"/>
        </w:rPr>
      </w:pPr>
    </w:p>
    <w:p>
      <w:pPr>
        <w:jc w:val="center"/>
        <w:rPr>
          <w:rFonts w:ascii="AT*Toronto" w:hAnsi="AT*Toronto" w:cs="Times New Roman"/>
          <w:sz w:val="28"/>
        </w:rPr>
      </w:pPr>
    </w:p>
    <w:p>
      <w:pPr>
        <w:rPr>
          <w:rFonts w:ascii="AT*Toronto" w:hAnsi="AT*Toronto" w:cs="Times New Roman"/>
          <w:sz w:val="28"/>
        </w:rPr>
      </w:pPr>
    </w:p>
    <w:p>
      <w:pPr>
        <w:jc w:val="center"/>
        <w:rPr>
          <w:rFonts w:ascii="AT*Toronto" w:hAnsi="AT*Toronto" w:cs="Times New Roman"/>
          <w:sz w:val="28"/>
        </w:rPr>
      </w:pPr>
    </w:p>
    <w:p>
      <w:pPr>
        <w:jc w:val="center"/>
        <w:rPr>
          <w:rFonts w:ascii="AT*Toronto" w:hAnsi="AT*Toronto" w:cs="Times New Roman"/>
          <w:sz w:val="28"/>
        </w:rPr>
      </w:pPr>
    </w:p>
    <w:p>
      <w:pPr>
        <w:jc w:val="center"/>
        <w:rPr>
          <w:rFonts w:ascii="AT*Toronto" w:hAnsi="AT*Toronto" w:cs="Times New Roman"/>
          <w:sz w:val="28"/>
        </w:rPr>
      </w:pPr>
    </w:p>
    <w:p>
      <w:pPr>
        <w:pStyle w:val="Heading5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>N Á V R H</w:t>
      </w:r>
    </w:p>
    <w:p>
      <w:pPr>
        <w:jc w:val="center"/>
        <w:rPr>
          <w:rFonts w:ascii="AT*Toronto" w:hAnsi="AT*Toronto" w:cs="Times New Roman"/>
          <w:b/>
          <w:bCs/>
          <w:sz w:val="32"/>
        </w:rPr>
      </w:pPr>
    </w:p>
    <w:p>
      <w:pPr>
        <w:jc w:val="center"/>
        <w:rPr>
          <w:rFonts w:ascii="AT*Toronto" w:hAnsi="AT*Toronto" w:cs="Times New Roman"/>
          <w:b/>
          <w:bCs/>
          <w:sz w:val="32"/>
        </w:rPr>
      </w:pPr>
    </w:p>
    <w:p>
      <w:pPr>
        <w:jc w:val="center"/>
        <w:rPr>
          <w:rFonts w:ascii="AT*Toronto" w:hAnsi="AT*Toronto" w:cs="Times New Roman"/>
          <w:b/>
          <w:bCs/>
          <w:sz w:val="32"/>
        </w:rPr>
      </w:pPr>
      <w:r>
        <w:rPr>
          <w:rFonts w:ascii="AT*Toronto" w:hAnsi="AT*Toronto" w:cs="Times New Roman"/>
          <w:b/>
          <w:bCs/>
          <w:sz w:val="32"/>
        </w:rPr>
        <w:t>Z á k o n</w:t>
      </w:r>
    </w:p>
    <w:p>
      <w:pPr>
        <w:jc w:val="center"/>
        <w:rPr>
          <w:rFonts w:ascii="AT*Toronto" w:hAnsi="AT*Toronto" w:cs="Times New Roman"/>
          <w:b/>
          <w:bCs/>
          <w:sz w:val="32"/>
        </w:rPr>
      </w:pPr>
    </w:p>
    <w:p>
      <w:pPr>
        <w:jc w:val="center"/>
        <w:rPr>
          <w:rFonts w:ascii="AT*Toronto" w:hAnsi="AT*Toronto" w:cs="Times New Roman"/>
          <w:b/>
          <w:bCs/>
          <w:sz w:val="28"/>
        </w:rPr>
      </w:pPr>
      <w:r>
        <w:rPr>
          <w:rFonts w:ascii="AT*Toronto" w:hAnsi="AT*Toronto" w:cs="Times New Roman"/>
          <w:b/>
          <w:bCs/>
          <w:sz w:val="28"/>
        </w:rPr>
        <w:t>z .................... 2004</w:t>
      </w:r>
    </w:p>
    <w:p>
      <w:pPr>
        <w:jc w:val="center"/>
        <w:rPr>
          <w:rFonts w:ascii="AT*Toronto" w:hAnsi="AT*Toronto" w:cs="Times New Roman"/>
          <w:b/>
          <w:bCs/>
          <w:sz w:val="28"/>
        </w:rPr>
      </w:pPr>
    </w:p>
    <w:p>
      <w:pPr>
        <w:pStyle w:val="BodyText2"/>
        <w:pBdr>
          <w:bottom w:val="single" w:sz="12" w:space="1" w:color="auto"/>
        </w:pBdr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  <w:sz w:val="24"/>
        </w:rPr>
        <w:t xml:space="preserve">ktorým sa mení a dopĺňa zákon  č. 303/2001 Z. z. o voľbách do orgánov samosprávnych krajov a o doplnení Občianskeho súdneho poriadku </w:t>
      </w:r>
    </w:p>
    <w:p>
      <w:pPr>
        <w:pStyle w:val="BodyText2"/>
        <w:rPr>
          <w:rFonts w:ascii="AT*Toronto" w:hAnsi="AT*Toronto" w:cs="Times New Roman"/>
        </w:rPr>
      </w:pPr>
    </w:p>
    <w:p>
      <w:pPr>
        <w:pStyle w:val="BodyText2"/>
        <w:rPr>
          <w:rFonts w:ascii="AT*Toronto" w:hAnsi="AT*Toronto" w:cs="Times New Roman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</w:rPr>
        <w:tab/>
      </w:r>
      <w:r>
        <w:rPr>
          <w:rFonts w:ascii="AT*Toronto" w:hAnsi="AT*Toronto" w:cs="Times New Roman"/>
          <w:sz w:val="24"/>
        </w:rPr>
        <w:t>Národná rada Slovenskej republiky sa uzniesla na tomto zákone: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  <w:sz w:val="24"/>
        </w:rPr>
        <w:t>Čl. I</w:t>
      </w: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Zákon  č. 303/2001 Z. z. o voľbách do orgánov samosprávnych krajov sa mení a dopĺňa takto: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1. V § 5   ods. 1 znie: „Pre voľby do zastupiteľstiev samosprávnych krajov (ďalej len „zastupiteľstvo“)  sa utvoria v každom samosprávnom kraji jednomandátové volebné obvody podľa „Prílohy“ pomerne k počtu obyvateľov samosprávneho kraja.“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2. V § 5 ods. 2 znie: „Volebné obvody, sídla obvodných volebných komisií určí zastupiteľstvo a zverejní ich najneskôr 65 dní pred dňom konania volieb.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3. V § 8 bod 1 znie: „Pre voľby do orgánov samosprávnych krajov  (ďalej len „voľby“) sa zriaďujú tieto volebné orgány: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12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Ústredná volebná komisia</w:t>
      </w:r>
    </w:p>
    <w:p>
      <w:pPr>
        <w:pStyle w:val="BodyText2"/>
        <w:numPr>
          <w:ilvl w:val="0"/>
          <w:numId w:val="12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Volebné komisie samosprávnych krajov</w:t>
      </w:r>
    </w:p>
    <w:p>
      <w:pPr>
        <w:pStyle w:val="BodyText2"/>
        <w:numPr>
          <w:ilvl w:val="0"/>
          <w:numId w:val="12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Obvodné vo</w:t>
      </w:r>
      <w:r>
        <w:rPr>
          <w:rFonts w:ascii="AT*Toronto" w:hAnsi="AT*Toronto" w:cs="Times New Roman"/>
          <w:sz w:val="24"/>
        </w:rPr>
        <w:t>lebné komisie v počte podľa „Prílohy“ v sídlach obvodných úradov štátnej správy</w:t>
      </w:r>
    </w:p>
    <w:p>
      <w:pPr>
        <w:pStyle w:val="BodyText2"/>
        <w:numPr>
          <w:ilvl w:val="0"/>
          <w:numId w:val="12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Okrskové volebné komisie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i/>
          <w:iCs/>
          <w:sz w:val="24"/>
          <w:u w:val="single"/>
        </w:rPr>
      </w:pPr>
      <w:r>
        <w:rPr>
          <w:rFonts w:ascii="AT*Toronto" w:hAnsi="AT*Toronto" w:cs="Times New Roman"/>
          <w:b/>
          <w:bCs/>
          <w:i/>
          <w:iCs/>
          <w:sz w:val="24"/>
          <w:u w:val="single"/>
        </w:rPr>
        <w:t>Alternatíva:</w:t>
      </w:r>
    </w:p>
    <w:p>
      <w:pPr>
        <w:pStyle w:val="BodyText2"/>
        <w:rPr>
          <w:rFonts w:ascii="AT*Toronto" w:hAnsi="AT*Toronto" w:cs="Times New Roman"/>
          <w:b/>
          <w:bCs/>
          <w:i/>
          <w:i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3. V § 8 bod 1 znie: „Pre voľby do orgánov samosprávnych krajov  (ďalej len „voľby“) sa zriaďujú tieto volebné orgány: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13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Ústredná volebn</w:t>
      </w:r>
      <w:r>
        <w:rPr>
          <w:rFonts w:ascii="AT*Toronto" w:hAnsi="AT*Toronto" w:cs="Times New Roman"/>
          <w:sz w:val="24"/>
        </w:rPr>
        <w:t>á komisia</w:t>
      </w:r>
    </w:p>
    <w:p>
      <w:pPr>
        <w:pStyle w:val="BodyText2"/>
        <w:numPr>
          <w:ilvl w:val="0"/>
          <w:numId w:val="13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Volebné komisie samosprávnych krajov</w:t>
      </w:r>
    </w:p>
    <w:p>
      <w:pPr>
        <w:pStyle w:val="BodyText2"/>
        <w:numPr>
          <w:ilvl w:val="0"/>
          <w:numId w:val="13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Obvodné volebné  komisie v počte podľa rozhodnutia zastupiteľstva</w:t>
      </w:r>
    </w:p>
    <w:p>
      <w:pPr>
        <w:pStyle w:val="BodyText2"/>
        <w:numPr>
          <w:ilvl w:val="0"/>
          <w:numId w:val="13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Okrskové volebné komisie.“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4. V § 14 ods. 3 znie: „Kandidátna listina politickej strany obsahuje: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14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názov politickej strany</w:t>
      </w:r>
    </w:p>
    <w:p>
      <w:pPr>
        <w:pStyle w:val="BodyText2"/>
        <w:numPr>
          <w:ilvl w:val="0"/>
          <w:numId w:val="14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meno a priezvisko,</w:t>
      </w:r>
      <w:r>
        <w:rPr>
          <w:rFonts w:ascii="AT*Toronto" w:hAnsi="AT*Toronto" w:cs="Times New Roman"/>
          <w:sz w:val="24"/>
        </w:rPr>
        <w:t xml:space="preserve"> akademický titul, povolanie a trvalý pobyt kandidáta</w:t>
      </w:r>
    </w:p>
    <w:p>
      <w:pPr>
        <w:pStyle w:val="BodyText2"/>
        <w:numPr>
          <w:ilvl w:val="0"/>
          <w:numId w:val="14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meno a priezvisko splnomocnenca politickej strany a jeho náhradníka s uvedením adresy. Kandidát nemôže byť splnomocnencom ani náhradníkom.“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5. V § 14 ods. 4 sa vypúšťa, ods. 5 sa označí ako ods. 4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6. </w:t>
      </w:r>
      <w:r>
        <w:rPr>
          <w:rFonts w:ascii="AT*Toronto" w:hAnsi="AT*Toronto" w:cs="Times New Roman"/>
          <w:sz w:val="24"/>
        </w:rPr>
        <w:t>V § 14 ods. 6 sa označí ako ods. 5, ktorý znie: „Kandidátna listina nezávislého kandidáta obsahuje meno, priezvisko, akademický titul, vek, pohlavie, trvalý pobyt a podpis kandidáta. Súčasťou prvého rovnopisu kandidátnej listiny nezávislého kandidáta je petícia 9) podpísaná voličmi volebného obvodu v počte aspoň 200 podpisov. V petícii sa pri každom podpise uvedie meno a priezvisko voliča a trvalý pobyt, ktorým sa rozumie názov obce, názov ulice, ak sa obec člení na ulice, a číslo domu.“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7. V § 14 ods. 7 s</w:t>
      </w:r>
      <w:r>
        <w:rPr>
          <w:rFonts w:ascii="AT*Toronto" w:hAnsi="AT*Toronto" w:cs="Times New Roman"/>
          <w:sz w:val="24"/>
        </w:rPr>
        <w:t>a označí ako ods. 6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8. V § 14 ods. 8 sa vypúšťa, ods. 9, 10 a 11 sa označia ako ods. 7, 8 a 9.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9) V § 15 ods. 1 písm. d)  sa vypúšťa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10. V § 18 ods. 3 znie: „Na hlasovacom lístku sa uvedú kandidáti v abecednom poradí s uvedením poradového čísla, mena a priezviska, akademického titulu, veku, povolania a názov politickej strany, ktorá podala kandidátnu listinu, alebo údaj o tom, že ide o nezávislého kandidáta.“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11. V § 18 ods. 5 znie: „Krajský úrad zabezpečí dodanie hlasovacích lístkov obvodným úradom. Obvodné úrady zabezpečia dodanie hlasovacích lístkov obciam; obec zabezpečí dodanie hlasovacích lístkov najneskôr v deň volieb okrskovým volebným komisiám.“ 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12. V § 29 ods. 3 znie: „Po prevzatí obálky a hlasovacích lístkov vstúpi volič  do priestoru určeného na úpravu hlasovacích lístkov. V tomto priestore môže zakrúžkovaním poradového čísla označiť kandidáta za poslanca do zastupiteľstva a predsedu, za ktorých hlasuje. Hlasovacie lístky uloží do obálky, ktorú vloží do volebnej urny.“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____________________</w:t>
      </w:r>
      <w:r>
        <w:rPr>
          <w:rFonts w:ascii="AT*Toronto" w:hAnsi="AT*Toronto" w:cs="Times New Roman"/>
          <w:sz w:val="24"/>
        </w:rPr>
        <w:t>_______________________________________________________</w:t>
      </w: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9) Zákon č. 85/1990 Zb. o petičnom práve v znení zákona č. 242/1998 Z. z.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13. V § 36 ods. 1 znie: „Neplatný je hlasovací lístok: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15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ktorý nie je na predpísanom tlačive</w:t>
      </w:r>
    </w:p>
    <w:p>
      <w:pPr>
        <w:pStyle w:val="BodyText2"/>
        <w:numPr>
          <w:ilvl w:val="0"/>
          <w:numId w:val="15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ktorý nie je upravený podľa § 29</w:t>
      </w:r>
      <w:r>
        <w:rPr>
          <w:rFonts w:ascii="AT*Toronto" w:hAnsi="AT*Toronto" w:cs="Times New Roman"/>
          <w:sz w:val="24"/>
        </w:rPr>
        <w:t xml:space="preserve"> ods. 3 alebo</w:t>
      </w:r>
    </w:p>
    <w:p>
      <w:pPr>
        <w:pStyle w:val="BodyText2"/>
        <w:numPr>
          <w:ilvl w:val="0"/>
          <w:numId w:val="15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na ktorom volič neoznačil zakrúžkovaním ani jedného kandidáta, alebo ak označil zakrúžkovaním viac kandidátov pre voľby do zastupiteľstva, alebo pre voľby predsedu.“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14. V § 39 ods. 3 znie: „V zápisnici obvodnej volebnej komisie sa za každý </w:t>
      </w:r>
      <w:r>
        <w:rPr>
          <w:rFonts w:ascii="AT*Toronto" w:hAnsi="AT*Toronto" w:cs="Times New Roman"/>
          <w:sz w:val="24"/>
        </w:rPr>
        <w:t xml:space="preserve">volebný obvod </w:t>
      </w: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      uvedie: 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16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počet volebných okrskov a počet okrskových volebných komisií, ktoré zaslali výsledok hlasovania</w:t>
      </w:r>
    </w:p>
    <w:p>
      <w:pPr>
        <w:pStyle w:val="BodyText2"/>
        <w:numPr>
          <w:ilvl w:val="0"/>
          <w:numId w:val="16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počet oprávnených osôb zapísaných v zozname voličov</w:t>
      </w:r>
    </w:p>
    <w:p>
      <w:pPr>
        <w:pStyle w:val="BodyText2"/>
        <w:numPr>
          <w:ilvl w:val="0"/>
          <w:numId w:val="16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počet voličov, ktorým boli vydané obálky</w:t>
      </w:r>
    </w:p>
    <w:p>
      <w:pPr>
        <w:pStyle w:val="BodyText2"/>
        <w:numPr>
          <w:ilvl w:val="0"/>
          <w:numId w:val="16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počet odovzdaných obálok</w:t>
      </w:r>
    </w:p>
    <w:p>
      <w:pPr>
        <w:pStyle w:val="BodyText2"/>
        <w:numPr>
          <w:ilvl w:val="0"/>
          <w:numId w:val="16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počet platných hlasov odovzdaných pre jednotlivých kandidátov pre voľby do zastupiteľstva</w:t>
      </w:r>
    </w:p>
    <w:p>
      <w:pPr>
        <w:pStyle w:val="BodyText2"/>
        <w:numPr>
          <w:ilvl w:val="0"/>
          <w:numId w:val="16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v prípade, že poslanec zastupiteľstva nebol zvolený, nakoľko najúspešnejší kandidáti dosiahli  rovnaký počet hlasov, komisia rozhodne o voľbe poslanca zastupiteľstva žrebom  </w:t>
      </w:r>
    </w:p>
    <w:p>
      <w:pPr>
        <w:pStyle w:val="BodyText2"/>
        <w:numPr>
          <w:ilvl w:val="0"/>
          <w:numId w:val="16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meno a priezvisko kandidáta, ktorý bol zvolený vo volebnom obvode za poslanca zastupiteľstva, názov politickej strany, ktorá ho navrhla, alebo údaj o tom, že je nezávislým kandidátom</w:t>
      </w:r>
    </w:p>
    <w:p>
      <w:pPr>
        <w:pStyle w:val="BodyText2"/>
        <w:numPr>
          <w:ilvl w:val="0"/>
          <w:numId w:val="16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počet platných hlasov odovzdaných pre jednotlivých kandidátov pre voľby pre</w:t>
      </w:r>
      <w:r>
        <w:rPr>
          <w:rFonts w:ascii="AT*Toronto" w:hAnsi="AT*Toronto" w:cs="Times New Roman"/>
          <w:sz w:val="24"/>
        </w:rPr>
        <w:t>dsedu</w:t>
      </w:r>
    </w:p>
    <w:p>
      <w:pPr>
        <w:pStyle w:val="BodyText2"/>
        <w:ind w:left="705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15. V § 40 ods. 2 znie: „V zápisnici volebnej komisie samosprávneho kraja sa uvedie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17"/>
        </w:numPr>
        <w:tabs>
          <w:tab w:val="left" w:pos="1068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počet volebných obvodov,</w:t>
      </w:r>
    </w:p>
    <w:p>
      <w:pPr>
        <w:pStyle w:val="BodyText2"/>
        <w:numPr>
          <w:ilvl w:val="0"/>
          <w:numId w:val="17"/>
        </w:numPr>
        <w:tabs>
          <w:tab w:val="left" w:pos="1068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počet  obvodných  volebných  komisií,  ktoré zaslali zápisnicu o výsledku hlasovania vo volebnom obvode,</w:t>
      </w:r>
    </w:p>
    <w:p>
      <w:pPr>
        <w:pStyle w:val="BodyText2"/>
        <w:ind w:firstLine="708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c) počet oprávnených osôb zapísaných v zoznamoch voličov,</w:t>
      </w: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 </w:t>
        <w:tab/>
        <w:t>d) počet voličov, ktorým boli vydané obálky,</w:t>
      </w: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 </w:t>
        <w:tab/>
        <w:t>e) počet odovzdaných obálok,</w:t>
      </w: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 </w:t>
        <w:tab/>
        <w:t>f) počet platných hlasov  odovzdaných pre jednotlivých kandidátov</w:t>
      </w: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   </w:t>
        <w:tab/>
        <w:t xml:space="preserve"> pre voľby do zastupiteľstva,</w:t>
      </w:r>
    </w:p>
    <w:p>
      <w:pPr>
        <w:pStyle w:val="BodyText2"/>
        <w:ind w:firstLine="708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g) mená   a  priezviská   kandidátov,  ktorí   bol</w:t>
      </w:r>
      <w:r>
        <w:rPr>
          <w:rFonts w:ascii="AT*Toronto" w:hAnsi="AT*Toronto" w:cs="Times New Roman"/>
          <w:sz w:val="24"/>
        </w:rPr>
        <w:t>i  zvolení   do</w:t>
      </w: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  </w:t>
        <w:tab/>
        <w:t xml:space="preserve">  zastupiteľstva,   názov  politickej strany, ktorá ich navrhla,  alebo údaj o tom, že sú</w:t>
      </w: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  </w:t>
        <w:tab/>
        <w:t xml:space="preserve">  nezávislými kandidátmi,</w:t>
      </w: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 </w:t>
        <w:tab/>
        <w:t>h) počet platných hlasov  odovzdaných pre jednotlivých kandidátov</w:t>
      </w: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    </w:t>
        <w:tab/>
        <w:t>pre voľby predsedu,</w:t>
      </w:r>
    </w:p>
    <w:p>
      <w:pPr>
        <w:pStyle w:val="BodyText2"/>
        <w:numPr>
          <w:ilvl w:val="0"/>
          <w:numId w:val="16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meno a priezvisko zvoleného predsedu, názov politickej strany, ktorá ho navrhla, alebo údaj o tom, že je nezávislým kandidátom, alebo konštatovanie, že vzhľadom na skutočnosť, že dvaja alebo viacerí kandidáti získali rovnaký počet hlasov a predseda nebol zvolený. V zápisnici sa zároveň uvedú údaje o mene a priezvisku týchto kandidátov, ktorí postupujú do  druhého kola volieb.“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16. V § 41 ods. 1 znie: „Za poslanca zastupiteľstva je zvolený kandidát, ktorý získal vo volebnom obvode najväčší počet platných hlasov, alebo o poradí rozhodla obvodná komisia žrebom, alebo ak bol najúspešnejší kandidát  za poslanca zvolený za predsedu, poslancom sa stáva druhý v poradí najúspešnejší kandidát.“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17. V § 41 ods. 2  a ods. 3 sa vypúšťajú; ods. 4 sa označí ako ods. 2, ktorý  znie: „Za predsedu je zvolený ten kandidát, ktorý získal najväčší počet platných hlasov.“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18. V § 42 ods. 1 znie: „V prípade, že predseda nebol zvolený, koná sa druhé kolo volieb do 14 dní. Druhé kolo volieb a deň ich konania vyhlási predseda Národnej rady Slovenskej republ</w:t>
      </w:r>
      <w:r>
        <w:rPr>
          <w:rFonts w:ascii="AT*Toronto" w:hAnsi="AT*Toronto" w:cs="Times New Roman"/>
          <w:sz w:val="24"/>
        </w:rPr>
        <w:t>iky bezodkladne po zverejnení výsledkov volieb ústrednou volebnou komisiou.“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19. V § 42 ods. 2 znie: „Do druhého kola postupujú tí kandidáti, ktorí získali rovnaký počet platných hlasov v prvom kole. Ak niektorý z kandidátov, ktorý postúpi do druhého kola volieb, prestane byť voliteľný za predsedu, alebo ak sa práva kandidovať vzdá, druhé kolo volieb sa nekoná a vykonajú sa nové voľby.“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20. V § 46 ods. 1 znie: „Nové voľby vyhlási predseda Národnej rady Slovenskej republiky, ak</w:t>
      </w:r>
    </w:p>
    <w:p>
      <w:pPr>
        <w:pStyle w:val="BodyText2"/>
        <w:numPr>
          <w:ilvl w:val="0"/>
          <w:numId w:val="18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sa v niektorom samosprávnom kraji z akýchkoľvek dôvodov nevykonali voľby podľa tohto zákona</w:t>
      </w:r>
    </w:p>
    <w:p>
      <w:pPr>
        <w:pStyle w:val="BodyText2"/>
        <w:numPr>
          <w:ilvl w:val="0"/>
          <w:numId w:val="18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Ústavný súd Slovenskej republiky vyhlási voľby za neplatné alebo zruší výsledok volieb</w:t>
      </w:r>
    </w:p>
    <w:p>
      <w:pPr>
        <w:pStyle w:val="BodyText2"/>
        <w:numPr>
          <w:ilvl w:val="0"/>
          <w:numId w:val="18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Sa uprázdni mandát v zastupiteľstve alebo miesto predsedu, alebo</w:t>
      </w:r>
    </w:p>
    <w:p>
      <w:pPr>
        <w:pStyle w:val="BodyText2"/>
        <w:numPr>
          <w:ilvl w:val="0"/>
          <w:numId w:val="18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Ak sa koná druhé kolo volieb predsedu a </w:t>
      </w:r>
      <w:r>
        <w:rPr>
          <w:rFonts w:ascii="AT*Toronto" w:hAnsi="AT*Toronto" w:cs="Times New Roman"/>
          <w:sz w:val="24"/>
        </w:rPr>
        <w:t>predseda nebol zvolený.“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21. § 48 sa vypúšťa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22. V § 49 ods. 2 znie: „Pre obvodné volebné  komisie zabezpečí všetky potrebné pomocné prostriedky a pomocné pracovné sily  obvodný úrad. Pre volebnú komisiu samosprávneho kraja zabezpečí všetky pomocné prost</w:t>
      </w:r>
      <w:r>
        <w:rPr>
          <w:rFonts w:ascii="AT*Toronto" w:hAnsi="AT*Toronto" w:cs="Times New Roman"/>
          <w:sz w:val="24"/>
        </w:rPr>
        <w:t>riedky a pomocné pracovné sily úrad samosprávneho kraja.“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23. § 56 a § 57 sa vypúšťajú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24. Príloha „Volebné komisie samosprávnych krajov, počet volebných obvodov v samosprávnom kraji, sídla obvodných volebných komisií, počet obvodov zaradených do obvodne</w:t>
      </w:r>
      <w:r>
        <w:rPr>
          <w:rFonts w:ascii="AT*Toronto" w:hAnsi="AT*Toronto" w:cs="Times New Roman"/>
          <w:sz w:val="24"/>
        </w:rPr>
        <w:t>j volebnej komisie“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  <w:sz w:val="24"/>
        </w:rPr>
        <w:t>Čl. II.</w:t>
      </w: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Tento zákon nadobúda účinnosť dňom vyhlásenia.</w:t>
      </w: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</w:rPr>
      </w:pPr>
      <w:r>
        <w:rPr>
          <w:rFonts w:ascii="AT*Toronto" w:hAnsi="AT*Toronto" w:cs="Times New Roman"/>
          <w:b/>
          <w:bCs/>
        </w:rPr>
        <w:t>Príloha</w:t>
      </w: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</w:rPr>
        <w:t>volebné komisie samosprávnych krajov, počet volebných obvodov v samosprávnom kraji, sídla obvodných volebných komisií, počet obvodov zaradených do obvodnej volebn</w:t>
      </w:r>
      <w:r>
        <w:rPr>
          <w:rFonts w:ascii="AT*Toronto" w:hAnsi="AT*Toronto" w:cs="Times New Roman"/>
          <w:b/>
          <w:bCs/>
        </w:rPr>
        <w:t>ej komisie</w:t>
      </w: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  <w:sz w:val="24"/>
        </w:rPr>
        <w:t>I.</w:t>
      </w: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  <w:sz w:val="24"/>
        </w:rPr>
        <w:t>VOLEBNÁ KOMISIA BRATISLAVSKÉHO SAMOSPRÁVNEHO KRAJA</w:t>
      </w: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sz w:val="24"/>
        </w:rPr>
        <w:tab/>
      </w:r>
      <w:r>
        <w:rPr>
          <w:rFonts w:ascii="AT*Toronto" w:hAnsi="AT*Toronto" w:cs="Times New Roman"/>
          <w:b/>
          <w:bCs/>
          <w:sz w:val="24"/>
        </w:rPr>
        <w:t>Počet volebných obvodov 46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Obvodná volebná komisia – Obvodný úrad Bratislava, počet obvodov 33 </w:t>
      </w:r>
    </w:p>
    <w:p>
      <w:pPr>
        <w:pStyle w:val="BodyText2"/>
        <w:ind w:left="1065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(okresy: Bratislava I. - V.)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Malacky – počet obvodov 5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Pezinok – počet obvodov 4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Senec – počet obvodov 4</w:t>
      </w: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  <w:sz w:val="24"/>
        </w:rPr>
        <w:t>II.</w:t>
      </w: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  <w:sz w:val="24"/>
        </w:rPr>
        <w:t>VOLEBNÁ KOMISIA TRNAVSKÉHO SAMOSPRÁVNEHO KRAJA</w:t>
      </w: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sz w:val="24"/>
        </w:rPr>
        <w:tab/>
      </w:r>
      <w:r>
        <w:rPr>
          <w:rFonts w:ascii="AT*Toronto" w:hAnsi="AT*Toronto" w:cs="Times New Roman"/>
          <w:b/>
          <w:bCs/>
          <w:sz w:val="24"/>
        </w:rPr>
        <w:t>Počet volebných obvodov 40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– Obvodný úrad Trnava, počet obvodov 12</w:t>
      </w:r>
    </w:p>
    <w:p>
      <w:pPr>
        <w:pStyle w:val="BodyText2"/>
        <w:ind w:left="1065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(okresy: Trnava, Hloho</w:t>
      </w:r>
      <w:r>
        <w:rPr>
          <w:rFonts w:ascii="AT*Toronto" w:hAnsi="AT*Toronto" w:cs="Times New Roman"/>
          <w:sz w:val="24"/>
        </w:rPr>
        <w:t>vec)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Dunajská Streda – počet obvodov 8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Galanta – počet obvodov 7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Piešťany – počet obvodov 5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Obvodná volebná komisia Senica – Obvodný úrad Senica - počet obvodov 8 </w:t>
      </w:r>
    </w:p>
    <w:p>
      <w:pPr>
        <w:pStyle w:val="BodyText2"/>
        <w:ind w:left="1065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(okresy: Senica, Ska</w:t>
      </w:r>
      <w:r>
        <w:rPr>
          <w:rFonts w:ascii="AT*Toronto" w:hAnsi="AT*Toronto" w:cs="Times New Roman"/>
          <w:sz w:val="24"/>
        </w:rPr>
        <w:t>lica)</w:t>
      </w:r>
    </w:p>
    <w:p>
      <w:pPr>
        <w:pStyle w:val="BodyText2"/>
        <w:ind w:left="1065"/>
        <w:rPr>
          <w:rFonts w:ascii="AT*Toronto" w:hAnsi="AT*Toronto" w:cs="Times New Roman"/>
          <w:sz w:val="24"/>
        </w:rPr>
      </w:pPr>
    </w:p>
    <w:p>
      <w:pPr>
        <w:pStyle w:val="BodyText2"/>
        <w:ind w:left="1065"/>
        <w:rPr>
          <w:rFonts w:ascii="AT*Toronto" w:hAnsi="AT*Toronto" w:cs="Times New Roman"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  <w:sz w:val="24"/>
        </w:rPr>
        <w:t>III.</w:t>
      </w: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  <w:sz w:val="24"/>
        </w:rPr>
        <w:t>VOLEBNÁ KOMISIA TRENČIANSKEHO SAMOSPRÁVNEHO KRAJA</w:t>
      </w: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sz w:val="24"/>
        </w:rPr>
        <w:tab/>
      </w:r>
      <w:r>
        <w:rPr>
          <w:rFonts w:ascii="AT*Toronto" w:hAnsi="AT*Toronto" w:cs="Times New Roman"/>
          <w:b/>
          <w:bCs/>
          <w:sz w:val="24"/>
        </w:rPr>
        <w:t>Počet volebných obvodov 45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Trenčín – Obvodný úrad Trenčín - počet obvodov 13</w:t>
      </w:r>
    </w:p>
    <w:p>
      <w:pPr>
        <w:pStyle w:val="BodyText2"/>
        <w:ind w:left="1065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(okresy: Trenčín, Ilava)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Bánovce nad Bebravou - počet obvodov 3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Obvodná volebná komisia Nové Mesto nad Váhom – Obvodný úrad Nové mesto nad Váhom – počet obvodov 7 </w:t>
      </w:r>
    </w:p>
    <w:p>
      <w:pPr>
        <w:pStyle w:val="BodyText2"/>
        <w:ind w:left="1065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(okresy: Nové Mesto nad Váhom, Myjava)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Považská Bystrica – Obvodný úrad Považská Bystrica – počet obvodov 8</w:t>
      </w:r>
    </w:p>
    <w:p>
      <w:pPr>
        <w:pStyle w:val="BodyText2"/>
        <w:ind w:left="1065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(okresy: Považská Bystri</w:t>
      </w:r>
      <w:r>
        <w:rPr>
          <w:rFonts w:ascii="AT*Toronto" w:hAnsi="AT*Toronto" w:cs="Times New Roman"/>
          <w:sz w:val="24"/>
        </w:rPr>
        <w:t>ca, Púchov)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Obvodná volebná komisia Prievidza – Obvodný úrad Prievidza </w:t>
      </w:r>
    </w:p>
    <w:p>
      <w:pPr>
        <w:pStyle w:val="BodyText2"/>
        <w:ind w:left="1062" w:firstLine="3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– počet obvodov 14</w:t>
      </w:r>
    </w:p>
    <w:p>
      <w:pPr>
        <w:pStyle w:val="BodyText2"/>
        <w:ind w:left="1065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(okresy: Prievidza, Partizánske)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  <w:sz w:val="24"/>
        </w:rPr>
        <w:t>IV.</w:t>
      </w: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  <w:sz w:val="24"/>
        </w:rPr>
        <w:t>VOLEBNÁ KOMISIA NITRIANSKEHO SAMOSPRÁVNEHO KRAJA</w:t>
      </w: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sz w:val="24"/>
        </w:rPr>
        <w:tab/>
      </w:r>
      <w:r>
        <w:rPr>
          <w:rFonts w:ascii="AT*Toronto" w:hAnsi="AT*Toronto" w:cs="Times New Roman"/>
          <w:b/>
          <w:bCs/>
          <w:sz w:val="24"/>
        </w:rPr>
        <w:t>Počet volebných obvodov 52</w:t>
      </w: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Nitra – Obvodný úrad Nitra – počet obvodov 15</w:t>
      </w:r>
    </w:p>
    <w:p>
      <w:pPr>
        <w:pStyle w:val="BodyText2"/>
        <w:ind w:left="1065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(okresy: Nitra, Zlaté Moravce)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Komárno – Obvodný úrad Komárno – počet obvodov 8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Levice – Obvodný úrad Levice – počet obvodov 9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Nové Zámky – Obvodný úrad Nové Zámky – počet obvodov 9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Šaľa – Obvodný úrad Šaľa – počet obvodov 4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Štúrovo – Obvodný úrad Štúrovo – počet obvodov 2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Topoľčany – Obvodný úrad Topoľčany</w:t>
      </w:r>
    </w:p>
    <w:p>
      <w:pPr>
        <w:pStyle w:val="BodyText2"/>
        <w:ind w:left="1062" w:firstLine="3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 – počet obvodov 5</w:t>
      </w:r>
    </w:p>
    <w:p>
      <w:pPr>
        <w:pStyle w:val="BodyText2"/>
        <w:ind w:left="1062" w:firstLine="3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  <w:sz w:val="24"/>
        </w:rPr>
        <w:t>V.</w:t>
      </w:r>
    </w:p>
    <w:p>
      <w:pPr>
        <w:pStyle w:val="BodyText2"/>
        <w:ind w:left="1062" w:firstLine="3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  <w:sz w:val="24"/>
        </w:rPr>
        <w:t>VOLEBNÁ KOMISIA ŽILINSKÉHO SAMOSPRÁVNEHO KRAJA</w:t>
      </w: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sz w:val="24"/>
        </w:rPr>
        <w:tab/>
      </w:r>
      <w:r>
        <w:rPr>
          <w:rFonts w:ascii="AT*Toronto" w:hAnsi="AT*Toronto" w:cs="Times New Roman"/>
          <w:b/>
          <w:bCs/>
          <w:sz w:val="24"/>
        </w:rPr>
        <w:t>Počet volebných obvodov 52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Žilina – Obvodný úrad Žilina – počet obvodov 17</w:t>
      </w:r>
    </w:p>
    <w:p>
      <w:pPr>
        <w:pStyle w:val="BodyText2"/>
        <w:ind w:left="1065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(okresy: Žilina, Bytča, Kysucké Nové Mesto)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Čadca – Obvodný úrad Čadca – počet obvodov 7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Dolný Kubín – Obvodný úrad Dolný Kubín – počet obvodov 3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Námestovo – Obvodný úrad Námestovo – počet obvodov 7</w:t>
      </w:r>
    </w:p>
    <w:p>
      <w:pPr>
        <w:pStyle w:val="BodyText2"/>
        <w:ind w:left="1065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(okresy: Námestovo, Tvrdošín)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Liptovský Mikuláš – Obvodný úrad Liptovský Mikuláš – počet obvodov 6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Martin – Obvodný úrad Martin – počet obvodov 8</w:t>
      </w:r>
    </w:p>
    <w:p>
      <w:pPr>
        <w:pStyle w:val="BodyText2"/>
        <w:ind w:left="1065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(okresy: Martin, Turčianske Teplice)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Ružomberok – Obvodný úrad Ružomberok – počet obvodov 4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ind w:left="705"/>
        <w:jc w:val="center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  <w:sz w:val="24"/>
        </w:rPr>
        <w:t>VI.</w:t>
      </w:r>
    </w:p>
    <w:p>
      <w:pPr>
        <w:pStyle w:val="BodyText2"/>
        <w:ind w:left="705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  <w:sz w:val="24"/>
        </w:rPr>
        <w:t>VOLEBNÁ KOMISIA BANSKOBYSTRICKÉHO SAMOSPRÁ</w:t>
      </w:r>
      <w:r>
        <w:rPr>
          <w:rFonts w:ascii="AT*Toronto" w:hAnsi="AT*Toronto" w:cs="Times New Roman"/>
          <w:b/>
          <w:bCs/>
          <w:sz w:val="24"/>
        </w:rPr>
        <w:t>VNEHO KRAJA</w:t>
      </w:r>
    </w:p>
    <w:p>
      <w:pPr>
        <w:pStyle w:val="BodyText2"/>
        <w:ind w:left="705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ind w:left="705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sz w:val="24"/>
        </w:rPr>
        <w:tab/>
      </w:r>
      <w:r>
        <w:rPr>
          <w:rFonts w:ascii="AT*Toronto" w:hAnsi="AT*Toronto" w:cs="Times New Roman"/>
          <w:b/>
          <w:bCs/>
          <w:sz w:val="24"/>
        </w:rPr>
        <w:t>Počet volebných obvodov 49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Banská Bystrica – Obvodný úrad Banská Bystrica – počet obvodov 8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Brezno – Obvodný úrad Brezno – počet obvodov 5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Lučenec – Obvodný úrad Lučenec – počet obvodov 7</w:t>
      </w:r>
    </w:p>
    <w:p>
      <w:pPr>
        <w:pStyle w:val="BodyText2"/>
        <w:ind w:left="705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(okresy: Lučenec, Poltár)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 Rimavská Sobota – Obvodný úrad Rimavská Sobota – počet obvodov 9</w:t>
      </w:r>
    </w:p>
    <w:p>
      <w:pPr>
        <w:pStyle w:val="BodyText2"/>
        <w:ind w:left="1065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(okresy: Rimavská Sobota, Revúca)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Veľký Krtíš – Obvodný úrad Veľký Krtíš – počet obvodov 3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Zvolen – Obvodný úrad Zvolen – počet obvodov  10</w:t>
      </w:r>
    </w:p>
    <w:p>
      <w:pPr>
        <w:pStyle w:val="BodyText2"/>
        <w:ind w:left="1065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(okresy: Zvolen, Detva, Krupina)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Žiar nad Hronom – Obvodný úrad Žiar nad Hronom – počet obvodov 7</w:t>
      </w:r>
    </w:p>
    <w:p>
      <w:pPr>
        <w:pStyle w:val="BodyText2"/>
        <w:ind w:left="1065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sz w:val="24"/>
        </w:rPr>
        <w:t>(okresy: Žiar nad Hronom, Banská Štiavnica, Žarnovica)</w:t>
      </w: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  <w:sz w:val="24"/>
        </w:rPr>
        <w:t>VII.</w:t>
      </w: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  <w:sz w:val="24"/>
        </w:rPr>
        <w:t>VOLE</w:t>
      </w:r>
      <w:r>
        <w:rPr>
          <w:rFonts w:ascii="AT*Toronto" w:hAnsi="AT*Toronto" w:cs="Times New Roman"/>
          <w:b/>
          <w:bCs/>
          <w:sz w:val="24"/>
        </w:rPr>
        <w:t>BNÁ KOMISIA PREŠOVSKÉHO SAMOSPRÁVNEHO KRAJA</w:t>
      </w: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sz w:val="24"/>
        </w:rPr>
        <w:tab/>
      </w:r>
      <w:r>
        <w:rPr>
          <w:rFonts w:ascii="AT*Toronto" w:hAnsi="AT*Toronto" w:cs="Times New Roman"/>
          <w:b/>
          <w:bCs/>
          <w:sz w:val="24"/>
        </w:rPr>
        <w:t>Počet volebných obvodov 60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Prešov – Obvodný úrad Prešov – počet obvodov 16</w:t>
      </w:r>
    </w:p>
    <w:p>
      <w:pPr>
        <w:pStyle w:val="BodyText2"/>
        <w:ind w:left="1065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(okresy: Prešov, Sabinov)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Bardejov – obvodný úrad Bardejov – počet obvodov 6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Humenné – Obvodný úrad Humenné – počet obvodov 9</w:t>
      </w:r>
    </w:p>
    <w:p>
      <w:pPr>
        <w:pStyle w:val="BodyText2"/>
        <w:ind w:left="1065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(okresy: Humenné, Medzilaborce, Snina)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Obvodná volebná komisia Kežmarok – Obvodný úrad Kežmarok </w:t>
      </w:r>
    </w:p>
    <w:p>
      <w:pPr>
        <w:pStyle w:val="BodyText2"/>
        <w:ind w:left="1062" w:firstLine="3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– počet obvodov 5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Poprad – Obvodný úrad Poprad – počet obvodov 10</w:t>
      </w:r>
    </w:p>
    <w:p>
      <w:pPr>
        <w:pStyle w:val="BodyText2"/>
        <w:ind w:left="1065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(okresy: Poprad, Levoča)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Stará Ľubovňa – Obvodný úrad Stará Ľubovňa – počet obvodov 4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Stropkov – Obvodný úrad Stropkov – počet obvodov 2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Svidník – Obvodný úrad Svidník – počet obvodov 2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Vranov nad Topľou – Obvodný úrad Vranov nad Topľou – počet obvodov 6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  <w:sz w:val="24"/>
        </w:rPr>
        <w:t>VIII.</w:t>
      </w:r>
    </w:p>
    <w:p>
      <w:pPr>
        <w:pStyle w:val="BodyText2"/>
        <w:jc w:val="center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b/>
          <w:bCs/>
          <w:sz w:val="24"/>
        </w:rPr>
        <w:t>VOLEBNÁ KOMISIA KOŠICKÉHO SAMOSPRÁVNEHO KRAJA</w:t>
      </w: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  <w:r>
        <w:rPr>
          <w:rFonts w:ascii="AT*Toronto" w:hAnsi="AT*Toronto" w:cs="Times New Roman"/>
          <w:sz w:val="24"/>
        </w:rPr>
        <w:tab/>
      </w:r>
      <w:r>
        <w:rPr>
          <w:rFonts w:ascii="AT*Toronto" w:hAnsi="AT*Toronto" w:cs="Times New Roman"/>
          <w:b/>
          <w:bCs/>
          <w:sz w:val="24"/>
        </w:rPr>
        <w:t>Počet volebných obvodov 57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Košice – Obvodný úrad Košice – počet obvodov 17</w:t>
      </w:r>
    </w:p>
    <w:p>
      <w:pPr>
        <w:pStyle w:val="BodyText2"/>
        <w:ind w:left="1065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(okresy: </w:t>
      </w:r>
      <w:r>
        <w:rPr>
          <w:rFonts w:ascii="AT*Toronto" w:hAnsi="AT*Toronto" w:cs="Times New Roman"/>
          <w:sz w:val="24"/>
        </w:rPr>
        <w:t>Košice I. – IV.)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Košice – okolie – Obvodný úrad Košice – okolie – počet obvodov 8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Michalovce – obvodný úrad Michalovce – počet obvodov 10</w:t>
      </w:r>
    </w:p>
    <w:p>
      <w:pPr>
        <w:pStyle w:val="BodyText2"/>
        <w:ind w:left="1065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(okresy: Michalovce, Sobrance)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Rožňava – Obvodný úrad Rožňava – počet obvodov 5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Spišská Nová Ves – Obvodný úrad Spišská Nová Vec – počet obvodov 9</w:t>
      </w:r>
    </w:p>
    <w:p>
      <w:pPr>
        <w:pStyle w:val="BodyText2"/>
        <w:ind w:left="1065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(okresy: Spišská Nová Ves, Gelnica)</w:t>
      </w:r>
    </w:p>
    <w:p>
      <w:pPr>
        <w:pStyle w:val="BodyText2"/>
        <w:numPr>
          <w:ilvl w:val="0"/>
          <w:numId w:val="10"/>
        </w:numPr>
        <w:tabs>
          <w:tab w:val="left" w:pos="1065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Obvodná volebná komisia Trebišov – Obvodný úrad Trebišov – počet obvodov 8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</w:rPr>
      </w:pPr>
      <w:r>
        <w:rPr>
          <w:rFonts w:ascii="AT*Toronto" w:hAnsi="AT*Toronto" w:cs="Times New Roman"/>
          <w:b/>
          <w:bCs/>
        </w:rPr>
        <w:t>D o l o ž k a    z l u č i t e ľ n o s t i</w:t>
      </w:r>
    </w:p>
    <w:p>
      <w:pPr>
        <w:pStyle w:val="BodyText2"/>
        <w:rPr>
          <w:rFonts w:ascii="AT*Toronto" w:hAnsi="AT*Toronto" w:cs="Times New Roman"/>
          <w:b/>
          <w:bCs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</w:rPr>
      </w:pPr>
    </w:p>
    <w:p>
      <w:pPr>
        <w:pStyle w:val="BodyText2"/>
        <w:numPr>
          <w:ilvl w:val="0"/>
          <w:numId w:val="11"/>
        </w:numPr>
        <w:tabs>
          <w:tab w:val="left" w:pos="720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b/>
          <w:bCs/>
          <w:sz w:val="24"/>
        </w:rPr>
        <w:t>Navrhovateľ zákona:</w:t>
      </w:r>
      <w:r>
        <w:rPr>
          <w:rFonts w:ascii="AT*Toronto" w:hAnsi="AT*Toronto" w:cs="Times New Roman"/>
          <w:sz w:val="24"/>
        </w:rPr>
        <w:t xml:space="preserve"> Tibor Cabaj, poslanec Národnej rady Slovenskej republiky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11"/>
        </w:numPr>
        <w:tabs>
          <w:tab w:val="left" w:pos="720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b/>
          <w:bCs/>
          <w:sz w:val="24"/>
        </w:rPr>
        <w:t xml:space="preserve">Názov návrhu zákona: </w:t>
      </w:r>
      <w:r>
        <w:rPr>
          <w:rFonts w:ascii="AT*Toronto" w:hAnsi="AT*Toronto" w:cs="Times New Roman"/>
          <w:sz w:val="24"/>
        </w:rPr>
        <w:t>Zákon Národnej rady Slovenskej republiky, ktorým sa mení a dopĺňa zákon č. 303/2001 Z. z. o voľbách do orgánov samosprávnych krajov a doplnení Občianskeho súdneho poriadku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11"/>
        </w:numPr>
        <w:tabs>
          <w:tab w:val="left" w:pos="720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b/>
          <w:bCs/>
          <w:sz w:val="24"/>
        </w:rPr>
        <w:t>V práve Európskej únie je problematika návrhu zákona upravená v týchto dokumentoch:</w:t>
      </w: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numPr>
          <w:ilvl w:val="1"/>
          <w:numId w:val="11"/>
        </w:numPr>
        <w:tabs>
          <w:tab w:val="left" w:pos="1440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Zmluva o Európskej únii, Prvá hlava,   čl. 6 ods.  2 podpísaná   v Maastrichte </w:t>
      </w:r>
      <w:r>
        <w:rPr>
          <w:rFonts w:ascii="AT*Toronto" w:hAnsi="AT*Toronto" w:cs="Times New Roman"/>
          <w:sz w:val="24"/>
        </w:rPr>
        <w:t>9. februára 1992, v znení Amsterdamskej zmluvy</w:t>
      </w:r>
    </w:p>
    <w:p>
      <w:pPr>
        <w:pStyle w:val="BodyText2"/>
        <w:numPr>
          <w:ilvl w:val="1"/>
          <w:numId w:val="11"/>
        </w:numPr>
        <w:tabs>
          <w:tab w:val="left" w:pos="1440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Európska dohoda o pridružení medzi Slovenskou republikou a Európskymi spoločenstvami a ich členskými štátmi (čl. 6) podpísaná v Luxemburgu 4. októbra 1993</w:t>
      </w:r>
    </w:p>
    <w:p>
      <w:pPr>
        <w:pStyle w:val="BodyText2"/>
        <w:numPr>
          <w:ilvl w:val="1"/>
          <w:numId w:val="11"/>
        </w:numPr>
        <w:tabs>
          <w:tab w:val="left" w:pos="1440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Zmluva o založení Európskeho spoločenstva v Amsterdamskom znení (čl. 19)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11"/>
        </w:numPr>
        <w:tabs>
          <w:tab w:val="left" w:pos="720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b/>
          <w:bCs/>
          <w:sz w:val="24"/>
        </w:rPr>
        <w:t>Návrh zákona svojou problematikou:</w:t>
      </w:r>
      <w:r>
        <w:rPr>
          <w:rFonts w:ascii="AT*Toronto" w:hAnsi="AT*Toronto" w:cs="Times New Roman"/>
          <w:sz w:val="24"/>
        </w:rPr>
        <w:t xml:space="preserve"> nepatrí medzi prioritné oblasti aproximácie práva uvedené v čl. 70 Európskej dohody o pridružení a svojou problematikou nepatrí ani  medzi priority odporúčané v Bielej knihe Komisie Európskych spoloče</w:t>
      </w:r>
      <w:r>
        <w:rPr>
          <w:rFonts w:ascii="AT*Toronto" w:hAnsi="AT*Toronto" w:cs="Times New Roman"/>
          <w:sz w:val="24"/>
        </w:rPr>
        <w:t>nstiev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11"/>
        </w:numPr>
        <w:tabs>
          <w:tab w:val="left" w:pos="720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b/>
          <w:bCs/>
          <w:sz w:val="24"/>
        </w:rPr>
        <w:t>Charakteristika právnych noriem Európskej únie, ktorými je upravená problematika návrhu zákona:</w:t>
      </w:r>
      <w:r>
        <w:rPr>
          <w:rFonts w:ascii="AT*Toronto" w:hAnsi="AT*Toronto" w:cs="Times New Roman"/>
          <w:sz w:val="24"/>
        </w:rPr>
        <w:t xml:space="preserve"> 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1"/>
          <w:numId w:val="11"/>
        </w:numPr>
        <w:tabs>
          <w:tab w:val="left" w:pos="1440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Čl. 6 ods. 2 Zmluvy o Európskej únii v znení Amsterdamskej zmluvy zakotvuje rešpektovanie základných ľudských práv zaručených v Európskom dohovore o ochrane ľudských práv a základných slobôd a vyplývajúcich z ústavných tradícií členských štátov, ako základných princípov práva Spoločenstva</w:t>
      </w:r>
    </w:p>
    <w:p>
      <w:pPr>
        <w:pStyle w:val="BodyText2"/>
        <w:numPr>
          <w:ilvl w:val="1"/>
          <w:numId w:val="11"/>
        </w:numPr>
        <w:tabs>
          <w:tab w:val="left" w:pos="1440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Zmluva o založení Európskeho spoločenstva (čl. 19)</w:t>
      </w:r>
    </w:p>
    <w:p>
      <w:pPr>
        <w:pStyle w:val="BodyText2"/>
        <w:numPr>
          <w:ilvl w:val="1"/>
          <w:numId w:val="11"/>
        </w:numPr>
        <w:tabs>
          <w:tab w:val="left" w:pos="1440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Čl. 6 Európskej dohody o pridružení medzi Slovenskou republikou a Európskymi spoločenstvami a ich členskými štátmi zakotvuje rešpektovanie demokratických zásad a ľudských práv uvedených v Helsinskom Záverečnom akte a Parížskej charte pre novú Európu, ako aj zásad trhovej ekonomiky ako zdroja vnútornej a zahraničnej politiky zmluvných strán a podstatu pridruženia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numPr>
          <w:ilvl w:val="0"/>
          <w:numId w:val="11"/>
        </w:numPr>
        <w:tabs>
          <w:tab w:val="left" w:pos="720"/>
        </w:tabs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b/>
          <w:bCs/>
          <w:sz w:val="24"/>
        </w:rPr>
        <w:t>Vyjadrenie stupňa kompatibilita s právnou normou Európskej únie:</w:t>
      </w:r>
      <w:r>
        <w:rPr>
          <w:rFonts w:ascii="AT*Toronto" w:hAnsi="AT*Toronto" w:cs="Times New Roman"/>
          <w:sz w:val="24"/>
        </w:rPr>
        <w:t xml:space="preserve"> Ú – úplne kompatibilná</w:t>
      </w: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jc w:val="center"/>
        <w:rPr>
          <w:rFonts w:ascii="AT*Toronto" w:hAnsi="AT*Toronto" w:cs="Times New Roman"/>
          <w:b/>
          <w:bCs/>
        </w:rPr>
      </w:pPr>
      <w:r>
        <w:rPr>
          <w:rFonts w:ascii="AT*Toronto" w:hAnsi="AT*Toronto" w:cs="Times New Roman"/>
          <w:b/>
          <w:bCs/>
        </w:rPr>
        <w:t>D ô v o d o v á   s p r á v a</w:t>
      </w:r>
    </w:p>
    <w:p>
      <w:pPr>
        <w:pStyle w:val="BodyText2"/>
        <w:jc w:val="center"/>
        <w:rPr>
          <w:rFonts w:ascii="AT*Toronto" w:hAnsi="AT*Toronto" w:cs="Times New Roman"/>
          <w:b/>
          <w:bCs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Všeobecná časť: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Na základe Čl. 64a Ústavy Slovenskej republiky vláda navrhla a Národná rada Slovenskej republiky zákonom č. 302/2001 Z. z. o samospráve vyšších územných celkov rozhodla o vytvorení zriadení 8 vyšších územných celkov. Na základe zákona č. 303/2001 Z. z. o voľbách do orgánov samosprávnych krajov a o doplnení Občianskeho súdneho poriadku sa dňa 1. decembra 2001 konali voľby predsedov a poslancov samosprávnych krajov.</w:t>
      </w: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Voľby predsedov sa konali v jednomandátových volebných obvodoch totožných so samosprávnym krajom. Poslanci boli volení vo viacmandátových volebných obvodoch, ktoré</w:t>
      </w:r>
      <w:r>
        <w:rPr>
          <w:rFonts w:ascii="AT*Toronto" w:hAnsi="AT*Toronto" w:cs="Times New Roman"/>
          <w:sz w:val="24"/>
        </w:rPr>
        <w:t xml:space="preserve"> boli  zriadené v jednotlivých okresoch samosprávneho kraja.   </w:t>
      </w: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 xml:space="preserve">Predložený návrh zákona, ktorým sa mení a dopĺňa zákon Národnej rady Slovenskej republiky  č. 303/2001 Z. z. o voľbách do orgánov samosprávnych krajov  a o doplnení Občianskeho súdneho poriadku novelizuje pôvodný zákon tak, aby boli vytvorené jednomandátové volebné obvody aj pre voľby poslancov vyšších územných celkov, čím sa umožňuje voličom (cca 10 – 12 tis.)   zvoliť si za poslanca  z kandidátov s trvalým pobytom  v príslušnom volebnom obvode. Zároveň sa vytvára možnosť, aby počas jedného dňa volieb boli zvolení predseda i poslanci vyššieho územného celku. V prípade zániku mandátu nenastupujú náhradníci ale konajú sa v príslušnom volebnom obvode doplňujúce voľby na uprázdnený mandát.  </w:t>
      </w:r>
    </w:p>
    <w:p>
      <w:pPr>
        <w:pStyle w:val="BodyText2"/>
        <w:ind w:firstLine="708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Výdavky spojené s voľbami do orgánov vyšších územných celkov sa budú hradiť zo štátneho rozpočtu. Nie je predpoklad zvýšenia nákladov na voľby, nakoľko voľby budú jednokolové. </w:t>
      </w:r>
    </w:p>
    <w:p>
      <w:pPr>
        <w:pStyle w:val="BodyText2"/>
        <w:ind w:firstLine="708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Predložený návrh zákona je v súlade s Ústavou Slovenskej republiky a s medzinárodným</w:t>
      </w:r>
      <w:r>
        <w:rPr>
          <w:rFonts w:ascii="AT*Toronto" w:hAnsi="AT*Toronto" w:cs="Times New Roman"/>
          <w:sz w:val="24"/>
        </w:rPr>
        <w:t>i zmluvami, s ktorými je Slovenská republika viazaná.</w:t>
      </w:r>
    </w:p>
    <w:p>
      <w:pPr>
        <w:pStyle w:val="BodyText2"/>
        <w:ind w:firstLine="708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>Tento zákon  nemá dopad na štátny rozpočet, rozpočty miest a obcí, zamestnanosť ani životné prostredie.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Osobitná časť: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Čl. I.  bod 1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Poslanci boli volení vo viacmandátových volebných obvodov, ktoré boli zriadené v jednotlivých okresoch samosprávneho kraja. Podľa tohto  bodu budú poslanci volení v jednomandátových volebných obvodoch. Dochádza k naplneniu väčšinového volebného systému.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Čl. I. bod 2</w:t>
      </w: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 xml:space="preserve"> </w:t>
      </w: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Zastupiteľstvá vyšších územných celkov rozhodnú v dostatočnom časovom predstihu o vytvorení volebných obvodov tak, aby tieto tvorili jeden celok s počtom cca 10 až 12 tis. voličov.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Čl. I. bod 3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 xml:space="preserve">Upravuje sa zriadenie volebných orgánov s tým, že je potrebné vytvoriť aj obvodné volebné komisie podľa „Prílohy“. Sídla obvodných volebných komisií by boli na obvodných úradoch štátnej správy. V novele je predložený návrh, aby v sídle obvodného úradu štátnej správy bola iba jedna obvodová volebná komisia, ktorá by plnila úlohu obvodnej volebnej komisie pre všetky obvody, ktoré budú vytvorené na území v pôsobnosti obvodného úradu.  Zároveň je predložená „alternatíva“, podľa ktorej by rozhodli zastupiteľstvá o zriadení obvodnej volebnej komisie v každom vytvorenom volebnom obvode. Z dôvodu úspory finančných nákladov, ako i možnosti poskytnutia pomocných sumarizačných útvarov  by bolo vhodné vytvoriť obvodné volebné komisie v počte 50, podľa  „Prílohy.“  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Čl. I. bod č. 4: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Upravuje sa kandidátna listina tak, aby mohol byť naplnený väčšinový volebný syst</w:t>
      </w:r>
      <w:r>
        <w:rPr>
          <w:rFonts w:ascii="AT*Toronto" w:hAnsi="AT*Toronto" w:cs="Times New Roman"/>
          <w:sz w:val="24"/>
        </w:rPr>
        <w:t xml:space="preserve">ém a jednomandátové volebné obvody. 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Čl. I. bod 5: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 xml:space="preserve">Vypúšťa sa ods. 4 nakoľko politická strana môže uviesť len jedného kandidáta. 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Čl. I. bod 6: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Znižuje sa počet podpisov voličov volebného obvodu, nakoľko sa znižuje aj počet voličov vo volebnom ob</w:t>
      </w:r>
      <w:r>
        <w:rPr>
          <w:rFonts w:ascii="AT*Toronto" w:hAnsi="AT*Toronto" w:cs="Times New Roman"/>
          <w:sz w:val="24"/>
        </w:rPr>
        <w:t>vode.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Čl. I. bod 7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Legislatívno-technická zmena.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Čl. I. bod 8: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Príslušný ods. sa vypúšťa, nakoľko nie je možné kandidovať v inom volebnom  obvode, iba v tom kde má kandidát trvalý pobyt.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Čl. I. bod 9: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Vypúšťa sa písm. d) ako nepotrebné.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</w:t>
      </w:r>
      <w:r>
        <w:rPr>
          <w:rFonts w:ascii="AT*Toronto" w:hAnsi="AT*Toronto" w:cs="Times New Roman"/>
          <w:b/>
          <w:bCs/>
          <w:sz w:val="24"/>
          <w:u w:val="single"/>
        </w:rPr>
        <w:t>l. I. bod 10: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Upravuje sa hlasovací lístok pre volebný obvod s tým, že politická strana môže navrhnúť len jedného kandidáta.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Čl. I. bod 11: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Pôsobnosť pri dodávaní hlasovacích lístkov je rozšírená aj na obvodné úrady, ktoré zabezpečia dodanie hlasova</w:t>
      </w:r>
      <w:r>
        <w:rPr>
          <w:rFonts w:ascii="AT*Toronto" w:hAnsi="AT*Toronto" w:cs="Times New Roman"/>
          <w:sz w:val="24"/>
        </w:rPr>
        <w:t>cích lístkov obciam, ktoré sú zaradené do volebných obvodov v pôsobnosti obvodných úradov.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Čl. I. bod 12: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Znenie § 29 podrobne upravuje hlasovanie voličov, podrobná úprava zodpovedá dôležitosti samotného aktu hlasovania a má odstrániť rôzne pochybnosti o regulárnosti hlasovania. Táto úprava rieši zmenu, keď je možnosť vybrať iba jedného kandidáta na predsedu a jedného kandidáta na poslanca samosprávneho kraja.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Čl. I. bod 13: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Taxatívne sa uvádzajú dôvody neplatnosti hlasovacieho lístku. O platno</w:t>
      </w:r>
      <w:r>
        <w:rPr>
          <w:rFonts w:ascii="AT*Toronto" w:hAnsi="AT*Toronto" w:cs="Times New Roman"/>
          <w:sz w:val="24"/>
        </w:rPr>
        <w:t xml:space="preserve">sti alebo neplatnosti hlasovacieho lístka rozhoduje s konečnou platnosťou okrsková volebná komisia. 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Čl. I. bod 14: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sz w:val="24"/>
        </w:rPr>
        <w:tab/>
        <w:t>Upravujú sa náležitosti zápisnice obvodnej volebnej komisie.</w:t>
      </w:r>
      <w:r>
        <w:rPr>
          <w:rFonts w:ascii="AT*Toronto" w:hAnsi="AT*Toronto" w:cs="Times New Roman"/>
          <w:b/>
          <w:bCs/>
          <w:sz w:val="24"/>
          <w:u w:val="single"/>
        </w:rPr>
        <w:t xml:space="preserve"> 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Čl. I. bod 15: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Upravujú sa náležitosti zápisnice volebnej komisie samosprávneho kraja.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Čl. I. bod 16 a bod 17: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Príslušný paragraf rieši otázku voľby poslanca a predsedu samosprávneho kraja v jednomandátových volebných obvodoch tak, že voľby sú jednokolové a zvolený je ten kandidát, ktorý  získal najväčší  počet platných hlasov.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Čl. I. bod 18 a bod 19: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Riešia stav, kedy nebol zvolený žiadny kandidát za predsedu alebo za poslanca,  a je potrebné vykonať druhé kolo volieb.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Čl. I. bod 20: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Upravuje sa pôsobnosť predsedu Národnej rady Slovenskej republiky  a konkrétne dôvody, kedy vyhlási nové voľby v niektorom samosprávnom kraji a príslušnom obvode.</w:t>
        <w:tab/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Čl. I. bod 21: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Príslušný paragraf sa vypúšťa zo zákona, nakoľko pri zániku mandátu  v jednomandátovom volebnom obvode, v príslušnom volebnom  obvode sa vykonajú doplňujúce voľby.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Čl. I. bod 22: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Ukladá sa povinnosť obvodným úradom spolupodieľať sa na zabezpečení riadneho priebehu volieb, ktorá orgánom verejnej moci vyplýva z Ústavy Slovenskej republiky.</w:t>
        <w:tab/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Čl. I. bod 23: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 xml:space="preserve"> § 56 a § 57 sa vypúšťajú  nakoľko stratili pôsobnosť, ktorú mali pri prijímaní zákona.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  <w:r>
        <w:rPr>
          <w:rFonts w:ascii="AT*Toronto" w:hAnsi="AT*Toronto" w:cs="Times New Roman"/>
          <w:b/>
          <w:bCs/>
          <w:sz w:val="24"/>
          <w:u w:val="single"/>
        </w:rPr>
        <w:t>K Čl. I. bod 24:</w:t>
      </w: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sz w:val="24"/>
        </w:rPr>
      </w:pPr>
      <w:r>
        <w:rPr>
          <w:rFonts w:ascii="AT*Toronto" w:hAnsi="AT*Toronto" w:cs="Times New Roman"/>
          <w:sz w:val="24"/>
        </w:rPr>
        <w:tab/>
        <w:t>V „Prílohe“ sú určené volebné komisie samosprávnych krajov, spolu s  počtom volebných obvodov v samosprávnom kraji vzhľadom na počet voličov, určených je 50 sídiel obvodných volebných komisií a taktiež počet obvodov zaradených do pôsobnosti obvodnej volebnej komisie.</w:t>
      </w: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  <w:u w:val="single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sz w:val="24"/>
        </w:rPr>
      </w:pPr>
    </w:p>
    <w:p>
      <w:pPr>
        <w:pStyle w:val="BodyText2"/>
        <w:rPr>
          <w:rFonts w:ascii="AT*Toronto" w:hAnsi="AT*Toronto" w:cs="Times New Roman"/>
          <w:b/>
          <w:bCs/>
          <w:sz w:val="24"/>
        </w:rPr>
      </w:pPr>
    </w:p>
    <w:sectPr>
      <w:pgSz w:w="11906" w:h="16838"/>
      <w:pgMar w:top="1701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642"/>
    <w:multiLevelType w:val="hybridMultilevel"/>
    <w:tmpl w:val="AEFC74B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03845DC"/>
    <w:multiLevelType w:val="hybridMultilevel"/>
    <w:tmpl w:val="9C4239B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1B43297"/>
    <w:multiLevelType w:val="hybridMultilevel"/>
    <w:tmpl w:val="3CF860EA"/>
    <w:lvl w:ilvl="0">
      <w:start w:val="8"/>
      <w:numFmt w:val="decimal"/>
      <w:lvlText w:val="(%1)"/>
      <w:lvlJc w:val="left"/>
      <w:pPr>
        <w:tabs>
          <w:tab w:val="num" w:pos="1095"/>
        </w:tabs>
        <w:ind w:left="1095" w:hanging="39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32D3540"/>
    <w:multiLevelType w:val="hybridMultilevel"/>
    <w:tmpl w:val="1472B67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4E76CE5"/>
    <w:multiLevelType w:val="hybridMultilevel"/>
    <w:tmpl w:val="2C74BB9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28ED48C6"/>
    <w:multiLevelType w:val="hybridMultilevel"/>
    <w:tmpl w:val="C61E10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C4B681A"/>
    <w:multiLevelType w:val="hybridMultilevel"/>
    <w:tmpl w:val="469C3C04"/>
    <w:lvl w:ilvl="0">
      <w:start w:val="3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D077C93"/>
    <w:multiLevelType w:val="hybridMultilevel"/>
    <w:tmpl w:val="BAE0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CC5F4E"/>
    <w:multiLevelType w:val="hybridMultilevel"/>
    <w:tmpl w:val="F38CD2E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F2F347F"/>
    <w:multiLevelType w:val="hybridMultilevel"/>
    <w:tmpl w:val="C11E397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F7C364D"/>
    <w:multiLevelType w:val="hybridMultilevel"/>
    <w:tmpl w:val="F42E0CB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413D0BAA"/>
    <w:multiLevelType w:val="hybridMultilevel"/>
    <w:tmpl w:val="C4C6615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35F3222"/>
    <w:multiLevelType w:val="hybridMultilevel"/>
    <w:tmpl w:val="5FA6BCA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BA21262"/>
    <w:multiLevelType w:val="hybridMultilevel"/>
    <w:tmpl w:val="0AA2260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5CE596C"/>
    <w:multiLevelType w:val="hybridMultilevel"/>
    <w:tmpl w:val="D9D09CE4"/>
    <w:lvl w:ilvl="0">
      <w:start w:val="4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A7C6D89"/>
    <w:multiLevelType w:val="hybridMultilevel"/>
    <w:tmpl w:val="A9F81D40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39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3764BBC"/>
    <w:multiLevelType w:val="hybridMultilevel"/>
    <w:tmpl w:val="6BF6326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3FC656C"/>
    <w:multiLevelType w:val="hybridMultilevel"/>
    <w:tmpl w:val="6AE2F088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8"/>
  </w:num>
  <w:num w:numId="5">
    <w:abstractNumId w:val="17"/>
  </w:num>
  <w:num w:numId="6">
    <w:abstractNumId w:val="6"/>
  </w:num>
  <w:num w:numId="7">
    <w:abstractNumId w:val="4"/>
  </w:num>
  <w:num w:numId="8">
    <w:abstractNumId w:val="15"/>
  </w:num>
  <w:num w:numId="9">
    <w:abstractNumId w:val="10"/>
  </w:num>
  <w:num w:numId="10">
    <w:abstractNumId w:val="1"/>
  </w:num>
  <w:num w:numId="11">
    <w:abstractNumId w:val="7"/>
  </w:num>
  <w:num w:numId="12">
    <w:abstractNumId w:val="0"/>
  </w:num>
  <w:num w:numId="13">
    <w:abstractNumId w:val="3"/>
  </w:num>
  <w:num w:numId="14">
    <w:abstractNumId w:val="5"/>
  </w:num>
  <w:num w:numId="15">
    <w:abstractNumId w:val="16"/>
  </w:num>
  <w:num w:numId="16">
    <w:abstractNumId w:val="9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uiPriority w:val="9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uiPriority w:val="9"/>
    <w:qFormat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uiPriority w:val="11"/>
    <w:qFormat/>
    <w:pPr>
      <w:jc w:val="center"/>
    </w:pPr>
    <w:rPr>
      <w:sz w:val="28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712</TotalTime>
  <Pages>14</Pages>
  <Words>3137</Words>
  <Characters>17883</Characters>
  <Application>Microsoft Office Word</Application>
  <DocSecurity>0</DocSecurity>
  <Lines>0</Lines>
  <Paragraphs>0</Paragraphs>
  <ScaleCrop>false</ScaleCrop>
  <Company>...</Company>
  <LinksUpToDate>false</LinksUpToDate>
  <CharactersWithSpaces>21961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KlubHZDS</dc:creator>
  <cp:lastModifiedBy>KlubHZDS</cp:lastModifiedBy>
  <cp:revision>52</cp:revision>
  <cp:lastPrinted>2004-09-28T09:58:00Z</cp:lastPrinted>
  <dcterms:created xsi:type="dcterms:W3CDTF">2004-08-26T09:24:00Z</dcterms:created>
  <dcterms:modified xsi:type="dcterms:W3CDTF">2004-09-28T09:58:00Z</dcterms:modified>
</cp:coreProperties>
</file>