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83923">
      <w:pPr>
        <w:pStyle w:val="TABUKA-nadpis"/>
        <w:rPr>
          <w:rFonts w:ascii="Times New Roman" w:hAnsi="Times New Roman" w:cs="Times New Roman"/>
        </w:rPr>
      </w:pPr>
      <w:r>
        <w:rPr>
          <w:rFonts w:ascii="Times New Roman" w:hAnsi="Times New Roman" w:cs="Times New Roman"/>
        </w:rPr>
        <w:t>TABUĽKA  ZHODY</w:t>
      </w:r>
    </w:p>
    <w:p w:rsidR="00A83923">
      <w:pPr>
        <w:pStyle w:val="TABUKA-nadpis"/>
        <w:rPr>
          <w:rFonts w:ascii="Times New Roman" w:hAnsi="Times New Roman" w:cs="Times New Roman"/>
        </w:rPr>
      </w:pPr>
      <w:r>
        <w:rPr>
          <w:rFonts w:ascii="Times New Roman" w:hAnsi="Times New Roman" w:cs="Times New Roman"/>
        </w:rPr>
        <w:t>návrhu zákona, ktorým sa mení a dopĺňa zákon č. 104/2004 Z. z. o spotrebnej dani z vína a o zmene a doplnení ďalších zákonov</w:t>
      </w:r>
    </w:p>
    <w:p w:rsidR="00A83923">
      <w:pPr>
        <w:pStyle w:val="TABUKA-nadpis"/>
        <w:rPr>
          <w:rFonts w:ascii="Times New Roman" w:hAnsi="Times New Roman" w:cs="Times New Roman"/>
        </w:rPr>
      </w:pPr>
      <w:r>
        <w:rPr>
          <w:rFonts w:ascii="Times New Roman" w:hAnsi="Times New Roman" w:cs="Times New Roman"/>
        </w:rPr>
        <w:t>s právom Európskych spoločenstiev a právom Európskej únie</w:t>
      </w:r>
    </w:p>
    <w:p w:rsidR="00A83923">
      <w:pPr>
        <w:pStyle w:val="TABUKA-nadpis"/>
        <w:rPr>
          <w:rFonts w:ascii="Times New Roman" w:hAnsi="Times New Roman" w:cs="Times New Roman"/>
        </w:rPr>
      </w:pPr>
    </w:p>
    <w:tbl>
      <w:tblPr>
        <w:tblW w:w="1502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496"/>
        <w:gridCol w:w="4750"/>
        <w:gridCol w:w="567"/>
        <w:gridCol w:w="851"/>
        <w:gridCol w:w="992"/>
        <w:gridCol w:w="4819"/>
        <w:gridCol w:w="567"/>
        <w:gridCol w:w="567"/>
        <w:gridCol w:w="851"/>
        <w:gridCol w:w="567"/>
      </w:tblGrid>
      <w:tr>
        <w:tblPrEx>
          <w:tblW w:w="1502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Height w:val="724"/>
        </w:trPr>
        <w:tc>
          <w:tcPr>
            <w:tcW w:w="5813" w:type="dxa"/>
            <w:gridSpan w:val="3"/>
            <w:tcBorders>
              <w:top w:val="single" w:sz="4" w:space="0" w:color="auto"/>
              <w:left w:val="single" w:sz="4" w:space="0" w:color="auto"/>
              <w:bottom w:val="single" w:sz="4" w:space="0" w:color="auto"/>
              <w:right w:val="single" w:sz="4" w:space="0" w:color="auto"/>
              <w:tl2br w:val="nil"/>
              <w:tr2bl w:val="nil"/>
            </w:tcBorders>
            <w:textDirection w:val="lrTb"/>
            <w:vAlign w:val="top"/>
          </w:tcPr>
          <w:p w:rsidR="00D76587" w:rsidP="00D76587">
            <w:pPr>
              <w:pStyle w:val="TABUKA-nadpismal"/>
              <w:rPr>
                <w:rFonts w:ascii="Times New Roman" w:hAnsi="Times New Roman" w:cs="Times New Roman"/>
                <w:u w:val="single"/>
              </w:rPr>
            </w:pPr>
            <w:r>
              <w:rPr>
                <w:rFonts w:ascii="Times New Roman" w:hAnsi="Times New Roman" w:cs="Times New Roman"/>
                <w:u w:val="single"/>
              </w:rPr>
              <w:t>Právny akt ES/EÚ</w:t>
            </w:r>
          </w:p>
          <w:p w:rsidR="00D76587" w:rsidP="00D76587">
            <w:pPr>
              <w:pStyle w:val="TABUKA-nadpismal"/>
              <w:rPr>
                <w:rFonts w:ascii="Times New Roman" w:hAnsi="Times New Roman" w:cs="Times New Roman"/>
              </w:rPr>
            </w:pPr>
          </w:p>
          <w:p w:rsidR="00D76587" w:rsidP="00D76587">
            <w:pPr>
              <w:pStyle w:val="Heading1"/>
              <w:spacing w:after="0"/>
              <w:rPr>
                <w:rFonts w:ascii="Times New Roman" w:hAnsi="Times New Roman" w:cs="Times New Roman"/>
                <w:lang w:eastAsia="sk-SK"/>
              </w:rPr>
            </w:pPr>
            <w:r>
              <w:rPr>
                <w:rFonts w:ascii="Times New Roman" w:hAnsi="Times New Roman" w:cs="Times New Roman"/>
              </w:rPr>
              <w:t xml:space="preserve">Smernica Rady 92/12/EHS </w:t>
            </w:r>
            <w:r>
              <w:rPr>
                <w:rFonts w:ascii="Times New Roman" w:hAnsi="Times New Roman" w:cs="Times New Roman"/>
                <w:lang w:eastAsia="sk-SK"/>
              </w:rPr>
              <w:t>z 25. februára 1992 o všeobecnom systéme pre výrobky podliehajúce spotrebnej dani, o držbe, pohybe a monitorovaní takýchto výrobkov v znení smernice Rady 94/74/ES.</w:t>
            </w:r>
          </w:p>
          <w:p w:rsidR="00D76587" w:rsidP="00D76587">
            <w:pPr>
              <w:pStyle w:val="NormalWeb"/>
              <w:spacing w:after="0"/>
              <w:rPr>
                <w:rFonts w:ascii="Times New Roman" w:hAnsi="Times New Roman" w:cs="Times New Roman"/>
              </w:rPr>
            </w:pPr>
          </w:p>
        </w:tc>
        <w:tc>
          <w:tcPr>
            <w:tcW w:w="9214" w:type="dxa"/>
            <w:gridSpan w:val="7"/>
            <w:tcBorders>
              <w:top w:val="single" w:sz="4" w:space="0" w:color="auto"/>
              <w:left w:val="single" w:sz="4" w:space="0" w:color="auto"/>
              <w:bottom w:val="single" w:sz="4" w:space="0" w:color="auto"/>
              <w:right w:val="single" w:sz="4" w:space="0" w:color="auto"/>
              <w:tl2br w:val="nil"/>
              <w:tr2bl w:val="nil"/>
            </w:tcBorders>
            <w:textDirection w:val="lrTb"/>
            <w:vAlign w:val="top"/>
          </w:tcPr>
          <w:p w:rsidR="00D76587">
            <w:pPr>
              <w:pStyle w:val="TABUKA-nadpismal"/>
              <w:rPr>
                <w:rFonts w:ascii="Times New Roman" w:hAnsi="Times New Roman" w:cs="Times New Roman"/>
                <w:u w:val="single"/>
              </w:rPr>
            </w:pPr>
            <w:r>
              <w:rPr>
                <w:rFonts w:ascii="Times New Roman" w:hAnsi="Times New Roman" w:cs="Times New Roman"/>
                <w:u w:val="single"/>
              </w:rPr>
              <w:t>Všeobecne záväzné právne predpisy SR</w:t>
            </w:r>
          </w:p>
          <w:p w:rsidR="00D76587">
            <w:pPr>
              <w:pStyle w:val="TABUKA-nadpismal"/>
              <w:rPr>
                <w:rFonts w:ascii="Times New Roman" w:hAnsi="Times New Roman" w:cs="Times New Roman"/>
              </w:rPr>
            </w:pPr>
          </w:p>
          <w:p w:rsidR="00D76587">
            <w:pPr>
              <w:pStyle w:val="TABUKA-nadpis"/>
              <w:spacing w:after="120"/>
              <w:jc w:val="both"/>
              <w:rPr>
                <w:rFonts w:ascii="Times New Roman" w:hAnsi="Times New Roman" w:cs="Times New Roman"/>
              </w:rPr>
            </w:pPr>
            <w:r>
              <w:rPr>
                <w:rFonts w:ascii="Times New Roman" w:hAnsi="Times New Roman" w:cs="Times New Roman"/>
              </w:rPr>
              <w:t xml:space="preserve">Návrh zákona, ktorým sa mení a dopĺňa zákon č. 104/2004 Z. z. o spotrebnej dani z vína a o zmene a doplnení ďalších zákonov (ďalej len „ </w:t>
            </w:r>
            <w:r>
              <w:rPr>
                <w:rFonts w:ascii="Times New Roman" w:hAnsi="Times New Roman" w:cs="Times New Roman"/>
                <w:u w:val="single"/>
              </w:rPr>
              <w:t>.../2004 Z.z.</w:t>
            </w:r>
            <w:r>
              <w:rPr>
                <w:rFonts w:ascii="Times New Roman" w:hAnsi="Times New Roman" w:cs="Times New Roman"/>
              </w:rPr>
              <w:t>“)</w:t>
            </w:r>
          </w:p>
          <w:p w:rsidR="00D76587">
            <w:pPr>
              <w:pStyle w:val="TABUKA-nadpismal"/>
              <w:rPr>
                <w:rFonts w:ascii="Times New Roman" w:hAnsi="Times New Roman" w:cs="Times New Roman"/>
              </w:rPr>
            </w:pPr>
          </w:p>
        </w:tc>
      </w:tr>
      <w:tr>
        <w:tblPrEx>
          <w:tblW w:w="15027" w:type="dxa"/>
          <w:tblInd w:w="-356"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76587">
            <w:pPr>
              <w:pStyle w:val="TABUKA-nadpisstpcov"/>
              <w:rPr>
                <w:rFonts w:ascii="Times New Roman" w:hAnsi="Times New Roman" w:cs="Times New Roman"/>
                <w:sz w:val="20"/>
                <w:szCs w:val="20"/>
              </w:rPr>
            </w:pPr>
            <w:r>
              <w:rPr>
                <w:rFonts w:ascii="Times New Roman" w:hAnsi="Times New Roman" w:cs="Times New Roman"/>
                <w:sz w:val="20"/>
                <w:szCs w:val="20"/>
              </w:rPr>
              <w:t>Čl.</w:t>
            </w:r>
          </w:p>
        </w:tc>
        <w:tc>
          <w:tcPr>
            <w:tcW w:w="47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76587">
            <w:pPr>
              <w:pStyle w:val="TABUKA-nadpisstpcov"/>
              <w:rPr>
                <w:rFonts w:ascii="Times New Roman" w:hAnsi="Times New Roman" w:cs="Times New Roman"/>
                <w:sz w:val="20"/>
                <w:szCs w:val="20"/>
              </w:rPr>
            </w:pPr>
            <w:r>
              <w:rPr>
                <w:rFonts w:ascii="Times New Roman" w:hAnsi="Times New Roman" w:cs="Times New Roman"/>
                <w:sz w:val="20"/>
                <w:szCs w:val="20"/>
              </w:rPr>
              <w:t>Text</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76587">
            <w:pPr>
              <w:pStyle w:val="TABUKA-nadpisstpcov"/>
              <w:rPr>
                <w:rFonts w:ascii="Times New Roman" w:hAnsi="Times New Roman" w:cs="Times New Roman"/>
                <w:sz w:val="20"/>
                <w:szCs w:val="20"/>
              </w:rPr>
            </w:pPr>
            <w:r>
              <w:rPr>
                <w:rFonts w:ascii="Times New Roman" w:hAnsi="Times New Roman" w:cs="Times New Roman"/>
                <w:sz w:val="20"/>
                <w:szCs w:val="20"/>
              </w:rPr>
              <w:t>Spôsob transpozície</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76587">
            <w:pPr>
              <w:pStyle w:val="TABUKA-nadpisstpcov"/>
              <w:rPr>
                <w:rFonts w:ascii="Times New Roman" w:hAnsi="Times New Roman" w:cs="Times New Roman"/>
                <w:sz w:val="20"/>
                <w:szCs w:val="20"/>
              </w:rPr>
            </w:pPr>
            <w:r>
              <w:rPr>
                <w:rFonts w:ascii="Times New Roman" w:hAnsi="Times New Roman" w:cs="Times New Roman"/>
                <w:sz w:val="20"/>
                <w:szCs w:val="20"/>
              </w:rPr>
              <w:t>Číslo</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76587">
            <w:pPr>
              <w:pStyle w:val="TABUKA-nadpisstpcov"/>
              <w:rPr>
                <w:rFonts w:ascii="Times New Roman" w:hAnsi="Times New Roman" w:cs="Times New Roman"/>
                <w:sz w:val="20"/>
                <w:szCs w:val="20"/>
              </w:rPr>
            </w:pPr>
            <w:r>
              <w:rPr>
                <w:rFonts w:ascii="Times New Roman" w:hAnsi="Times New Roman" w:cs="Times New Roman"/>
                <w:sz w:val="20"/>
                <w:szCs w:val="20"/>
              </w:rPr>
              <w:t>Článok</w:t>
            </w:r>
          </w:p>
        </w:tc>
        <w:tc>
          <w:tcPr>
            <w:tcW w:w="481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76587">
            <w:pPr>
              <w:pStyle w:val="TABUKA-nadpisstpcov"/>
              <w:rPr>
                <w:rFonts w:ascii="Times New Roman" w:hAnsi="Times New Roman" w:cs="Times New Roman"/>
                <w:sz w:val="20"/>
                <w:szCs w:val="20"/>
              </w:rPr>
            </w:pPr>
            <w:r>
              <w:rPr>
                <w:rFonts w:ascii="Times New Roman" w:hAnsi="Times New Roman" w:cs="Times New Roman"/>
                <w:sz w:val="20"/>
                <w:szCs w:val="20"/>
              </w:rPr>
              <w:t>Text</w:t>
            </w:r>
          </w:p>
          <w:p w:rsidR="00D76587">
            <w:pPr>
              <w:pStyle w:val="TABUKA-nadpisstpcov"/>
              <w:rPr>
                <w:rFonts w:ascii="Times New Roman" w:hAnsi="Times New Roman" w:cs="Times New Roman"/>
                <w:sz w:val="20"/>
                <w:szCs w:val="20"/>
              </w:rPr>
            </w:pPr>
          </w:p>
          <w:p w:rsidR="00D76587">
            <w:pPr>
              <w:pStyle w:val="TABUKA-nadpisstpcov"/>
              <w:rPr>
                <w:rFonts w:ascii="Times New Roman" w:hAnsi="Times New Roman" w:cs="Times New Roman"/>
                <w:sz w:val="20"/>
                <w:szCs w:val="20"/>
              </w:rPr>
            </w:pPr>
          </w:p>
          <w:p w:rsidR="00D76587">
            <w:pPr>
              <w:pStyle w:val="TABUKA-nadpisstpcov"/>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76587">
            <w:pPr>
              <w:pStyle w:val="TABUKA-nadpisstpcov"/>
              <w:rPr>
                <w:rFonts w:ascii="Times New Roman" w:hAnsi="Times New Roman" w:cs="Times New Roman"/>
                <w:sz w:val="20"/>
                <w:szCs w:val="20"/>
              </w:rPr>
            </w:pPr>
            <w:r>
              <w:rPr>
                <w:rFonts w:ascii="Times New Roman" w:hAnsi="Times New Roman" w:cs="Times New Roman"/>
                <w:sz w:val="20"/>
                <w:szCs w:val="20"/>
              </w:rPr>
              <w:t>Zhoda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76587">
            <w:pPr>
              <w:pStyle w:val="TABUKA-nadpisstpcov"/>
              <w:rPr>
                <w:rFonts w:ascii="Times New Roman" w:hAnsi="Times New Roman" w:cs="Times New Roman"/>
                <w:sz w:val="20"/>
                <w:szCs w:val="20"/>
              </w:rPr>
            </w:pPr>
            <w:r>
              <w:rPr>
                <w:rFonts w:ascii="Times New Roman" w:hAnsi="Times New Roman" w:cs="Times New Roman"/>
                <w:sz w:val="20"/>
                <w:szCs w:val="20"/>
              </w:rPr>
              <w:t>Administratívna infraštruktúra</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76587">
            <w:pPr>
              <w:pStyle w:val="TABUKA-nadpisstpcov"/>
              <w:rPr>
                <w:rFonts w:ascii="Times New Roman" w:hAnsi="Times New Roman" w:cs="Times New Roman"/>
                <w:sz w:val="20"/>
                <w:szCs w:val="20"/>
              </w:rPr>
            </w:pPr>
            <w:r>
              <w:rPr>
                <w:rFonts w:ascii="Times New Roman" w:hAnsi="Times New Roman" w:cs="Times New Roman"/>
                <w:sz w:val="20"/>
                <w:szCs w:val="20"/>
              </w:rPr>
              <w:t>Pozná</w:t>
            </w:r>
          </w:p>
          <w:p w:rsidR="00D76587">
            <w:pPr>
              <w:pStyle w:val="TABUKA-nadpisstpcov"/>
              <w:rPr>
                <w:rFonts w:ascii="Times New Roman" w:hAnsi="Times New Roman" w:cs="Times New Roman"/>
                <w:sz w:val="20"/>
                <w:szCs w:val="20"/>
              </w:rPr>
            </w:pPr>
            <w:r>
              <w:rPr>
                <w:rFonts w:ascii="Times New Roman" w:hAnsi="Times New Roman" w:cs="Times New Roman"/>
                <w:sz w:val="20"/>
                <w:szCs w:val="20"/>
              </w:rPr>
              <w:t>mky</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76587">
            <w:pPr>
              <w:pStyle w:val="TABUKA-nadpisstpcov"/>
              <w:rPr>
                <w:rFonts w:ascii="Times New Roman" w:hAnsi="Times New Roman" w:cs="Times New Roman"/>
                <w:sz w:val="20"/>
                <w:szCs w:val="20"/>
              </w:rPr>
            </w:pPr>
            <w:r>
              <w:rPr>
                <w:rFonts w:ascii="Times New Roman" w:hAnsi="Times New Roman" w:cs="Times New Roman"/>
                <w:sz w:val="20"/>
                <w:szCs w:val="20"/>
              </w:rPr>
              <w:t>Štádium legislatívneho procesu</w:t>
            </w:r>
          </w:p>
        </w:tc>
      </w:tr>
      <w:tr>
        <w:tblPrEx>
          <w:tblW w:w="15027" w:type="dxa"/>
          <w:tblInd w:w="-356"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76587" w:rsidRPr="00A11CC5">
            <w:pPr>
              <w:pStyle w:val="TABUKA-textsmernice"/>
              <w:rPr>
                <w:rFonts w:ascii="Times New Roman" w:hAnsi="Times New Roman" w:cs="Times New Roman"/>
                <w:sz w:val="18"/>
                <w:szCs w:val="18"/>
              </w:rPr>
            </w:pPr>
            <w:r w:rsidRPr="00A11CC5">
              <w:rPr>
                <w:rFonts w:ascii="Times New Roman" w:hAnsi="Times New Roman" w:cs="Times New Roman"/>
                <w:sz w:val="18"/>
                <w:szCs w:val="18"/>
              </w:rPr>
              <w:t>Čl. 23</w:t>
            </w:r>
          </w:p>
        </w:tc>
        <w:tc>
          <w:tcPr>
            <w:tcW w:w="47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76587" w:rsidRPr="00A11CC5">
            <w:pPr>
              <w:pStyle w:val="Heading1"/>
              <w:rPr>
                <w:rFonts w:ascii="Times New Roman" w:hAnsi="Times New Roman" w:cs="Times New Roman"/>
                <w:sz w:val="18"/>
                <w:szCs w:val="18"/>
              </w:rPr>
            </w:pPr>
            <w:r w:rsidRPr="00A11CC5">
              <w:rPr>
                <w:rFonts w:ascii="Times New Roman" w:hAnsi="Times New Roman" w:cs="Times New Roman"/>
                <w:sz w:val="18"/>
                <w:szCs w:val="18"/>
              </w:rPr>
              <w:t>Výnimky</w:t>
            </w:r>
          </w:p>
          <w:p w:rsidR="00D76587" w:rsidRPr="00A11CC5">
            <w:pPr>
              <w:pStyle w:val="BodyText"/>
              <w:tabs>
                <w:tab w:val="left" w:pos="426"/>
              </w:tabs>
              <w:rPr>
                <w:rFonts w:ascii="Times New Roman" w:hAnsi="Times New Roman" w:cs="Times New Roman"/>
                <w:sz w:val="18"/>
                <w:szCs w:val="18"/>
                <w:lang w:val="sk-SK"/>
              </w:rPr>
            </w:pPr>
            <w:r w:rsidRPr="00A11CC5">
              <w:rPr>
                <w:rFonts w:ascii="Times New Roman" w:hAnsi="Times New Roman" w:cs="Times New Roman"/>
                <w:sz w:val="18"/>
                <w:szCs w:val="18"/>
                <w:lang w:val="sk-SK"/>
              </w:rPr>
              <w:t>1.</w:t>
              <w:tab/>
              <w:t>Výrobky podliehajúce spotrebnej dani majú byť vylúčené z platby, spotrebnej dane, ak sú určené:</w:t>
            </w:r>
          </w:p>
          <w:p w:rsidR="00D76587" w:rsidRPr="00A11CC5">
            <w:pPr>
              <w:spacing w:before="120"/>
              <w:rPr>
                <w:rFonts w:ascii="Times New Roman" w:hAnsi="Times New Roman" w:cs="Times New Roman"/>
                <w:sz w:val="18"/>
                <w:szCs w:val="18"/>
                <w:lang w:eastAsia="sk-SK"/>
              </w:rPr>
            </w:pPr>
            <w:r w:rsidRPr="00A11CC5">
              <w:rPr>
                <w:rFonts w:ascii="Times New Roman" w:hAnsi="Times New Roman" w:cs="Times New Roman"/>
                <w:sz w:val="18"/>
                <w:szCs w:val="18"/>
                <w:lang w:eastAsia="sk-SK"/>
              </w:rPr>
              <w:t>- na dodávku v súvislosti s diplomatickými alebo konzulárnymi  vzťahmi,</w:t>
            </w:r>
          </w:p>
          <w:p w:rsidR="00D76587" w:rsidRPr="00A11CC5">
            <w:pPr>
              <w:pStyle w:val="BodyTextIndent"/>
              <w:rPr>
                <w:rFonts w:ascii="Times New Roman" w:hAnsi="Times New Roman" w:cs="Times New Roman"/>
                <w:sz w:val="18"/>
                <w:szCs w:val="18"/>
                <w:lang w:val="sk-SK"/>
              </w:rPr>
            </w:pPr>
            <w:r w:rsidRPr="00A11CC5">
              <w:rPr>
                <w:rFonts w:ascii="Times New Roman" w:hAnsi="Times New Roman" w:cs="Times New Roman"/>
                <w:sz w:val="18"/>
                <w:szCs w:val="18"/>
                <w:lang w:val="sk-SK"/>
              </w:rPr>
              <w:t>-</w:t>
              <w:tab/>
              <w:t>pre medzinárodné organizácie, ktoré sú uznané ako také verejnými orgánmi príslušného hostiteľského členského štátu a členmi takých organizácií, v rámci limitov a na základe  podmienok stanovených medzinárodnými konvenciami ustanovujúcimi takéto organizácie, alebo ústrednými dohodami,</w:t>
            </w:r>
          </w:p>
          <w:p w:rsidR="00D76587" w:rsidRPr="00A11CC5">
            <w:pPr>
              <w:tabs>
                <w:tab w:val="left" w:pos="142"/>
              </w:tabs>
              <w:spacing w:before="120"/>
              <w:ind w:left="142" w:hanging="142"/>
              <w:rPr>
                <w:rFonts w:ascii="Times New Roman" w:hAnsi="Times New Roman" w:cs="Times New Roman"/>
                <w:sz w:val="18"/>
                <w:szCs w:val="18"/>
                <w:lang w:eastAsia="sk-SK"/>
              </w:rPr>
            </w:pPr>
            <w:r w:rsidRPr="00A11CC5">
              <w:rPr>
                <w:rFonts w:ascii="Times New Roman" w:hAnsi="Times New Roman" w:cs="Times New Roman"/>
                <w:sz w:val="18"/>
                <w:szCs w:val="18"/>
                <w:lang w:eastAsia="sk-SK"/>
              </w:rPr>
              <w:t>-</w:t>
              <w:tab/>
              <w:t>pre vojenské sily akejkoľvek strany štátu Severoatlantickej dohody, inej než členského štátu, v rámci ktorého sa vyberá spotrebná daň ako aj pre ozbrojené sily o ktorých sa hovorí v článku 1 rozhodnutia 90/640/EHS, pre použitie tých síl pre civilnú skupinu, ktorá ich doprevádza alebo pre zásobovanie ich kuchýň alebo jedální,</w:t>
            </w:r>
          </w:p>
          <w:p w:rsidR="00D76587" w:rsidRPr="00A11CC5">
            <w:pPr>
              <w:pStyle w:val="BodyTextIndent"/>
              <w:rPr>
                <w:rFonts w:ascii="Times New Roman" w:hAnsi="Times New Roman" w:cs="Times New Roman"/>
                <w:sz w:val="18"/>
                <w:szCs w:val="18"/>
                <w:lang w:val="sk-SK"/>
              </w:rPr>
            </w:pPr>
            <w:r w:rsidRPr="00A11CC5">
              <w:rPr>
                <w:rFonts w:ascii="Times New Roman" w:hAnsi="Times New Roman" w:cs="Times New Roman"/>
                <w:sz w:val="18"/>
                <w:szCs w:val="18"/>
                <w:lang w:val="sk-SK"/>
              </w:rPr>
              <w:t>-</w:t>
              <w:tab/>
              <w:t>pre spotrebu na základe dohody uzavretej medzi nečlenskými krajinami alebo medzinárodnými organizáciami, za predpokladu, že takáto dohoda je povolená alebo oprávnená s ohľadom na výnimku z DPH.</w:t>
            </w:r>
          </w:p>
          <w:p w:rsidR="00D76587" w:rsidRPr="00A11CC5">
            <w:pPr>
              <w:spacing w:before="120"/>
              <w:rPr>
                <w:rFonts w:ascii="Times New Roman" w:hAnsi="Times New Roman" w:cs="Times New Roman"/>
                <w:sz w:val="18"/>
                <w:szCs w:val="18"/>
                <w:lang w:eastAsia="sk-SK"/>
              </w:rPr>
            </w:pPr>
            <w:r w:rsidRPr="00A11CC5">
              <w:rPr>
                <w:rFonts w:ascii="Times New Roman" w:hAnsi="Times New Roman" w:cs="Times New Roman"/>
                <w:sz w:val="18"/>
                <w:szCs w:val="18"/>
                <w:lang w:eastAsia="sk-SK"/>
              </w:rPr>
              <w:t>Tieto výnimky majú podliehať podmienkam a limitom, ktoré stanovuje príslušný členský štát, pokiaľ sa neprijmú jednotné daňové pravidlá. Možnosť stanovenia výnimiek môže byť zaručená v súlade s procesom refundácie spotrebných daní.</w:t>
            </w:r>
          </w:p>
          <w:p w:rsidR="00D76587" w:rsidRPr="00A11CC5" w:rsidP="005B38C6">
            <w:pPr>
              <w:pStyle w:val="BodyTextIndent2"/>
              <w:tabs>
                <w:tab w:val="left" w:pos="427"/>
                <w:tab w:val="left" w:pos="1276"/>
                <w:tab w:val="left" w:pos="1701"/>
                <w:tab w:val="left" w:pos="2127"/>
                <w:tab w:val="left" w:pos="2552"/>
              </w:tabs>
              <w:ind w:firstLine="0"/>
              <w:rPr>
                <w:rFonts w:ascii="Times New Roman" w:hAnsi="Times New Roman" w:cs="Times New Roman"/>
                <w:sz w:val="18"/>
                <w:szCs w:val="18"/>
              </w:rPr>
            </w:pPr>
            <w:r w:rsidRPr="00A11CC5">
              <w:rPr>
                <w:rFonts w:ascii="Times New Roman" w:hAnsi="Times New Roman" w:cs="Times New Roman"/>
                <w:sz w:val="18"/>
                <w:szCs w:val="18"/>
              </w:rPr>
              <w:t>1a.</w:t>
              <w:tab/>
              <w:t xml:space="preserve">Ozbrojeným silám a organizáciám uvedeným v odseku 1 môže byť povolené prijať výrobky z iného členského štátu za podmienok dohôd o odložení dane podľa sprievodného dokumentu uvedeného v článku 18 za predpokladu, že dokument je doložený potvrdením o výnimke. </w:t>
            </w:r>
            <w:r w:rsidRPr="00A11CC5">
              <w:rPr>
                <w:rFonts w:ascii="Times New Roman" w:hAnsi="Times New Roman" w:cs="Times New Roman"/>
                <w:sz w:val="18"/>
                <w:szCs w:val="18"/>
              </w:rPr>
              <w:t>Forma a obsah potvrdenia o výnimke sa určí podľa postupu uvedeného v článku 24.</w:t>
            </w:r>
          </w:p>
          <w:p w:rsidR="00D76587" w:rsidRPr="00A11CC5">
            <w:pPr>
              <w:pStyle w:val="BodyText"/>
              <w:tabs>
                <w:tab w:val="left" w:pos="426"/>
              </w:tabs>
              <w:rPr>
                <w:rFonts w:ascii="Times New Roman" w:hAnsi="Times New Roman" w:cs="Times New Roman"/>
                <w:sz w:val="18"/>
                <w:szCs w:val="18"/>
                <w:lang w:val="sk-SK"/>
              </w:rPr>
            </w:pPr>
          </w:p>
          <w:p w:rsidR="00D76587" w:rsidRPr="00A11CC5">
            <w:pPr>
              <w:pStyle w:val="BodyText"/>
              <w:tabs>
                <w:tab w:val="left" w:pos="426"/>
              </w:tabs>
              <w:rPr>
                <w:rFonts w:ascii="Times New Roman" w:hAnsi="Times New Roman" w:cs="Times New Roman"/>
                <w:sz w:val="18"/>
                <w:szCs w:val="18"/>
                <w:lang w:val="sk-SK"/>
              </w:rPr>
            </w:pPr>
            <w:r w:rsidRPr="00A11CC5">
              <w:rPr>
                <w:rFonts w:ascii="Times New Roman" w:hAnsi="Times New Roman" w:cs="Times New Roman"/>
                <w:sz w:val="18"/>
                <w:szCs w:val="18"/>
                <w:lang w:val="sk-SK"/>
              </w:rPr>
              <w:t>2.</w:t>
              <w:tab/>
              <w:t>Rada pôsobiaca jednomyseľne na návrh komisie, môže oprávniť akýkoľvek členský štát uzavrieť s nečlenskou krajinou alebo medzinárodnou organizáciou dohodu, ktorá môže obsahovať výnimky zo spotrebnej dane.</w:t>
            </w:r>
          </w:p>
          <w:p w:rsidR="00D76587" w:rsidRPr="00A11CC5">
            <w:pPr>
              <w:spacing w:before="120"/>
              <w:rPr>
                <w:rFonts w:ascii="Times New Roman" w:hAnsi="Times New Roman" w:cs="Times New Roman"/>
                <w:sz w:val="18"/>
                <w:szCs w:val="18"/>
                <w:lang w:eastAsia="sk-SK"/>
              </w:rPr>
            </w:pPr>
            <w:r w:rsidRPr="00A11CC5">
              <w:rPr>
                <w:rFonts w:ascii="Times New Roman" w:hAnsi="Times New Roman" w:cs="Times New Roman"/>
                <w:sz w:val="18"/>
                <w:szCs w:val="18"/>
                <w:lang w:eastAsia="sk-SK"/>
              </w:rPr>
              <w:t>Štát, ktorý si želá uzavrieť dohodu, má uviesť záležitosť na vedomie komisii a zabezpečiť všetky informácie, ktoré sú nevyhnutné. Komisia má informovať ostatné štáty do jedného mesiaca.</w:t>
            </w:r>
          </w:p>
          <w:p w:rsidR="00D76587" w:rsidRPr="00A11CC5">
            <w:pPr>
              <w:spacing w:before="120"/>
              <w:rPr>
                <w:rFonts w:ascii="Times New Roman" w:hAnsi="Times New Roman" w:cs="Times New Roman"/>
                <w:sz w:val="18"/>
                <w:szCs w:val="18"/>
                <w:lang w:eastAsia="sk-SK"/>
              </w:rPr>
            </w:pPr>
            <w:r w:rsidRPr="00A11CC5">
              <w:rPr>
                <w:rFonts w:ascii="Times New Roman" w:hAnsi="Times New Roman" w:cs="Times New Roman"/>
                <w:sz w:val="18"/>
                <w:szCs w:val="18"/>
                <w:lang w:eastAsia="sk-SK"/>
              </w:rPr>
              <w:t>Rozhodnutie rady má byť prijaté, ak do dvoch mesiacov informovania ostatných členských štátov záležitosť nebola predložená r</w:t>
            </w:r>
            <w:r w:rsidRPr="00A11CC5">
              <w:rPr>
                <w:rFonts w:ascii="Times New Roman" w:hAnsi="Times New Roman" w:cs="Times New Roman"/>
                <w:sz w:val="18"/>
                <w:szCs w:val="18"/>
                <w:lang w:eastAsia="sk-SK"/>
              </w:rPr>
              <w:t>ade.</w:t>
            </w:r>
          </w:p>
          <w:p w:rsidR="00D76587" w:rsidRPr="00A11CC5">
            <w:pPr>
              <w:pStyle w:val="BodyText"/>
              <w:tabs>
                <w:tab w:val="left" w:pos="426"/>
              </w:tabs>
              <w:rPr>
                <w:rFonts w:ascii="Times New Roman" w:hAnsi="Times New Roman" w:cs="Times New Roman"/>
                <w:sz w:val="18"/>
                <w:szCs w:val="18"/>
                <w:lang w:val="sk-SK"/>
              </w:rPr>
            </w:pPr>
            <w:r w:rsidRPr="00A11CC5">
              <w:rPr>
                <w:rFonts w:ascii="Times New Roman" w:hAnsi="Times New Roman" w:cs="Times New Roman"/>
                <w:sz w:val="18"/>
                <w:szCs w:val="18"/>
                <w:lang w:val="sk-SK"/>
              </w:rPr>
              <w:t>3.</w:t>
              <w:tab/>
              <w:t>Ustanovenia týkajúce sa spotrebnej dane, uvedené v nasledovných smerniciach, prestávajú platiť k 31. decembru 1992:</w:t>
            </w:r>
          </w:p>
          <w:p w:rsidR="00D76587" w:rsidRPr="00A11CC5">
            <w:pPr>
              <w:spacing w:before="120"/>
              <w:rPr>
                <w:rFonts w:ascii="Times New Roman" w:hAnsi="Times New Roman" w:cs="Times New Roman"/>
                <w:sz w:val="18"/>
                <w:szCs w:val="18"/>
                <w:lang w:eastAsia="sk-SK"/>
              </w:rPr>
            </w:pPr>
            <w:r w:rsidRPr="00A11CC5">
              <w:rPr>
                <w:rFonts w:ascii="Times New Roman" w:hAnsi="Times New Roman" w:cs="Times New Roman"/>
                <w:sz w:val="18"/>
                <w:szCs w:val="18"/>
                <w:lang w:eastAsia="sk-SK"/>
              </w:rPr>
              <w:t>- Smernica 74/651/EHS,</w:t>
            </w:r>
          </w:p>
          <w:p w:rsidR="00D76587" w:rsidRPr="00A11CC5">
            <w:pPr>
              <w:spacing w:before="120"/>
              <w:rPr>
                <w:rFonts w:ascii="Times New Roman" w:hAnsi="Times New Roman" w:cs="Times New Roman"/>
                <w:sz w:val="18"/>
                <w:szCs w:val="18"/>
                <w:lang w:eastAsia="sk-SK"/>
              </w:rPr>
            </w:pPr>
            <w:r w:rsidRPr="00A11CC5">
              <w:rPr>
                <w:rFonts w:ascii="Times New Roman" w:hAnsi="Times New Roman" w:cs="Times New Roman"/>
                <w:sz w:val="18"/>
                <w:szCs w:val="18"/>
                <w:lang w:eastAsia="sk-SK"/>
              </w:rPr>
              <w:t>- Smernica 83/183/EHS,</w:t>
            </w:r>
          </w:p>
          <w:p w:rsidR="00D76587" w:rsidRPr="00A11CC5">
            <w:pPr>
              <w:spacing w:before="120"/>
              <w:rPr>
                <w:rFonts w:ascii="Times New Roman" w:hAnsi="Times New Roman" w:cs="Times New Roman"/>
                <w:sz w:val="18"/>
                <w:szCs w:val="18"/>
                <w:lang w:eastAsia="sk-SK"/>
              </w:rPr>
            </w:pPr>
            <w:r w:rsidRPr="00A11CC5">
              <w:rPr>
                <w:rFonts w:ascii="Times New Roman" w:hAnsi="Times New Roman" w:cs="Times New Roman"/>
                <w:sz w:val="18"/>
                <w:szCs w:val="18"/>
                <w:lang w:eastAsia="sk-SK"/>
              </w:rPr>
              <w:t>- Smernica 68/297/EHS.</w:t>
            </w:r>
          </w:p>
          <w:p w:rsidR="00D76587" w:rsidRPr="00A11CC5">
            <w:pPr>
              <w:tabs>
                <w:tab w:val="left" w:pos="426"/>
              </w:tabs>
              <w:spacing w:before="120"/>
              <w:rPr>
                <w:rFonts w:ascii="Times New Roman" w:hAnsi="Times New Roman" w:cs="Times New Roman"/>
                <w:sz w:val="18"/>
                <w:szCs w:val="18"/>
                <w:lang w:eastAsia="sk-SK"/>
              </w:rPr>
            </w:pPr>
            <w:r w:rsidRPr="00A11CC5">
              <w:rPr>
                <w:rFonts w:ascii="Times New Roman" w:hAnsi="Times New Roman" w:cs="Times New Roman"/>
                <w:sz w:val="18"/>
                <w:szCs w:val="18"/>
                <w:lang w:eastAsia="sk-SK"/>
              </w:rPr>
              <w:t>4.</w:t>
              <w:tab/>
              <w:t>Ustanovenia o spotrebnej dani, uvedené v smernici 69/169/EHS prestávajú platiť k 31. decembru 1992 rešpektujúc vzťahy medzi členskými štátmi.</w:t>
            </w:r>
          </w:p>
          <w:p w:rsidR="00D76587" w:rsidRPr="00A11CC5">
            <w:pPr>
              <w:pStyle w:val="BodyText"/>
              <w:tabs>
                <w:tab w:val="left" w:pos="426"/>
              </w:tabs>
              <w:rPr>
                <w:rFonts w:ascii="Times New Roman" w:hAnsi="Times New Roman" w:cs="Times New Roman"/>
                <w:sz w:val="18"/>
                <w:szCs w:val="18"/>
                <w:lang w:val="sk-SK"/>
              </w:rPr>
            </w:pPr>
            <w:r w:rsidRPr="00A11CC5">
              <w:rPr>
                <w:rFonts w:ascii="Times New Roman" w:hAnsi="Times New Roman" w:cs="Times New Roman"/>
                <w:sz w:val="18"/>
                <w:szCs w:val="18"/>
                <w:lang w:val="sk-SK"/>
              </w:rPr>
              <w:t>5.</w:t>
              <w:tab/>
              <w:t>Pokiaľ rada, konajúc jednomyseľne vzhľadom k návrhu komisie neprijala opatrenia ohľadne skladovania člnov a lietadiel, členské štáty sa môžu riadiť národnými opatreniami stanovenými pre tento účel.</w:t>
            </w:r>
          </w:p>
          <w:p w:rsidR="00D76587" w:rsidRPr="00A11CC5">
            <w:pPr>
              <w:pStyle w:val="Heading2"/>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76587" w:rsidRPr="00A11CC5">
            <w:pPr>
              <w:pStyle w:val="TABUKA-textsmernice"/>
              <w:rPr>
                <w:rFonts w:ascii="Times New Roman" w:hAnsi="Times New Roman" w:cs="Times New Roman"/>
                <w:sz w:val="18"/>
                <w:szCs w:val="18"/>
              </w:rPr>
            </w:pPr>
            <w:r w:rsidRPr="00A11CC5">
              <w:rPr>
                <w:rFonts w:ascii="Times New Roman" w:hAnsi="Times New Roman" w:cs="Times New Roman"/>
                <w:sz w:val="18"/>
                <w:szCs w:val="18"/>
              </w:rPr>
              <w:t>N</w:t>
            </w:r>
          </w:p>
          <w:p w:rsidR="00D76587" w:rsidRPr="00A11CC5">
            <w:pPr>
              <w:pStyle w:val="TABUKA-textsmernice"/>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76587" w:rsidRPr="00A11CC5">
            <w:pPr>
              <w:pStyle w:val="TABUKA-textsmernice"/>
              <w:rPr>
                <w:rFonts w:ascii="Times New Roman" w:hAnsi="Times New Roman" w:cs="Times New Roman"/>
                <w:sz w:val="18"/>
                <w:szCs w:val="18"/>
              </w:rPr>
            </w:pPr>
            <w:r w:rsidRPr="00A11CC5">
              <w:rPr>
                <w:rFonts w:ascii="Times New Roman" w:hAnsi="Times New Roman" w:cs="Times New Roman"/>
                <w:sz w:val="18"/>
                <w:szCs w:val="18"/>
              </w:rPr>
              <w:t>.../2004 Z.z.</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76587" w:rsidRPr="00A11CC5">
            <w:pPr>
              <w:pStyle w:val="TABUKA-textsmernice"/>
              <w:rPr>
                <w:rFonts w:ascii="Times New Roman" w:hAnsi="Times New Roman" w:cs="Times New Roman"/>
                <w:sz w:val="18"/>
                <w:szCs w:val="18"/>
              </w:rPr>
            </w:pPr>
            <w:r w:rsidRPr="00A11CC5">
              <w:rPr>
                <w:rFonts w:ascii="Times New Roman" w:hAnsi="Times New Roman" w:cs="Times New Roman"/>
                <w:sz w:val="18"/>
                <w:szCs w:val="18"/>
              </w:rPr>
              <w:t>Čl. I</w:t>
            </w:r>
          </w:p>
          <w:p w:rsidR="00D76587" w:rsidRPr="00A11CC5">
            <w:pPr>
              <w:pStyle w:val="TABUKA-textsmernice"/>
              <w:rPr>
                <w:rFonts w:ascii="Times New Roman" w:hAnsi="Times New Roman" w:cs="Times New Roman"/>
                <w:sz w:val="18"/>
                <w:szCs w:val="18"/>
              </w:rPr>
            </w:pPr>
            <w:r w:rsidRPr="00A11CC5">
              <w:rPr>
                <w:rFonts w:ascii="Times New Roman" w:hAnsi="Times New Roman" w:cs="Times New Roman"/>
                <w:sz w:val="18"/>
                <w:szCs w:val="18"/>
              </w:rPr>
              <w:t>§ 31a</w:t>
            </w:r>
          </w:p>
          <w:p w:rsidR="00D76587" w:rsidRPr="00A11CC5">
            <w:pPr>
              <w:pStyle w:val="TABUKA-textsmernice"/>
              <w:rPr>
                <w:rFonts w:ascii="Times New Roman" w:hAnsi="Times New Roman" w:cs="Times New Roman"/>
                <w:sz w:val="18"/>
                <w:szCs w:val="18"/>
              </w:rPr>
            </w:pPr>
          </w:p>
          <w:p w:rsidR="00D76587" w:rsidRPr="00A11CC5">
            <w:pPr>
              <w:pStyle w:val="TABUKA-textsmernice"/>
              <w:rPr>
                <w:rFonts w:ascii="Times New Roman" w:hAnsi="Times New Roman" w:cs="Times New Roman"/>
                <w:sz w:val="18"/>
                <w:szCs w:val="18"/>
              </w:rPr>
            </w:pPr>
          </w:p>
        </w:tc>
        <w:tc>
          <w:tcPr>
            <w:tcW w:w="481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76587" w:rsidRPr="00A11CC5">
            <w:pPr>
              <w:jc w:val="center"/>
              <w:rPr>
                <w:rFonts w:ascii="Times New Roman" w:hAnsi="Times New Roman" w:cs="Times New Roman"/>
                <w:b/>
                <w:sz w:val="18"/>
                <w:szCs w:val="18"/>
              </w:rPr>
            </w:pPr>
            <w:r w:rsidRPr="00A11CC5">
              <w:rPr>
                <w:rFonts w:ascii="Times New Roman" w:hAnsi="Times New Roman" w:cs="Times New Roman"/>
                <w:b/>
                <w:sz w:val="18"/>
                <w:szCs w:val="18"/>
              </w:rPr>
              <w:t>Osobitná úprava predaja vína oslobodeného od dane osobám iných štátov, ktoré požívajú výsady a imunity podľa medzinárodných zmlúv</w:t>
            </w:r>
          </w:p>
          <w:p w:rsidR="00A11CC5" w:rsidRPr="00A11CC5" w:rsidP="00A11CC5">
            <w:pPr>
              <w:pStyle w:val="Popisparagrafu"/>
              <w:numPr>
                <w:ilvl w:val="0"/>
                <w:numId w:val="18"/>
              </w:numPr>
              <w:tabs>
                <w:tab w:val="left" w:pos="700"/>
              </w:tabs>
              <w:spacing w:before="120" w:after="120"/>
              <w:jc w:val="both"/>
              <w:rPr>
                <w:rFonts w:ascii="Times New Roman" w:hAnsi="Times New Roman" w:cs="Times New Roman"/>
                <w:sz w:val="18"/>
                <w:szCs w:val="18"/>
                <w:lang w:val="sk-SK"/>
              </w:rPr>
            </w:pPr>
            <w:r w:rsidRPr="00A11CC5">
              <w:rPr>
                <w:rFonts w:ascii="Times New Roman" w:hAnsi="Times New Roman" w:cs="Times New Roman"/>
                <w:sz w:val="18"/>
                <w:szCs w:val="18"/>
                <w:lang w:val="sk-SK"/>
              </w:rPr>
              <w:t>Od dane je oslobodené víno predávané v daňovom sklade na predaj vína oslobodeného od dane osobám iných štátov, ktoré požívajú výsady a imunity podľa medzinárodnej zmluvy, a to výlučne osobám iných štátov, ktoré požívajú výsady a imunity podľa medzinárodnej zmluvy</w:t>
            </w:r>
            <w:r w:rsidRPr="00A11CC5">
              <w:rPr>
                <w:rFonts w:ascii="Times New Roman" w:hAnsi="Times New Roman" w:cs="Times New Roman"/>
                <w:sz w:val="18"/>
                <w:szCs w:val="18"/>
                <w:vertAlign w:val="superscript"/>
                <w:lang w:val="sk-SK"/>
              </w:rPr>
              <w:t>26a)</w:t>
            </w:r>
            <w:r w:rsidRPr="00A11CC5">
              <w:rPr>
                <w:rFonts w:ascii="Times New Roman" w:hAnsi="Times New Roman" w:cs="Times New Roman"/>
                <w:sz w:val="18"/>
                <w:szCs w:val="18"/>
                <w:lang w:val="sk-SK"/>
              </w:rPr>
              <w:t xml:space="preserve"> (ďalej len „zahraničný zástupca“).</w:t>
            </w:r>
          </w:p>
          <w:p w:rsidR="00A11CC5" w:rsidRPr="00A11CC5" w:rsidP="00A11CC5">
            <w:pPr>
              <w:pStyle w:val="Popisparagrafu"/>
              <w:numPr>
                <w:ilvl w:val="0"/>
                <w:numId w:val="18"/>
              </w:numPr>
              <w:tabs>
                <w:tab w:val="left" w:pos="700"/>
              </w:tabs>
              <w:spacing w:before="120" w:after="120"/>
              <w:jc w:val="both"/>
              <w:rPr>
                <w:rFonts w:ascii="Times New Roman" w:hAnsi="Times New Roman" w:cs="Times New Roman"/>
                <w:sz w:val="18"/>
                <w:szCs w:val="18"/>
                <w:lang w:val="sk-SK"/>
              </w:rPr>
            </w:pPr>
            <w:r w:rsidRPr="00A11CC5">
              <w:rPr>
                <w:rFonts w:ascii="Times New Roman" w:hAnsi="Times New Roman" w:cs="Times New Roman"/>
                <w:sz w:val="18"/>
                <w:szCs w:val="18"/>
                <w:lang w:val="sk-SK"/>
              </w:rPr>
              <w:t>Na účely tohto zákona zahraničným zástupcom je</w:t>
            </w:r>
          </w:p>
          <w:p w:rsidR="00A11CC5" w:rsidRPr="00A11CC5" w:rsidP="00A11CC5">
            <w:pPr>
              <w:pStyle w:val="Zkladntext"/>
              <w:numPr>
                <w:ilvl w:val="0"/>
                <w:numId w:val="19"/>
              </w:numPr>
              <w:tabs>
                <w:tab w:val="left" w:pos="363"/>
              </w:tabs>
              <w:jc w:val="both"/>
              <w:rPr>
                <w:rFonts w:ascii="Times New Roman" w:hAnsi="Times New Roman" w:cs="Times New Roman"/>
                <w:sz w:val="18"/>
                <w:szCs w:val="18"/>
              </w:rPr>
            </w:pPr>
            <w:r w:rsidRPr="00A11CC5">
              <w:rPr>
                <w:rFonts w:ascii="Times New Roman" w:hAnsi="Times New Roman" w:cs="Times New Roman"/>
                <w:sz w:val="18"/>
                <w:szCs w:val="18"/>
              </w:rPr>
              <w:t xml:space="preserve">diplomatická  misia a konzulárny úrad so sídlom na území Slovenskej republiky s výnimkou konzulárneho úradu vedeného honorárnym konzulom, </w:t>
            </w:r>
          </w:p>
          <w:p w:rsidR="00A11CC5" w:rsidRPr="00A11CC5" w:rsidP="00A11CC5">
            <w:pPr>
              <w:pStyle w:val="Zkladntext"/>
              <w:numPr>
                <w:ilvl w:val="0"/>
                <w:numId w:val="19"/>
              </w:numPr>
              <w:tabs>
                <w:tab w:val="left" w:pos="363"/>
              </w:tabs>
              <w:jc w:val="both"/>
              <w:rPr>
                <w:rFonts w:ascii="Times New Roman" w:hAnsi="Times New Roman" w:cs="Times New Roman"/>
                <w:sz w:val="18"/>
                <w:szCs w:val="18"/>
              </w:rPr>
            </w:pPr>
            <w:r w:rsidRPr="00A11CC5">
              <w:rPr>
                <w:rFonts w:ascii="Times New Roman" w:hAnsi="Times New Roman" w:cs="Times New Roman"/>
                <w:sz w:val="18"/>
                <w:szCs w:val="18"/>
              </w:rPr>
              <w:t>medzinárodná organizácia a  jej oblastná úradovňa (ďalej len „medzinárodná organizácia“) so sídlom na území  Slovenskej   republiky, ktorá je zriadená podľa medzinárodnej zmluvy,</w:t>
            </w:r>
            <w:r w:rsidRPr="00A11CC5">
              <w:rPr>
                <w:rFonts w:ascii="Times New Roman" w:hAnsi="Times New Roman" w:cs="Times New Roman"/>
                <w:sz w:val="18"/>
                <w:szCs w:val="18"/>
                <w:vertAlign w:val="superscript"/>
              </w:rPr>
              <w:t>26a)</w:t>
            </w:r>
          </w:p>
          <w:p w:rsidR="00A11CC5" w:rsidRPr="00A11CC5" w:rsidP="00A11CC5">
            <w:pPr>
              <w:pStyle w:val="Zkladntext"/>
              <w:numPr>
                <w:ilvl w:val="0"/>
                <w:numId w:val="19"/>
              </w:numPr>
              <w:tabs>
                <w:tab w:val="left" w:pos="363"/>
              </w:tabs>
              <w:jc w:val="both"/>
              <w:rPr>
                <w:rFonts w:ascii="Times New Roman" w:hAnsi="Times New Roman" w:cs="Times New Roman"/>
                <w:sz w:val="18"/>
                <w:szCs w:val="18"/>
              </w:rPr>
            </w:pPr>
            <w:r w:rsidRPr="00A11CC5">
              <w:rPr>
                <w:rFonts w:ascii="Times New Roman" w:hAnsi="Times New Roman" w:cs="Times New Roman"/>
                <w:sz w:val="18"/>
                <w:szCs w:val="18"/>
              </w:rPr>
              <w:t>diplomatický zástupca misie, ktorý nie je občanom Slovenskej republiky a nemá trvalý pobyt na území Slovenskej republiky,</w:t>
            </w:r>
          </w:p>
          <w:p w:rsidR="00A11CC5" w:rsidRPr="00A11CC5" w:rsidP="00A11CC5">
            <w:pPr>
              <w:pStyle w:val="Zkladntext"/>
              <w:numPr>
                <w:ilvl w:val="0"/>
                <w:numId w:val="19"/>
              </w:numPr>
              <w:tabs>
                <w:tab w:val="left" w:pos="363"/>
              </w:tabs>
              <w:jc w:val="both"/>
              <w:rPr>
                <w:rFonts w:ascii="Times New Roman" w:hAnsi="Times New Roman" w:cs="Times New Roman"/>
                <w:sz w:val="18"/>
                <w:szCs w:val="18"/>
              </w:rPr>
            </w:pPr>
            <w:r w:rsidRPr="00A11CC5">
              <w:rPr>
                <w:rFonts w:ascii="Times New Roman" w:hAnsi="Times New Roman" w:cs="Times New Roman"/>
                <w:sz w:val="18"/>
                <w:szCs w:val="18"/>
              </w:rPr>
              <w:t xml:space="preserve">konzulárny úradník, ktorý nie je občanom </w:t>
            </w:r>
            <w:r w:rsidRPr="00A11CC5">
              <w:rPr>
                <w:rFonts w:ascii="Times New Roman" w:hAnsi="Times New Roman" w:cs="Times New Roman"/>
                <w:sz w:val="18"/>
                <w:szCs w:val="18"/>
              </w:rPr>
              <w:t>Slovenskej republiky a nemá trvalý pobyt na území Slovenskej republiky, s výnimkou honorárneho konzulárneho úradníka,</w:t>
            </w:r>
          </w:p>
          <w:p w:rsidR="00A11CC5" w:rsidRPr="00A11CC5" w:rsidP="00A11CC5">
            <w:pPr>
              <w:pStyle w:val="Zkladntext"/>
              <w:numPr>
                <w:ilvl w:val="0"/>
                <w:numId w:val="19"/>
              </w:numPr>
              <w:tabs>
                <w:tab w:val="left" w:pos="363"/>
              </w:tabs>
              <w:ind w:left="357" w:hanging="357"/>
              <w:jc w:val="both"/>
              <w:rPr>
                <w:rFonts w:ascii="Times New Roman" w:hAnsi="Times New Roman" w:cs="Times New Roman"/>
                <w:sz w:val="18"/>
                <w:szCs w:val="18"/>
              </w:rPr>
            </w:pPr>
            <w:r w:rsidRPr="00A11CC5">
              <w:rPr>
                <w:rFonts w:ascii="Times New Roman" w:hAnsi="Times New Roman" w:cs="Times New Roman"/>
                <w:sz w:val="18"/>
                <w:szCs w:val="18"/>
              </w:rPr>
              <w:t>člen administratívneho personálu a technického personálu misie, ktorý nie je občanom Slovenskej republiky a nemá trvalý pobyt na území Slo</w:t>
            </w:r>
            <w:r w:rsidRPr="00A11CC5">
              <w:rPr>
                <w:rFonts w:ascii="Times New Roman" w:hAnsi="Times New Roman" w:cs="Times New Roman"/>
                <w:sz w:val="18"/>
                <w:szCs w:val="18"/>
              </w:rPr>
              <w:t>venskej republiky,</w:t>
            </w:r>
          </w:p>
          <w:p w:rsidR="00A11CC5" w:rsidRPr="00A11CC5" w:rsidP="00A11CC5">
            <w:pPr>
              <w:numPr>
                <w:ilvl w:val="0"/>
                <w:numId w:val="19"/>
              </w:numPr>
              <w:tabs>
                <w:tab w:val="left" w:pos="363"/>
              </w:tabs>
              <w:spacing w:after="0"/>
              <w:rPr>
                <w:rFonts w:ascii="Times New Roman" w:hAnsi="Times New Roman" w:cs="Times New Roman"/>
                <w:sz w:val="18"/>
                <w:szCs w:val="18"/>
              </w:rPr>
            </w:pPr>
            <w:r w:rsidRPr="00A11CC5">
              <w:rPr>
                <w:rFonts w:ascii="Times New Roman" w:hAnsi="Times New Roman" w:cs="Times New Roman"/>
                <w:sz w:val="18"/>
                <w:szCs w:val="18"/>
              </w:rPr>
              <w:t xml:space="preserve">konzulárny zamestnanec, ktorý nie je občanom Slovenskej republiky a nemá trvalý pobyt na území Slovenskej republiky, s výnimkou zamestnanca konzulárneho úradu vedeného honorárnym konzulom, </w:t>
            </w:r>
          </w:p>
          <w:p w:rsidR="00A11CC5" w:rsidRPr="00A11CC5" w:rsidP="00A11CC5">
            <w:pPr>
              <w:numPr>
                <w:ilvl w:val="0"/>
                <w:numId w:val="19"/>
              </w:numPr>
              <w:tabs>
                <w:tab w:val="left" w:pos="363"/>
              </w:tabs>
              <w:rPr>
                <w:rFonts w:ascii="Times New Roman" w:hAnsi="Times New Roman" w:cs="Times New Roman"/>
                <w:sz w:val="18"/>
                <w:szCs w:val="18"/>
              </w:rPr>
            </w:pPr>
            <w:r w:rsidRPr="00A11CC5">
              <w:rPr>
                <w:rFonts w:ascii="Times New Roman" w:hAnsi="Times New Roman" w:cs="Times New Roman"/>
                <w:sz w:val="18"/>
                <w:szCs w:val="18"/>
              </w:rPr>
              <w:t xml:space="preserve">úradník medzinárodnej organizácie, ktorý nie je občanom Slovenskej republiky, nemá trvalý pobyt na území Slovenskej republiky a je trvale pridelený na výkon úradných funkcií v Slovenskej republike. </w:t>
            </w:r>
          </w:p>
          <w:p w:rsidR="00A11CC5" w:rsidRPr="00A11CC5" w:rsidP="00A11CC5">
            <w:pPr>
              <w:pStyle w:val="Zkladntext"/>
              <w:numPr>
                <w:ilvl w:val="0"/>
                <w:numId w:val="18"/>
              </w:numPr>
              <w:tabs>
                <w:tab w:val="left" w:pos="700"/>
              </w:tabs>
              <w:spacing w:before="120" w:after="120"/>
              <w:jc w:val="both"/>
              <w:rPr>
                <w:rFonts w:ascii="Times New Roman" w:hAnsi="Times New Roman" w:cs="Times New Roman"/>
                <w:sz w:val="18"/>
                <w:szCs w:val="18"/>
              </w:rPr>
            </w:pPr>
            <w:r w:rsidRPr="00A11CC5">
              <w:rPr>
                <w:rFonts w:ascii="Times New Roman" w:hAnsi="Times New Roman" w:cs="Times New Roman"/>
                <w:sz w:val="18"/>
                <w:szCs w:val="18"/>
              </w:rPr>
              <w:t xml:space="preserve"> Právnická osoba alebo fyzická osoba, ktorá chce uskutočňovať predaj vína oslobodeného od dane zahraničným zástupcom, musí písomne požiadať colný úrad o registráciu a o vydanie povolenia na prevádzkovanie daňového skladu na predaj vína oslobodeného od dane zahraničným zástupcom (ďalej len „daňový sklad pre zahraničných zástupcov“). Ustanovenie § 16 ods. 3 sa v tomto prípade nepoužije. Na žiadosť o registráciu a vydanie povolenia na prevádzkovanie daňového skladu pre zahraničných zástupcov a na toto povolenie sa použije § 17 primerane; colný úrad, ktorý vydal povolenie  na prevádzkovanie daňového skladu pre zahraničných zástupcov, oznámi bezodkladne túto skutočnosť Colnému úradu Bratislava.  Ak právnická osoba alebo fyzická osoba už požiadala o vydanie povolenia na prevádzkovanie daňového skladu pre zahraničných zástupcov podľa osobitného predpisu,</w:t>
            </w:r>
            <w:r w:rsidRPr="00A11CC5">
              <w:rPr>
                <w:rFonts w:ascii="Times New Roman" w:hAnsi="Times New Roman" w:cs="Times New Roman"/>
                <w:sz w:val="18"/>
                <w:szCs w:val="18"/>
                <w:vertAlign w:val="superscript"/>
              </w:rPr>
              <w:t>26)</w:t>
            </w:r>
            <w:r w:rsidRPr="00A11CC5">
              <w:rPr>
                <w:rFonts w:ascii="Times New Roman" w:hAnsi="Times New Roman" w:cs="Times New Roman"/>
                <w:sz w:val="18"/>
                <w:szCs w:val="18"/>
              </w:rPr>
              <w:t xml:space="preserve"> možno vydať jedno povolenie pre všetky tovary podliehajúce spotrebným daniam podľa osobitného predpisu</w:t>
            </w:r>
            <w:r w:rsidRPr="00A11CC5">
              <w:rPr>
                <w:rFonts w:ascii="Times New Roman" w:hAnsi="Times New Roman" w:cs="Times New Roman"/>
                <w:sz w:val="18"/>
                <w:szCs w:val="18"/>
                <w:vertAlign w:val="superscript"/>
              </w:rPr>
              <w:t>26)</w:t>
            </w:r>
            <w:r w:rsidRPr="00A11CC5">
              <w:rPr>
                <w:rFonts w:ascii="Times New Roman" w:hAnsi="Times New Roman" w:cs="Times New Roman"/>
                <w:sz w:val="18"/>
                <w:szCs w:val="18"/>
              </w:rPr>
              <w:t xml:space="preserve"> s výnimkou minerálnych olejov.</w:t>
            </w:r>
          </w:p>
          <w:p w:rsidR="00A11CC5" w:rsidRPr="00A11CC5" w:rsidP="00A11CC5">
            <w:pPr>
              <w:pStyle w:val="Zkladntext"/>
              <w:numPr>
                <w:ilvl w:val="0"/>
                <w:numId w:val="18"/>
              </w:numPr>
              <w:tabs>
                <w:tab w:val="left" w:pos="700"/>
              </w:tabs>
              <w:spacing w:before="120" w:after="120"/>
              <w:jc w:val="both"/>
              <w:rPr>
                <w:rFonts w:ascii="Times New Roman" w:hAnsi="Times New Roman" w:cs="Times New Roman"/>
                <w:sz w:val="18"/>
                <w:szCs w:val="18"/>
              </w:rPr>
            </w:pPr>
            <w:r w:rsidRPr="00A11CC5">
              <w:rPr>
                <w:rFonts w:ascii="Times New Roman" w:hAnsi="Times New Roman" w:cs="Times New Roman"/>
                <w:sz w:val="18"/>
                <w:szCs w:val="18"/>
              </w:rPr>
              <w:t>Právnická osoba alebo fyzická osoba podľa odseku 3 je povinná pred vydaním povolenia na prevádzkovanie daňového skladu pre zahraničných zástupcov zložiť zábezpeku na daň vo výške dane pripadajúcej na predpokladané priemerné mesačné množstvo predaného vína. Ak právnická osoba alebo fyzická osoba už požiadala o vydanie povolenia na prevádzkovanie daňového skladu  pre zahraničných zástupcov podľa osobitného predpisu,</w:t>
            </w:r>
            <w:r w:rsidRPr="00A11CC5">
              <w:rPr>
                <w:rFonts w:ascii="Times New Roman" w:hAnsi="Times New Roman" w:cs="Times New Roman"/>
                <w:sz w:val="18"/>
                <w:szCs w:val="18"/>
                <w:vertAlign w:val="superscript"/>
              </w:rPr>
              <w:t>26)</w:t>
            </w:r>
            <w:r w:rsidRPr="00A11CC5">
              <w:rPr>
                <w:rFonts w:ascii="Times New Roman" w:hAnsi="Times New Roman" w:cs="Times New Roman"/>
                <w:sz w:val="18"/>
                <w:szCs w:val="18"/>
              </w:rPr>
              <w:t xml:space="preserve"> je povinná zložiť zábezpeku na daň vo výške dane pripadajúcej na priemerné mesačné množstvo predaných tovarov uvedených v povolení na prevádzkovanie daňového skladu pre zahraničných zástupcov. Na zloženie zábezpeky na daň sa použije § 18 primerane. </w:t>
            </w:r>
          </w:p>
          <w:p w:rsidR="00A11CC5" w:rsidRPr="00A11CC5" w:rsidP="00A11CC5">
            <w:pPr>
              <w:pStyle w:val="Zkladntext"/>
              <w:numPr>
                <w:ilvl w:val="0"/>
                <w:numId w:val="18"/>
              </w:numPr>
              <w:tabs>
                <w:tab w:val="left" w:pos="700"/>
              </w:tabs>
              <w:spacing w:before="120" w:after="120"/>
              <w:jc w:val="both"/>
              <w:rPr>
                <w:rFonts w:ascii="Times New Roman" w:hAnsi="Times New Roman" w:cs="Times New Roman"/>
                <w:sz w:val="18"/>
                <w:szCs w:val="18"/>
              </w:rPr>
            </w:pPr>
            <w:r w:rsidRPr="00A11CC5">
              <w:rPr>
                <w:rFonts w:ascii="Times New Roman" w:hAnsi="Times New Roman" w:cs="Times New Roman"/>
                <w:sz w:val="18"/>
                <w:szCs w:val="18"/>
              </w:rPr>
              <w:t xml:space="preserve">Colný úrad môže v povolení na prevádzkovanie daňového skladu pre zahraničných zástupcov uviesť prevádzkovo - technické podmienky prevádzkovania takéhoto skladu.  </w:t>
            </w:r>
          </w:p>
          <w:p w:rsidR="00A11CC5" w:rsidRPr="00A11CC5" w:rsidP="00A11CC5">
            <w:pPr>
              <w:pStyle w:val="Zkladntext"/>
              <w:numPr>
                <w:ilvl w:val="0"/>
                <w:numId w:val="18"/>
              </w:numPr>
              <w:tabs>
                <w:tab w:val="left" w:pos="700"/>
              </w:tabs>
              <w:spacing w:before="120" w:after="120"/>
              <w:jc w:val="both"/>
              <w:rPr>
                <w:rFonts w:ascii="Times New Roman" w:hAnsi="Times New Roman" w:cs="Times New Roman"/>
                <w:sz w:val="18"/>
                <w:szCs w:val="18"/>
              </w:rPr>
            </w:pPr>
            <w:r w:rsidRPr="00A11CC5">
              <w:rPr>
                <w:rFonts w:ascii="Times New Roman" w:hAnsi="Times New Roman" w:cs="Times New Roman"/>
                <w:sz w:val="18"/>
                <w:szCs w:val="18"/>
              </w:rPr>
              <w:t>Preprava vína právnickej osobe alebo fyzickej osobe, ktorej colný úrad vydal povolenie na prevádzkovanie daňového skladu pre zahraničných zástupcov (ďalej len „prevádzkovateľ daňového skladu pre zahraničných zástupcov“), sa uskutočňuje v pozastavení dane so sprievodným dokumentom; na postup pri preprave vína v pozastavení dane sa použijú  § 19 a 20 primerane.</w:t>
            </w:r>
          </w:p>
          <w:p w:rsidR="00A11CC5" w:rsidRPr="00A11CC5" w:rsidP="00A11CC5">
            <w:pPr>
              <w:pStyle w:val="Popisparagrafu"/>
              <w:numPr>
                <w:ilvl w:val="0"/>
                <w:numId w:val="18"/>
              </w:numPr>
              <w:tabs>
                <w:tab w:val="left" w:pos="700"/>
              </w:tabs>
              <w:spacing w:before="120" w:after="120"/>
              <w:jc w:val="both"/>
              <w:rPr>
                <w:rFonts w:ascii="Times New Roman" w:hAnsi="Times New Roman" w:cs="Times New Roman"/>
                <w:sz w:val="18"/>
                <w:szCs w:val="18"/>
                <w:lang w:val="sk-SK"/>
              </w:rPr>
            </w:pPr>
            <w:r w:rsidRPr="00A11CC5">
              <w:rPr>
                <w:rFonts w:ascii="Times New Roman" w:hAnsi="Times New Roman" w:cs="Times New Roman"/>
                <w:sz w:val="18"/>
                <w:szCs w:val="18"/>
                <w:lang w:val="sk-SK"/>
              </w:rPr>
              <w:t>Zahraničný zástupca, ktorý chce nakupovať víno oslobodené od dane v daňovom sklade pre zahraničných zástupcov, je povinný požiadať Ministerstvo zahraničných vecí Slovenskej republiky o vydanie potvrdenia o postavení zahraničného zástupcu podľa odseku 2 a o splnení podmienky vzájomnosti podľa odseku 14 (ďalej len „potvrdenie“). Ak sa zmenia údaje uvedené v potvrdení Ministerstva zahraničných vecí Slovenskej republiky, Ministerstvo zahraničných vecí Slovenskej republiky oznámi tieto skutočnosti Colnému úradu Bratislava bezodkladne. Vzor potvrdenia Ministerstva zahraničných vecí Slovenskej republiky o postavení zahraničného zástupcu a o splnení podmienky vzájomnosti je uvedený v prílohe č. 2.</w:t>
            </w:r>
          </w:p>
          <w:p w:rsidR="00A11CC5" w:rsidRPr="00A11CC5" w:rsidP="00A11CC5">
            <w:pPr>
              <w:pStyle w:val="Popisparagrafu"/>
              <w:numPr>
                <w:ilvl w:val="0"/>
                <w:numId w:val="18"/>
              </w:numPr>
              <w:tabs>
                <w:tab w:val="left" w:pos="700"/>
              </w:tabs>
              <w:spacing w:before="120" w:after="120"/>
              <w:jc w:val="both"/>
              <w:rPr>
                <w:rFonts w:ascii="Times New Roman" w:hAnsi="Times New Roman" w:cs="Times New Roman"/>
                <w:sz w:val="18"/>
                <w:szCs w:val="18"/>
                <w:lang w:val="sk-SK"/>
              </w:rPr>
            </w:pPr>
            <w:r w:rsidRPr="00A11CC5">
              <w:rPr>
                <w:rFonts w:ascii="Times New Roman" w:hAnsi="Times New Roman" w:cs="Times New Roman"/>
                <w:sz w:val="18"/>
                <w:szCs w:val="18"/>
                <w:lang w:val="sk-SK"/>
              </w:rPr>
              <w:t>Víno oslobodené od dane možno predať v daňovom sklade pre zahraničných zástupcov výlučne zahraničným zástupcom, a to len na základe povolenia na nákup vína oslobodeného od dane v daňovom sklade pre zahraničných zástupcov. Zahraničný zástupca musí písomne požiadať Colný úrad Bratis</w:t>
            </w:r>
            <w:r w:rsidRPr="00A11CC5">
              <w:rPr>
                <w:rFonts w:ascii="Times New Roman" w:hAnsi="Times New Roman" w:cs="Times New Roman"/>
                <w:sz w:val="18"/>
                <w:szCs w:val="18"/>
                <w:lang w:val="sk-SK"/>
              </w:rPr>
              <w:t xml:space="preserve">lava o vydanie povolenia na </w:t>
            </w:r>
            <w:r w:rsidRPr="00A11CC5">
              <w:rPr>
                <w:rFonts w:ascii="Times New Roman" w:hAnsi="Times New Roman" w:cs="Times New Roman"/>
                <w:sz w:val="18"/>
                <w:szCs w:val="18"/>
                <w:lang w:val="sk-SK"/>
              </w:rPr>
              <w:t xml:space="preserve">nákup vína oslobodeného od dane v daňovom sklade pre zahraničných zástupcov. K žiadosti o vydanie povolenia na nákup vína oslobodeného od dane v daňovom sklade pre zahraničných zástupcov žiadateľ priloží potvrdenie podľa odseku 7. </w:t>
            </w:r>
          </w:p>
          <w:p w:rsidR="00A11CC5" w:rsidRPr="00A11CC5" w:rsidP="00A11CC5">
            <w:pPr>
              <w:pStyle w:val="Zkladntext"/>
              <w:numPr>
                <w:ilvl w:val="0"/>
                <w:numId w:val="18"/>
              </w:numPr>
              <w:tabs>
                <w:tab w:val="left" w:pos="700"/>
              </w:tabs>
              <w:spacing w:before="120" w:after="120"/>
              <w:jc w:val="both"/>
              <w:rPr>
                <w:rFonts w:ascii="Times New Roman" w:hAnsi="Times New Roman" w:cs="Times New Roman"/>
                <w:sz w:val="18"/>
                <w:szCs w:val="18"/>
              </w:rPr>
            </w:pPr>
            <w:r w:rsidRPr="00A11CC5">
              <w:rPr>
                <w:rFonts w:ascii="Times New Roman" w:hAnsi="Times New Roman" w:cs="Times New Roman"/>
                <w:sz w:val="18"/>
                <w:szCs w:val="18"/>
              </w:rPr>
              <w:t>Colný úrad Bratislava vydá povolenie na nákup vína oslobodeného od dane v daňovom sklade pre zahraničných zástupcov do 15 dní odo dňa podania žiadosti o vydanie povolenia na nákup vína oslobodeného od dane v daňovom sklade pre zahraničných zástupcov, v ktorom uvedie identifikačné údaje žiadateľa, jeho postavenie podľa odseku 2 a   ročný limit na nákup vína oslobodeného od dane v daňovom sklade pre zahraničných zástupcov, a to v rozsahu podľa odsekov 12 a 13. Prílohou povolenia na nákup vína oslobodeného od dane v daňovom sklade pre zahraničných zástupcov je odpisový list, ktorý sa vydáva pre jednotlivé kalendárne roky. Ak právnická osoba alebo fyzická osoba už požiadala o vydanie povolenia na nákup vína oslobodeného od dane v daňovom sklade pre zahraničných zástupcov podľa osobitného predpisu,</w:t>
            </w:r>
            <w:r w:rsidRPr="00A11CC5">
              <w:rPr>
                <w:rFonts w:ascii="Times New Roman" w:hAnsi="Times New Roman" w:cs="Times New Roman"/>
                <w:sz w:val="18"/>
                <w:szCs w:val="18"/>
                <w:vertAlign w:val="superscript"/>
              </w:rPr>
              <w:t>26)</w:t>
            </w:r>
            <w:r w:rsidRPr="00A11CC5">
              <w:rPr>
                <w:rFonts w:ascii="Times New Roman" w:hAnsi="Times New Roman" w:cs="Times New Roman"/>
                <w:sz w:val="18"/>
                <w:szCs w:val="18"/>
              </w:rPr>
              <w:t xml:space="preserve"> možno vydať jedno povolenie pre všetky tovary podliehajúce spotrebným daniam podľa osobitného predpisu</w:t>
            </w:r>
            <w:r w:rsidRPr="00A11CC5">
              <w:rPr>
                <w:rFonts w:ascii="Times New Roman" w:hAnsi="Times New Roman" w:cs="Times New Roman"/>
                <w:sz w:val="18"/>
                <w:szCs w:val="18"/>
                <w:vertAlign w:val="superscript"/>
              </w:rPr>
              <w:t>26)</w:t>
            </w:r>
            <w:r w:rsidRPr="00A11CC5">
              <w:rPr>
                <w:rFonts w:ascii="Times New Roman" w:hAnsi="Times New Roman" w:cs="Times New Roman"/>
                <w:sz w:val="18"/>
                <w:szCs w:val="18"/>
              </w:rPr>
              <w:t>, prílohou ktorého sú  odpisové listy pre jednotlivé predmety spotrebnej dane podľa osobitného predpisu</w:t>
            </w:r>
            <w:r w:rsidRPr="00A11CC5">
              <w:rPr>
                <w:rFonts w:ascii="Times New Roman" w:hAnsi="Times New Roman" w:cs="Times New Roman"/>
                <w:sz w:val="18"/>
                <w:szCs w:val="18"/>
                <w:vertAlign w:val="superscript"/>
              </w:rPr>
              <w:t>26)</w:t>
            </w:r>
            <w:r w:rsidRPr="00A11CC5">
              <w:rPr>
                <w:rFonts w:ascii="Times New Roman" w:hAnsi="Times New Roman" w:cs="Times New Roman"/>
                <w:sz w:val="18"/>
                <w:szCs w:val="18"/>
              </w:rPr>
              <w:t xml:space="preserve">.  Ak sa zmenia skutočnosti a údaje podľa odseku 7, Colný úrad Bratislava s prihliadnutím na rozsah a závažnosť zmien doplní  pôvodné povolenie na nákup vína oslobodeného od dane v daňovom sklade pre zahraničných zástupcov alebo vydá nové povolenie na nákup vína oslobodeného od dane v daňovom sklade pre zahraničných zástupcov. Ak zahraničnému zástupcovi zanikne nárok nakupovať víno oslobodené od dane v daňovom sklade pre zahraničných zástupcov, je povinný najneskôr do 15 dní odo dňa zániku tohto nároku odovzdať Colnému úradu Bratislava povolenie na nákup vína oslobodeného od dane v daňovom sklade pre zahraničných zástupcov vrátane odpisového listu.   </w:t>
            </w:r>
          </w:p>
          <w:p w:rsidR="00A11CC5" w:rsidRPr="00A11CC5" w:rsidP="00A11CC5">
            <w:pPr>
              <w:pStyle w:val="Popisparagrafu"/>
              <w:numPr>
                <w:ilvl w:val="0"/>
                <w:numId w:val="18"/>
              </w:numPr>
              <w:tabs>
                <w:tab w:val="left" w:pos="700"/>
                <w:tab w:val="left" w:pos="900"/>
              </w:tabs>
              <w:spacing w:before="120" w:after="120"/>
              <w:jc w:val="both"/>
              <w:rPr>
                <w:rFonts w:ascii="Times New Roman" w:hAnsi="Times New Roman" w:cs="Times New Roman"/>
                <w:sz w:val="18"/>
                <w:szCs w:val="18"/>
                <w:lang w:val="sk-SK"/>
              </w:rPr>
            </w:pPr>
            <w:r w:rsidRPr="00A11CC5">
              <w:rPr>
                <w:rFonts w:ascii="Times New Roman" w:hAnsi="Times New Roman" w:cs="Times New Roman"/>
                <w:sz w:val="18"/>
                <w:szCs w:val="18"/>
                <w:lang w:val="sk-SK"/>
              </w:rPr>
              <w:t xml:space="preserve">Colný úrad Bratislava vydá povolenie na nákup vína oslobodeného od dane v daňovom sklade pre zahraničných zástupcov vrátane odpisového listu v dvoch vyhotoveniach; jedno vyhotovenie pre Colný úrad Bratislava a jedno vyhotovenie pre zahraničného zástupcu. Colný úrad Bratislava v odpisovom liste uvedie ročný limit na nákup vína oslobodeného od dane v daňovom sklade pre zahraničných zástupcov, a to v rozsahu podľa odsekov 12 a 13, alebo jeho pomernú časť prislúchajúcu dĺžke obdobia zostávajúceho do konca kalendárneho roka v prípade, ak osoba iného štátu získa postavenie zahraničného zástupcu v priebehu kalendárneho roka. Pri výpočte </w:t>
            </w:r>
            <w:r w:rsidRPr="00A11CC5">
              <w:rPr>
                <w:rFonts w:ascii="Times New Roman" w:hAnsi="Times New Roman" w:cs="Times New Roman"/>
                <w:sz w:val="18"/>
                <w:szCs w:val="18"/>
              </w:rPr>
              <w:t xml:space="preserve">pomernej časti ročného limitu </w:t>
            </w:r>
            <w:r w:rsidRPr="00A11CC5">
              <w:rPr>
                <w:rFonts w:ascii="Times New Roman" w:hAnsi="Times New Roman" w:cs="Times New Roman"/>
                <w:sz w:val="18"/>
                <w:szCs w:val="18"/>
                <w:lang w:val="sk-SK"/>
              </w:rPr>
              <w:t xml:space="preserve">sa zohľadňuje počet zostávajúcich kalendárnych mesiacov do konca kalendárneho roka vrátane začatých kalendárnych mesiacov. Nevyčerpaný limit alebo jeho časť je neprenosná do nasledujúceho kalendárneho roka. Zahraničný zástupca odovzdá Colnému úradu Bratislava odpisový list pre príslušný kalendárny rok do 31. januára nasledujúceho kalendárneho roka. </w:t>
            </w:r>
            <w:r w:rsidRPr="00A11CC5">
              <w:rPr>
                <w:rFonts w:ascii="Times New Roman" w:hAnsi="Times New Roman" w:cs="Times New Roman"/>
                <w:sz w:val="18"/>
                <w:szCs w:val="18"/>
              </w:rPr>
              <w:t xml:space="preserve">Colný úrad Bratislava vydá odpisový list raz </w:t>
            </w:r>
            <w:r w:rsidRPr="00A11CC5">
              <w:rPr>
                <w:rFonts w:ascii="Times New Roman" w:hAnsi="Times New Roman" w:cs="Times New Roman"/>
                <w:sz w:val="18"/>
                <w:szCs w:val="18"/>
                <w:lang w:val="sk-SK"/>
              </w:rPr>
              <w:t>ročne na nasledujúci kalendárny rok na základe žiadosti zahraničného zástupcu.</w:t>
            </w:r>
          </w:p>
          <w:p w:rsidR="00A11CC5" w:rsidRPr="00A11CC5" w:rsidP="00A11CC5">
            <w:pPr>
              <w:pStyle w:val="Popisparagrafu"/>
              <w:numPr>
                <w:ilvl w:val="0"/>
                <w:numId w:val="18"/>
              </w:numPr>
              <w:tabs>
                <w:tab w:val="left" w:pos="700"/>
                <w:tab w:val="left" w:pos="900"/>
              </w:tabs>
              <w:spacing w:before="120" w:after="120"/>
              <w:jc w:val="both"/>
              <w:rPr>
                <w:rFonts w:ascii="Times New Roman" w:hAnsi="Times New Roman" w:cs="Times New Roman"/>
                <w:sz w:val="18"/>
                <w:szCs w:val="18"/>
                <w:lang w:val="sk-SK"/>
              </w:rPr>
            </w:pPr>
            <w:r w:rsidRPr="00A11CC5">
              <w:rPr>
                <w:rFonts w:ascii="Times New Roman" w:hAnsi="Times New Roman" w:cs="Times New Roman"/>
                <w:sz w:val="18"/>
                <w:szCs w:val="18"/>
                <w:lang w:val="sk-SK"/>
              </w:rPr>
              <w:t>Zahraničný zástupca je povinný pri každom nákupe vína v daňovom sklade pre zahraničných zástupcov predložiť povolenie na nákup vína oslobodeného od dane v daňovom sklade pre zahraničných zástupcov a odpisový list. Prevádzkovateľ daňového skladu pre zahraničných zástupcov zaznamená v odpisovom liste množstvo zakúpeného vína v litroch a ponechá si kópiu povolenia na nákup vína oslobodeného od dane v daňovom sklade pre zahraničných zástupcov a kópiu odpisového listu.</w:t>
            </w:r>
          </w:p>
          <w:p w:rsidR="00A11CC5" w:rsidRPr="00A11CC5" w:rsidP="00A11CC5">
            <w:pPr>
              <w:pStyle w:val="Popisparagrafu"/>
              <w:numPr>
                <w:ilvl w:val="0"/>
                <w:numId w:val="18"/>
              </w:numPr>
              <w:tabs>
                <w:tab w:val="left" w:pos="700"/>
                <w:tab w:val="left" w:pos="900"/>
              </w:tabs>
              <w:spacing w:before="120" w:after="120"/>
              <w:jc w:val="both"/>
              <w:rPr>
                <w:rFonts w:ascii="Times New Roman" w:hAnsi="Times New Roman" w:cs="Times New Roman"/>
                <w:sz w:val="18"/>
                <w:szCs w:val="18"/>
                <w:lang w:val="sk-SK"/>
              </w:rPr>
            </w:pPr>
            <w:r w:rsidRPr="00A11CC5">
              <w:rPr>
                <w:rFonts w:ascii="Times New Roman" w:hAnsi="Times New Roman" w:cs="Times New Roman"/>
                <w:sz w:val="18"/>
                <w:szCs w:val="18"/>
                <w:lang w:val="sk-SK"/>
              </w:rPr>
              <w:t xml:space="preserve">Zahraničný zástupca uvedený v odseku 2 písm. a) a b) môže nakúpiť za kalendárny rok víno </w:t>
            </w:r>
            <w:r w:rsidRPr="00A11CC5">
              <w:rPr>
                <w:rFonts w:ascii="Times New Roman" w:hAnsi="Times New Roman" w:cs="Times New Roman"/>
                <w:iCs/>
                <w:sz w:val="18"/>
                <w:szCs w:val="18"/>
                <w:lang w:val="sk-SK"/>
              </w:rPr>
              <w:t>najviac v množstve 2 000 litrov vína. Do li</w:t>
            </w:r>
            <w:r w:rsidR="001C5B83">
              <w:rPr>
                <w:rFonts w:ascii="Times New Roman" w:hAnsi="Times New Roman" w:cs="Times New Roman"/>
                <w:iCs/>
                <w:sz w:val="18"/>
                <w:szCs w:val="18"/>
                <w:lang w:val="sk-SK"/>
              </w:rPr>
              <w:t>mitu sa nezapočítava tiché víno</w:t>
            </w:r>
            <w:r w:rsidRPr="00A11CC5">
              <w:rPr>
                <w:rFonts w:ascii="Times New Roman" w:hAnsi="Times New Roman" w:cs="Times New Roman"/>
                <w:iCs/>
                <w:sz w:val="18"/>
                <w:szCs w:val="18"/>
                <w:lang w:val="sk-SK"/>
              </w:rPr>
              <w:t>.</w:t>
            </w:r>
          </w:p>
          <w:p w:rsidR="00A11CC5" w:rsidRPr="00A11CC5" w:rsidP="00A11CC5">
            <w:pPr>
              <w:pStyle w:val="Popisparagrafu"/>
              <w:numPr>
                <w:ilvl w:val="0"/>
                <w:numId w:val="18"/>
              </w:numPr>
              <w:tabs>
                <w:tab w:val="left" w:pos="700"/>
                <w:tab w:val="left" w:pos="900"/>
              </w:tabs>
              <w:spacing w:before="120" w:after="120"/>
              <w:jc w:val="both"/>
              <w:rPr>
                <w:rFonts w:ascii="Times New Roman" w:hAnsi="Times New Roman" w:cs="Times New Roman"/>
                <w:sz w:val="18"/>
                <w:szCs w:val="18"/>
                <w:lang w:val="sk-SK"/>
              </w:rPr>
            </w:pPr>
            <w:r w:rsidRPr="00A11CC5">
              <w:rPr>
                <w:rFonts w:ascii="Times New Roman" w:hAnsi="Times New Roman" w:cs="Times New Roman"/>
                <w:sz w:val="18"/>
                <w:szCs w:val="18"/>
                <w:lang w:val="sk-SK"/>
              </w:rPr>
              <w:t xml:space="preserve">Zahraničný zástupca uvedený v odseku 2 písm. c) až g) môže nakúpiť na osobnú spotrebu </w:t>
            </w:r>
            <w:r w:rsidRPr="00A11CC5">
              <w:rPr>
                <w:rFonts w:ascii="Times New Roman" w:hAnsi="Times New Roman" w:cs="Times New Roman"/>
                <w:iCs/>
                <w:sz w:val="18"/>
                <w:szCs w:val="18"/>
                <w:lang w:val="sk-SK"/>
              </w:rPr>
              <w:t>za kalendárny rok víno najviac v množstve 500 litrov vína. Do limitu sa nezapočítava tiché víno.</w:t>
            </w:r>
          </w:p>
          <w:p w:rsidR="00A11CC5" w:rsidRPr="00A11CC5" w:rsidP="00A11CC5">
            <w:pPr>
              <w:pStyle w:val="Popisparagrafu"/>
              <w:numPr>
                <w:ilvl w:val="0"/>
                <w:numId w:val="18"/>
              </w:numPr>
              <w:tabs>
                <w:tab w:val="left" w:pos="700"/>
                <w:tab w:val="left" w:pos="851"/>
              </w:tabs>
              <w:spacing w:before="120" w:after="120"/>
              <w:jc w:val="both"/>
              <w:rPr>
                <w:rFonts w:ascii="Times New Roman" w:hAnsi="Times New Roman" w:cs="Times New Roman"/>
                <w:sz w:val="18"/>
                <w:szCs w:val="18"/>
                <w:lang w:val="sk-SK"/>
              </w:rPr>
            </w:pPr>
            <w:r w:rsidRPr="00A11CC5">
              <w:rPr>
                <w:rFonts w:ascii="Times New Roman" w:hAnsi="Times New Roman" w:cs="Times New Roman"/>
                <w:sz w:val="18"/>
                <w:szCs w:val="18"/>
                <w:lang w:val="sk-SK"/>
              </w:rPr>
              <w:t>Povolenie na nákup vína oslobodeného od dane v daňovom sklade pre zahraničných zástupcov Colný úrad Bratislava vydá v rozsahu podľa  odsekov 12 a 13 len zahraničným zástupcom tých štátov, ktoré poskytujú obdobné zvýhodnenie alebo vracajú daň občanom  Slovenskej republiky, ak požívajú výsady a imunity podľa medzinárodnej zmluvy</w:t>
            </w:r>
            <w:r w:rsidRPr="00A11CC5">
              <w:rPr>
                <w:rFonts w:ascii="Times New Roman" w:hAnsi="Times New Roman" w:cs="Times New Roman"/>
                <w:sz w:val="18"/>
                <w:szCs w:val="18"/>
                <w:vertAlign w:val="superscript"/>
                <w:lang w:val="sk-SK"/>
              </w:rPr>
              <w:t>26a)</w:t>
            </w:r>
            <w:r w:rsidRPr="00A11CC5">
              <w:rPr>
                <w:rFonts w:ascii="Times New Roman" w:hAnsi="Times New Roman" w:cs="Times New Roman"/>
                <w:sz w:val="18"/>
                <w:szCs w:val="18"/>
                <w:lang w:val="sk-SK"/>
              </w:rPr>
              <w:t xml:space="preserve"> (ďalej len „slovenský zástupca“). Vzájomnosť sa nevzťahuje na medzinárodné organizácie a ich úradníkov.</w:t>
            </w:r>
          </w:p>
          <w:p w:rsidR="00A11CC5" w:rsidRPr="00A11CC5" w:rsidP="00A11CC5">
            <w:pPr>
              <w:pStyle w:val="Popisparagrafu"/>
              <w:numPr>
                <w:ilvl w:val="0"/>
                <w:numId w:val="18"/>
              </w:numPr>
              <w:tabs>
                <w:tab w:val="left" w:pos="700"/>
                <w:tab w:val="left" w:pos="851"/>
              </w:tabs>
              <w:spacing w:before="120" w:after="120"/>
              <w:jc w:val="both"/>
              <w:rPr>
                <w:rFonts w:ascii="Times New Roman" w:hAnsi="Times New Roman" w:cs="Times New Roman"/>
                <w:sz w:val="18"/>
                <w:szCs w:val="18"/>
                <w:lang w:val="sk-SK"/>
              </w:rPr>
            </w:pPr>
            <w:r w:rsidRPr="00A11CC5">
              <w:rPr>
                <w:rFonts w:ascii="Times New Roman" w:hAnsi="Times New Roman" w:cs="Times New Roman"/>
                <w:sz w:val="18"/>
                <w:szCs w:val="18"/>
                <w:lang w:val="sk-SK"/>
              </w:rPr>
              <w:t>Ak iný štát neposkytuje obdobné zvýhodnenie alebo nevracia daň  slovenským zástupcom</w:t>
            </w:r>
            <w:r w:rsidRPr="00A11CC5">
              <w:rPr>
                <w:rFonts w:ascii="Times New Roman" w:hAnsi="Times New Roman" w:cs="Times New Roman"/>
                <w:sz w:val="18"/>
                <w:szCs w:val="18"/>
                <w:vertAlign w:val="superscript"/>
                <w:lang w:val="sk-SK"/>
              </w:rPr>
              <w:t xml:space="preserve"> </w:t>
            </w:r>
            <w:r w:rsidRPr="00A11CC5">
              <w:rPr>
                <w:rFonts w:ascii="Times New Roman" w:hAnsi="Times New Roman" w:cs="Times New Roman"/>
                <w:sz w:val="18"/>
                <w:szCs w:val="18"/>
                <w:lang w:val="sk-SK"/>
              </w:rPr>
              <w:t xml:space="preserve">podľa odseku 14, neprizná sa zahraničným zástupcom tohto štátu oslobodenie od dane. </w:t>
            </w:r>
          </w:p>
          <w:p w:rsidR="00A11CC5" w:rsidRPr="00A11CC5" w:rsidP="00A11CC5">
            <w:pPr>
              <w:pStyle w:val="Popisparagrafu"/>
              <w:numPr>
                <w:ilvl w:val="0"/>
                <w:numId w:val="18"/>
              </w:numPr>
              <w:tabs>
                <w:tab w:val="left" w:pos="700"/>
                <w:tab w:val="left" w:pos="851"/>
              </w:tabs>
              <w:spacing w:before="120" w:after="120"/>
              <w:jc w:val="both"/>
              <w:rPr>
                <w:rFonts w:ascii="Times New Roman" w:hAnsi="Times New Roman" w:cs="Times New Roman"/>
                <w:sz w:val="18"/>
                <w:szCs w:val="18"/>
                <w:lang w:val="sk-SK"/>
              </w:rPr>
            </w:pPr>
            <w:r w:rsidRPr="00A11CC5">
              <w:rPr>
                <w:rFonts w:ascii="Times New Roman" w:hAnsi="Times New Roman" w:cs="Times New Roman"/>
                <w:sz w:val="18"/>
                <w:szCs w:val="18"/>
                <w:lang w:val="sk-SK"/>
              </w:rPr>
              <w:t xml:space="preserve">Prevádzkovateľ daňového skladu, ktorému bolo vydané povolenie na prevádzkovanie daňového skladu podľa § 17 a ktorý chce predávať víno oslobodené od dane zahraničným zástupcom, musí písomne požiadať colný úrad o doplnenie povolenia na prevádzkovanie daňového skladu o povolenie na prevádzkovanie daňového skladu pre zahraničných zástupcov. V žiadosti o doplnenie povolenia na prevádzkovanie daňového skladu o povolenie na prevádzkovanie daňového skladu pre zahraničných zástupcov žiadateľ uvedie údaje podľa § 17 ods. 1. Prevádzkovateľ daňového skladu je povinný pred doplnením povolenia na prevádzkovanie daňového skladu o povolenie na prevádzkovanie daňového skladu pre zahraničných zástupcov zložiť zábezpeku na daň vo výške dane pripadajúcej na predpokladané priemerné mesačné množstvo predaného vína v daňovom sklade pre zahraničných zástupcov. Zloženie zábezpeky na daň na víno predané v daňovom sklade pre zahraničných zástupcov sa nevyžaduje, ak zábezpeka na daň podľa § 18 ods. 1 je zložená v takej výške, že pokrýva i zábezpeku na daň na víno, ktoré sa má predať v daňovom sklade pre zahraničných zástupcov. </w:t>
            </w:r>
          </w:p>
          <w:p w:rsidR="00A11CC5" w:rsidRPr="00A11CC5" w:rsidP="00A11CC5">
            <w:pPr>
              <w:pStyle w:val="Popisparagrafu"/>
              <w:numPr>
                <w:ilvl w:val="0"/>
                <w:numId w:val="18"/>
              </w:numPr>
              <w:tabs>
                <w:tab w:val="left" w:pos="700"/>
                <w:tab w:val="left" w:pos="851"/>
              </w:tabs>
              <w:spacing w:before="120" w:after="120"/>
              <w:jc w:val="both"/>
              <w:rPr>
                <w:rFonts w:ascii="Times New Roman" w:hAnsi="Times New Roman" w:cs="Times New Roman"/>
                <w:sz w:val="18"/>
                <w:szCs w:val="18"/>
                <w:lang w:val="sk-SK"/>
              </w:rPr>
            </w:pPr>
            <w:r w:rsidRPr="00A11CC5">
              <w:rPr>
                <w:rFonts w:ascii="Times New Roman" w:hAnsi="Times New Roman" w:cs="Times New Roman"/>
                <w:sz w:val="18"/>
                <w:szCs w:val="18"/>
                <w:lang w:val="sk-SK"/>
              </w:rPr>
              <w:t xml:space="preserve">Colný úrad preverí u žiadateľa skutočnosti a údaje podľa odsekov 16 a 18 a doplní povolenie na prevádzkovanie daňového skladu o povolenie na prevádzkovanie daňového skladu pre zahraničných zástupcov do 30 dní odo dňa podania žiadosti; colný úrad, ktorý doplnil povolenie  na prevádzkovanie daňového skladu o povolenie na prevádzkovanie daňového skladu pre zahraničných zástupcov, oznámi bezodkladne túto skutočnosť Colnému úradu Bratislava.  Ak žiadateľ v tejto lehote nepreukáže splnenie všetkých podmienok, colný úrad ho vyzve, aby uvedené nedostatky odstránil, a doplní povolenie na prevádzkovanie daňového skladu o povolenie na prevádzkovanie daňového skladu pre zahraničných zástupcov do 15 dní odo dňa odstránenia nedostatkov. </w:t>
            </w:r>
          </w:p>
          <w:p w:rsidR="00A11CC5" w:rsidRPr="00A11CC5" w:rsidP="00A11CC5">
            <w:pPr>
              <w:pStyle w:val="Popisparagrafu"/>
              <w:numPr>
                <w:ilvl w:val="0"/>
                <w:numId w:val="18"/>
              </w:numPr>
              <w:tabs>
                <w:tab w:val="left" w:pos="700"/>
                <w:tab w:val="left" w:pos="851"/>
              </w:tabs>
              <w:spacing w:before="120"/>
              <w:jc w:val="both"/>
              <w:rPr>
                <w:rFonts w:ascii="Times New Roman" w:hAnsi="Times New Roman" w:cs="Times New Roman"/>
                <w:sz w:val="18"/>
                <w:szCs w:val="18"/>
                <w:lang w:val="sk-SK"/>
              </w:rPr>
            </w:pPr>
            <w:r w:rsidRPr="00A11CC5">
              <w:rPr>
                <w:rFonts w:ascii="Times New Roman" w:hAnsi="Times New Roman" w:cs="Times New Roman"/>
                <w:sz w:val="18"/>
                <w:szCs w:val="18"/>
                <w:lang w:val="sk-SK"/>
              </w:rPr>
              <w:t>Prevádzkovateľ daňového skladu pre zahraničných zástupcov môže predávať víno oslobodené od dane výlučne zahraničným zástupcom, ktorým Colný úrad Bratislava vydal povolenie na nákup vína oslobodeného od dane v daňovom sklade pre zahraničných zástupcov. Prevádzkovateľ daňového skladu pre zahraničných zástupcov je povinný viesť evidenciu kópií povolení na nákup vína oslobodeného od dane v daňovom sklade pre zahraničných zástupcov a kópií odpisových listov a  zabezpečiť</w:t>
            </w:r>
          </w:p>
          <w:p w:rsidR="00A11CC5" w:rsidRPr="00A11CC5" w:rsidP="00A11CC5">
            <w:pPr>
              <w:pStyle w:val="Zkladntext"/>
              <w:numPr>
                <w:ilvl w:val="0"/>
                <w:numId w:val="20"/>
              </w:numPr>
              <w:tabs>
                <w:tab w:val="left" w:pos="363"/>
              </w:tabs>
              <w:jc w:val="both"/>
              <w:rPr>
                <w:rFonts w:ascii="Times New Roman" w:hAnsi="Times New Roman" w:cs="Times New Roman"/>
                <w:sz w:val="18"/>
                <w:szCs w:val="18"/>
              </w:rPr>
            </w:pPr>
            <w:r w:rsidRPr="00A11CC5">
              <w:rPr>
                <w:rFonts w:ascii="Times New Roman" w:hAnsi="Times New Roman" w:cs="Times New Roman"/>
                <w:sz w:val="18"/>
                <w:szCs w:val="18"/>
              </w:rPr>
              <w:t>skladovanie a predaj vína oslobodeného od dane zahraničným zástupcom výlučne v daňovom sklade pre zahraničných zástupcov,</w:t>
            </w:r>
          </w:p>
          <w:p w:rsidR="00A11CC5" w:rsidRPr="00A11CC5" w:rsidP="00A11CC5">
            <w:pPr>
              <w:pStyle w:val="Zkladntext"/>
              <w:numPr>
                <w:ilvl w:val="0"/>
                <w:numId w:val="20"/>
              </w:numPr>
              <w:tabs>
                <w:tab w:val="left" w:pos="363"/>
              </w:tabs>
              <w:jc w:val="both"/>
              <w:rPr>
                <w:rFonts w:ascii="Times New Roman" w:hAnsi="Times New Roman" w:cs="Times New Roman"/>
                <w:sz w:val="18"/>
                <w:szCs w:val="18"/>
              </w:rPr>
            </w:pPr>
            <w:r w:rsidRPr="00A11CC5">
              <w:rPr>
                <w:rFonts w:ascii="Times New Roman" w:hAnsi="Times New Roman" w:cs="Times New Roman"/>
                <w:sz w:val="18"/>
                <w:szCs w:val="18"/>
              </w:rPr>
              <w:t>vedenie evidencie, v ktorej uvedie najmä</w:t>
            </w:r>
          </w:p>
          <w:p w:rsidR="00A11CC5" w:rsidRPr="00A11CC5" w:rsidP="00A11CC5">
            <w:pPr>
              <w:pStyle w:val="Zkladntext"/>
              <w:numPr>
                <w:ilvl w:val="1"/>
                <w:numId w:val="20"/>
              </w:numPr>
              <w:tabs>
                <w:tab w:val="left" w:pos="1064"/>
                <w:tab w:val="clear" w:pos="1440"/>
              </w:tabs>
              <w:jc w:val="both"/>
              <w:rPr>
                <w:rFonts w:ascii="Times New Roman" w:hAnsi="Times New Roman" w:cs="Times New Roman"/>
                <w:sz w:val="18"/>
                <w:szCs w:val="18"/>
              </w:rPr>
            </w:pPr>
            <w:r w:rsidRPr="00A11CC5">
              <w:rPr>
                <w:rFonts w:ascii="Times New Roman" w:hAnsi="Times New Roman" w:cs="Times New Roman"/>
                <w:sz w:val="18"/>
                <w:szCs w:val="18"/>
              </w:rPr>
              <w:t xml:space="preserve">množstvo prijatého vína v litroch členené na tiché víno, šumivé víno a medziprodukty, </w:t>
            </w:r>
          </w:p>
          <w:p w:rsidR="00A11CC5" w:rsidRPr="00A11CC5" w:rsidP="00A11CC5">
            <w:pPr>
              <w:pStyle w:val="Zkladntext"/>
              <w:numPr>
                <w:ilvl w:val="1"/>
                <w:numId w:val="20"/>
              </w:numPr>
              <w:tabs>
                <w:tab w:val="left" w:pos="1440"/>
              </w:tabs>
              <w:jc w:val="both"/>
              <w:rPr>
                <w:rFonts w:ascii="Times New Roman" w:hAnsi="Times New Roman" w:cs="Times New Roman"/>
                <w:sz w:val="18"/>
                <w:szCs w:val="18"/>
              </w:rPr>
            </w:pPr>
            <w:r w:rsidRPr="00A11CC5">
              <w:rPr>
                <w:rFonts w:ascii="Times New Roman" w:hAnsi="Times New Roman" w:cs="Times New Roman"/>
                <w:sz w:val="18"/>
                <w:szCs w:val="18"/>
              </w:rPr>
              <w:t>množstvo predaného vína v litroch členené podľa  zahraničných zástupcov a množstvo predaného vína v litroch od začiatku kalendárneho roka, v členení na tiché víno, šumivé víno a medziprodukty,</w:t>
            </w:r>
          </w:p>
          <w:p w:rsidR="00A11CC5" w:rsidRPr="00A11CC5" w:rsidP="00A11CC5">
            <w:pPr>
              <w:pStyle w:val="Zkladntext"/>
              <w:numPr>
                <w:ilvl w:val="1"/>
                <w:numId w:val="20"/>
              </w:numPr>
              <w:tabs>
                <w:tab w:val="left" w:pos="1440"/>
              </w:tabs>
              <w:jc w:val="both"/>
              <w:rPr>
                <w:rFonts w:ascii="Times New Roman" w:hAnsi="Times New Roman" w:cs="Times New Roman"/>
                <w:sz w:val="18"/>
                <w:szCs w:val="18"/>
              </w:rPr>
            </w:pPr>
            <w:r w:rsidRPr="00A11CC5">
              <w:rPr>
                <w:rFonts w:ascii="Times New Roman" w:hAnsi="Times New Roman" w:cs="Times New Roman"/>
                <w:sz w:val="18"/>
                <w:szCs w:val="18"/>
              </w:rPr>
              <w:t>stav zásob vína v litroch členené na tiché víno, šumivé víno a medziprodukty.</w:t>
            </w:r>
          </w:p>
          <w:p w:rsidR="00A11CC5" w:rsidRPr="00A11CC5" w:rsidP="00A11CC5">
            <w:pPr>
              <w:pStyle w:val="Popisparagrafu"/>
              <w:numPr>
                <w:ilvl w:val="0"/>
                <w:numId w:val="18"/>
              </w:numPr>
              <w:tabs>
                <w:tab w:val="left" w:pos="700"/>
                <w:tab w:val="left" w:pos="851"/>
              </w:tabs>
              <w:spacing w:before="120"/>
              <w:jc w:val="both"/>
              <w:rPr>
                <w:rFonts w:ascii="Times New Roman" w:hAnsi="Times New Roman" w:cs="Times New Roman"/>
                <w:sz w:val="18"/>
                <w:szCs w:val="18"/>
                <w:lang w:val="sk-SK"/>
              </w:rPr>
            </w:pPr>
            <w:r w:rsidRPr="00A11CC5">
              <w:rPr>
                <w:rFonts w:ascii="Times New Roman" w:hAnsi="Times New Roman" w:cs="Times New Roman"/>
                <w:sz w:val="18"/>
                <w:szCs w:val="18"/>
                <w:lang w:val="sk-SK"/>
              </w:rPr>
              <w:t xml:space="preserve">Prevádzkovateľ daňového skladu pre zahraničných zástupcov je povinný oznámiť Colnému úradu Bratislava najneskôr do 15. dňa kalendárneho mesiaca podľa zahraničných zástupcov </w:t>
            </w:r>
          </w:p>
          <w:p w:rsidR="00A11CC5" w:rsidRPr="00A11CC5" w:rsidP="00A11CC5">
            <w:pPr>
              <w:numPr>
                <w:ilvl w:val="0"/>
                <w:numId w:val="21"/>
              </w:numPr>
              <w:tabs>
                <w:tab w:val="left" w:pos="360"/>
                <w:tab w:val="clear" w:pos="720"/>
              </w:tabs>
              <w:overflowPunct w:val="0"/>
              <w:autoSpaceDE/>
              <w:autoSpaceDN/>
              <w:spacing w:after="0"/>
              <w:ind w:left="360"/>
              <w:textAlignment w:val="baseline"/>
              <w:rPr>
                <w:rFonts w:ascii="Times New Roman" w:hAnsi="Times New Roman" w:cs="Times New Roman"/>
                <w:sz w:val="18"/>
                <w:szCs w:val="18"/>
              </w:rPr>
            </w:pPr>
            <w:r w:rsidRPr="00A11CC5">
              <w:rPr>
                <w:rFonts w:ascii="Times New Roman" w:hAnsi="Times New Roman" w:cs="Times New Roman"/>
                <w:sz w:val="18"/>
                <w:szCs w:val="18"/>
              </w:rPr>
              <w:t>množstvo predaného vína v litroch, s výnimkou tichého vína, za predchádzajúci kalendárny mesiac a</w:t>
            </w:r>
          </w:p>
          <w:p w:rsidR="00A11CC5" w:rsidRPr="00A11CC5" w:rsidP="00A11CC5">
            <w:pPr>
              <w:numPr>
                <w:ilvl w:val="0"/>
                <w:numId w:val="21"/>
              </w:numPr>
              <w:tabs>
                <w:tab w:val="left" w:pos="360"/>
                <w:tab w:val="clear" w:pos="720"/>
              </w:tabs>
              <w:overflowPunct w:val="0"/>
              <w:autoSpaceDE/>
              <w:autoSpaceDN/>
              <w:spacing w:after="0"/>
              <w:ind w:left="360"/>
              <w:textAlignment w:val="baseline"/>
              <w:rPr>
                <w:rFonts w:ascii="Times New Roman" w:hAnsi="Times New Roman" w:cs="Times New Roman"/>
                <w:sz w:val="18"/>
                <w:szCs w:val="18"/>
              </w:rPr>
            </w:pPr>
            <w:r w:rsidRPr="00A11CC5">
              <w:rPr>
                <w:rFonts w:ascii="Times New Roman" w:hAnsi="Times New Roman" w:cs="Times New Roman"/>
                <w:sz w:val="18"/>
                <w:szCs w:val="18"/>
              </w:rPr>
              <w:t>celkové množstvo predaného vína v litroch, s výnimkou tichého vína, od začiatku kalendárneho roka do konca predchádzajúceho kalendárneho mesiaca.</w:t>
            </w:r>
          </w:p>
          <w:p w:rsidR="00A11CC5" w:rsidRPr="00A11CC5" w:rsidP="00A11CC5">
            <w:pPr>
              <w:pStyle w:val="Popisparagrafu"/>
              <w:numPr>
                <w:ilvl w:val="0"/>
                <w:numId w:val="18"/>
              </w:numPr>
              <w:tabs>
                <w:tab w:val="left" w:pos="700"/>
                <w:tab w:val="left" w:pos="851"/>
              </w:tabs>
              <w:spacing w:before="120" w:after="120"/>
              <w:jc w:val="both"/>
              <w:rPr>
                <w:rFonts w:ascii="Times New Roman" w:hAnsi="Times New Roman" w:cs="Times New Roman"/>
                <w:sz w:val="18"/>
                <w:szCs w:val="18"/>
                <w:lang w:val="sk-SK"/>
              </w:rPr>
            </w:pPr>
            <w:r w:rsidRPr="00A11CC5">
              <w:rPr>
                <w:rFonts w:ascii="Times New Roman" w:hAnsi="Times New Roman" w:cs="Times New Roman"/>
                <w:sz w:val="18"/>
                <w:szCs w:val="18"/>
                <w:lang w:val="sk-SK"/>
              </w:rPr>
              <w:t>Na vedenie evidencie podľa odseku 18 písm. b) sa vz</w:t>
            </w:r>
            <w:r w:rsidR="001C5B83">
              <w:rPr>
                <w:rFonts w:ascii="Times New Roman" w:hAnsi="Times New Roman" w:cs="Times New Roman"/>
                <w:sz w:val="18"/>
                <w:szCs w:val="18"/>
                <w:lang w:val="sk-SK"/>
              </w:rPr>
              <w:t xml:space="preserve">ťahuje § 33 ods. 4 rovnako a  </w:t>
            </w:r>
            <w:r w:rsidRPr="00A11CC5">
              <w:rPr>
                <w:rFonts w:ascii="Times New Roman" w:hAnsi="Times New Roman" w:cs="Times New Roman"/>
                <w:sz w:val="18"/>
                <w:szCs w:val="18"/>
                <w:lang w:val="sk-SK"/>
              </w:rPr>
              <w:t>§ 33 ods. 2 a 3 primerane.</w:t>
            </w:r>
          </w:p>
          <w:p w:rsidR="00A11CC5" w:rsidRPr="00A11CC5" w:rsidP="00A11CC5">
            <w:pPr>
              <w:pStyle w:val="Popisparagrafu"/>
              <w:numPr>
                <w:ilvl w:val="0"/>
                <w:numId w:val="18"/>
              </w:numPr>
              <w:tabs>
                <w:tab w:val="left" w:pos="700"/>
                <w:tab w:val="left" w:pos="851"/>
              </w:tabs>
              <w:spacing w:before="120" w:after="120"/>
              <w:jc w:val="both"/>
              <w:rPr>
                <w:rFonts w:ascii="Times New Roman" w:hAnsi="Times New Roman" w:cs="Times New Roman"/>
                <w:sz w:val="18"/>
                <w:szCs w:val="18"/>
                <w:lang w:val="sk-SK"/>
              </w:rPr>
            </w:pPr>
            <w:r w:rsidRPr="00A11CC5">
              <w:rPr>
                <w:rFonts w:ascii="Times New Roman" w:hAnsi="Times New Roman" w:cs="Times New Roman"/>
                <w:sz w:val="18"/>
                <w:szCs w:val="18"/>
                <w:lang w:val="sk-SK"/>
              </w:rPr>
              <w:t>Na zánik povolenia na prevádzkovanie daňového skladu pre zahraničných zástupcov sa použije § 17 ods. 7 až 11 primerane.</w:t>
            </w:r>
          </w:p>
          <w:p w:rsidR="00D76587" w:rsidRPr="00A11CC5" w:rsidP="00A11CC5">
            <w:pPr>
              <w:pStyle w:val="Popisparagrafu"/>
              <w:numPr>
                <w:ilvl w:val="0"/>
                <w:numId w:val="18"/>
              </w:numPr>
              <w:tabs>
                <w:tab w:val="left" w:pos="700"/>
                <w:tab w:val="left" w:pos="851"/>
              </w:tabs>
              <w:spacing w:before="120" w:after="120"/>
              <w:jc w:val="both"/>
              <w:rPr>
                <w:rFonts w:ascii="Times New Roman" w:hAnsi="Times New Roman" w:cs="Times New Roman"/>
                <w:sz w:val="18"/>
                <w:szCs w:val="18"/>
                <w:lang w:val="sk-SK"/>
              </w:rPr>
            </w:pPr>
            <w:r w:rsidRPr="00A11CC5" w:rsidR="00A11CC5">
              <w:rPr>
                <w:rFonts w:ascii="Times New Roman" w:hAnsi="Times New Roman" w:cs="Times New Roman"/>
                <w:sz w:val="18"/>
                <w:szCs w:val="18"/>
                <w:lang w:val="sk-SK"/>
              </w:rPr>
              <w:t>Prevádzkovateľ daňového skladu pre zahraničných zástupcov môže dodávať slovenskému zástupcovi</w:t>
            </w:r>
            <w:r w:rsidRPr="00A11CC5" w:rsidR="00A11CC5">
              <w:rPr>
                <w:rFonts w:ascii="Times New Roman" w:hAnsi="Times New Roman" w:cs="Times New Roman"/>
                <w:sz w:val="18"/>
                <w:szCs w:val="18"/>
                <w:vertAlign w:val="superscript"/>
                <w:lang w:val="sk-SK"/>
              </w:rPr>
              <w:t xml:space="preserve"> </w:t>
            </w:r>
            <w:r w:rsidRPr="00A11CC5" w:rsidR="00A11CC5">
              <w:rPr>
                <w:rFonts w:ascii="Times New Roman" w:hAnsi="Times New Roman" w:cs="Times New Roman"/>
                <w:sz w:val="18"/>
                <w:szCs w:val="18"/>
                <w:lang w:val="sk-SK"/>
              </w:rPr>
              <w:t xml:space="preserve"> podľa odseku 14 víno v pozastavení dane so sprievodným dokumentom a osvedčením o oslobodení od spotrebnej dane</w:t>
            </w:r>
            <w:r w:rsidRPr="00A11CC5" w:rsidR="00A11CC5">
              <w:rPr>
                <w:rFonts w:ascii="Times New Roman" w:hAnsi="Times New Roman" w:cs="Times New Roman"/>
                <w:sz w:val="18"/>
                <w:szCs w:val="18"/>
                <w:vertAlign w:val="superscript"/>
                <w:lang w:val="sk-SK"/>
              </w:rPr>
              <w:t>10)</w:t>
            </w:r>
            <w:r w:rsidRPr="00A11CC5" w:rsidR="00A11CC5">
              <w:rPr>
                <w:rFonts w:ascii="Times New Roman" w:hAnsi="Times New Roman" w:cs="Times New Roman"/>
                <w:sz w:val="18"/>
                <w:szCs w:val="18"/>
                <w:lang w:val="sk-SK"/>
              </w:rPr>
              <w:t>, ktoré vydal hostiteľský štát. Na takúto prepravu vína sa zábezpeka na daň nevyžaduje.</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76587" w:rsidRPr="00A11CC5">
            <w:pPr>
              <w:pStyle w:val="TABUKA-textsmernice"/>
              <w:rPr>
                <w:rFonts w:ascii="Times New Roman" w:hAnsi="Times New Roman" w:cs="Times New Roman"/>
                <w:sz w:val="18"/>
                <w:szCs w:val="18"/>
              </w:rPr>
            </w:pPr>
            <w:r w:rsidRPr="00A11CC5">
              <w:rPr>
                <w:rFonts w:ascii="Times New Roman" w:hAnsi="Times New Roman" w:cs="Times New Roman"/>
                <w:sz w:val="18"/>
                <w:szCs w:val="18"/>
              </w:rPr>
              <w:t>Ú</w:t>
            </w:r>
          </w:p>
          <w:p w:rsidR="00D76587" w:rsidRPr="00A11CC5">
            <w:pPr>
              <w:pStyle w:val="TABUKA-textsmernice"/>
              <w:rPr>
                <w:rFonts w:ascii="Times New Roman" w:hAnsi="Times New Roman" w:cs="Times New Roman"/>
                <w:sz w:val="18"/>
                <w:szCs w:val="18"/>
              </w:rPr>
            </w:pPr>
          </w:p>
          <w:p w:rsidR="00D76587" w:rsidRPr="00A11CC5">
            <w:pPr>
              <w:pStyle w:val="TABUKA-textsmernice"/>
              <w:rPr>
                <w:rFonts w:ascii="Times New Roman" w:hAnsi="Times New Roman" w:cs="Times New Roman"/>
                <w:sz w:val="18"/>
                <w:szCs w:val="18"/>
              </w:rPr>
            </w:pPr>
          </w:p>
          <w:p w:rsidR="00D76587" w:rsidRPr="00A11CC5">
            <w:pPr>
              <w:pStyle w:val="TABUKA-textsmernice"/>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76587" w:rsidRPr="00A11CC5">
            <w:pPr>
              <w:pStyle w:val="TABUKA-textsmernice"/>
              <w:rPr>
                <w:rFonts w:ascii="Times New Roman" w:hAnsi="Times New Roman" w:cs="Times New Roman"/>
                <w:sz w:val="18"/>
                <w:szCs w:val="18"/>
              </w:rPr>
            </w:pPr>
            <w:r w:rsidRPr="00A11CC5">
              <w:rPr>
                <w:rFonts w:ascii="Times New Roman" w:hAnsi="Times New Roman" w:cs="Times New Roman"/>
                <w:sz w:val="18"/>
                <w:szCs w:val="18"/>
              </w:rPr>
              <w:t>MF SR, daňové orgány, colné orgány.</w:t>
            </w:r>
          </w:p>
          <w:p w:rsidR="00D76587" w:rsidRPr="00A11CC5">
            <w:pPr>
              <w:pStyle w:val="TABUKA-textsmernice"/>
              <w:rPr>
                <w:rFonts w:ascii="Times New Roman" w:hAnsi="Times New Roman" w:cs="Times New Roman"/>
                <w:sz w:val="18"/>
                <w:szCs w:val="18"/>
              </w:rPr>
            </w:pPr>
          </w:p>
          <w:p w:rsidR="00D76587" w:rsidRPr="00A11CC5">
            <w:pPr>
              <w:pStyle w:val="TABUKA-textsmernice"/>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76587" w:rsidRPr="00A11CC5">
            <w:pPr>
              <w:pStyle w:val="TABUKA-textsmernice"/>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76587" w:rsidRPr="00A11CC5">
            <w:pPr>
              <w:pStyle w:val="TABUKA-textsmernice"/>
              <w:rPr>
                <w:rFonts w:ascii="Times New Roman" w:hAnsi="Times New Roman" w:cs="Times New Roman"/>
                <w:sz w:val="18"/>
                <w:szCs w:val="18"/>
              </w:rPr>
            </w:pPr>
          </w:p>
        </w:tc>
      </w:tr>
    </w:tbl>
    <w:p w:rsidR="00A83923" w:rsidRPr="00A11CC5" w:rsidP="004126DB">
      <w:pPr>
        <w:pStyle w:val="TABUKA-textsmernice"/>
        <w:rPr>
          <w:rFonts w:ascii="Times New Roman" w:hAnsi="Times New Roman" w:cs="Times New Roman"/>
          <w:sz w:val="18"/>
          <w:szCs w:val="18"/>
        </w:rPr>
      </w:pPr>
    </w:p>
    <w:sectPr>
      <w:footerReference w:type="even" r:id="rId4"/>
      <w:footerReference w:type="default" r:id="rId5"/>
      <w:pgSz w:w="15840" w:h="12240" w:orient="landscape" w:code="1"/>
      <w:pgMar w:top="851" w:right="851" w:bottom="851" w:left="851" w:header="397" w:footer="397"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587">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D76587">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587">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5B4CDC">
      <w:rPr>
        <w:rStyle w:val="PageNumber"/>
        <w:rFonts w:ascii="Times New Roman" w:hAnsi="Times New Roman" w:cs="Times New Roman"/>
        <w:noProof/>
      </w:rPr>
      <w:t>1</w:t>
    </w:r>
    <w:r>
      <w:rPr>
        <w:rStyle w:val="PageNumber"/>
        <w:rFonts w:ascii="Times New Roman" w:hAnsi="Times New Roman" w:cs="Times New Roman"/>
      </w:rPr>
      <w:fldChar w:fldCharType="end"/>
    </w:r>
  </w:p>
  <w:p w:rsidR="00D76587">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237F"/>
    <w:multiLevelType w:val="hybridMultilevel"/>
    <w:tmpl w:val="DD22F7DE"/>
    <w:lvl w:ilvl="0">
      <w:start w:val="1"/>
      <w:numFmt w:val="none"/>
      <w:lvlText w:val="a)"/>
      <w:lvlJc w:val="left"/>
      <w:pPr>
        <w:tabs>
          <w:tab w:val="num" w:pos="780"/>
        </w:tabs>
        <w:ind w:left="780" w:hanging="360"/>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AD2289"/>
    <w:multiLevelType w:val="hybridMultilevel"/>
    <w:tmpl w:val="97C26A9E"/>
    <w:lvl w:ilvl="0">
      <w:start w:val="1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4C66291"/>
    <w:multiLevelType w:val="hybridMultilevel"/>
    <w:tmpl w:val="8AC87BF8"/>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4DD4740"/>
    <w:multiLevelType w:val="hybridMultilevel"/>
    <w:tmpl w:val="4EBE328C"/>
    <w:lvl w:ilvl="0">
      <w:start w:val="1"/>
      <w:numFmt w:val="lowerLetter"/>
      <w:lvlText w:val="%1"/>
      <w:lvlJc w:val="left"/>
      <w:pPr>
        <w:tabs>
          <w:tab w:val="num" w:pos="780"/>
        </w:tabs>
        <w:ind w:left="780" w:hanging="360"/>
      </w:pPr>
      <w:rPr>
        <w:rFonts w:ascii="Times New Roman" w:hAnsi="Times New Roman" w:cs="Times New Roman"/>
        <w:b w:val="0"/>
        <w:i w:val="0"/>
        <w:sz w:val="18"/>
        <w:szCs w:val="18"/>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859370D"/>
    <w:multiLevelType w:val="hybridMultilevel"/>
    <w:tmpl w:val="A3963088"/>
    <w:lvl w:ilvl="0">
      <w:start w:val="1"/>
      <w:numFmt w:val="lowerLetter"/>
      <w:lvlText w:val="%1)"/>
      <w:lvlJc w:val="left"/>
      <w:pPr>
        <w:tabs>
          <w:tab w:val="num" w:pos="623"/>
        </w:tabs>
        <w:ind w:left="623" w:hanging="340"/>
      </w:pPr>
    </w:lvl>
    <w:lvl w:ilvl="1">
      <w:start w:val="1"/>
      <w:numFmt w:val="lowerLetter"/>
      <w:lvlText w:val="%2)"/>
      <w:lvlJc w:val="left"/>
      <w:pPr>
        <w:tabs>
          <w:tab w:val="num" w:pos="1723"/>
        </w:tabs>
        <w:ind w:left="1723" w:hanging="360"/>
      </w:pPr>
    </w:lvl>
    <w:lvl w:ilvl="2">
      <w:start w:val="1"/>
      <w:numFmt w:val="lowerRoman"/>
      <w:lvlText w:val="%3."/>
      <w:lvlJc w:val="right"/>
      <w:pPr>
        <w:tabs>
          <w:tab w:val="num" w:pos="2443"/>
        </w:tabs>
        <w:ind w:left="2443" w:hanging="180"/>
      </w:pPr>
    </w:lvl>
    <w:lvl w:ilvl="3">
      <w:start w:val="1"/>
      <w:numFmt w:val="decimal"/>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5">
    <w:nsid w:val="24202260"/>
    <w:multiLevelType w:val="multilevel"/>
    <w:tmpl w:val="DD22F7DE"/>
    <w:lvl w:ilvl="0">
      <w:start w:val="1"/>
      <w:numFmt w:val="none"/>
      <w:lvlText w:val="a)"/>
      <w:lvlJc w:val="left"/>
      <w:pPr>
        <w:tabs>
          <w:tab w:val="num" w:pos="780"/>
        </w:tabs>
        <w:ind w:left="780" w:hanging="360"/>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54D36A6"/>
    <w:multiLevelType w:val="multilevel"/>
    <w:tmpl w:val="4EBE328C"/>
    <w:lvl w:ilvl="0">
      <w:start w:val="1"/>
      <w:numFmt w:val="lowerLetter"/>
      <w:lvlText w:val="%1"/>
      <w:lvlJc w:val="left"/>
      <w:pPr>
        <w:tabs>
          <w:tab w:val="num" w:pos="780"/>
        </w:tabs>
        <w:ind w:left="780" w:hanging="360"/>
      </w:pPr>
      <w:rPr>
        <w:rFonts w:ascii="Times New Roman" w:hAnsi="Times New Roman" w:cs="Times New Roman"/>
        <w:b w:val="0"/>
        <w:i w:val="0"/>
        <w:sz w:val="18"/>
        <w:szCs w:val="18"/>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62E6348"/>
    <w:multiLevelType w:val="hybridMultilevel"/>
    <w:tmpl w:val="2ACAF972"/>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63C11CD"/>
    <w:multiLevelType w:val="hybridMultilevel"/>
    <w:tmpl w:val="17300B0E"/>
    <w:lvl w:ilvl="0">
      <w:start w:val="18"/>
      <w:numFmt w:val="lowerLetter"/>
      <w:lvlText w:val="%1)"/>
      <w:lvlJc w:val="left"/>
      <w:pPr>
        <w:tabs>
          <w:tab w:val="num" w:pos="780"/>
        </w:tabs>
        <w:ind w:left="7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8F15062"/>
    <w:multiLevelType w:val="hybridMultilevel"/>
    <w:tmpl w:val="0BF2C156"/>
    <w:lvl w:ilvl="0">
      <w:start w:val="8"/>
      <w:numFmt w:val="lowerLetter"/>
      <w:lvlText w:val="%1)"/>
      <w:lvlJc w:val="left"/>
      <w:pPr>
        <w:tabs>
          <w:tab w:val="num" w:pos="720"/>
        </w:tabs>
        <w:ind w:left="720" w:hanging="360"/>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6B57AB3"/>
    <w:multiLevelType w:val="hybridMultilevel"/>
    <w:tmpl w:val="EEA4C912"/>
    <w:lvl w:ilvl="0">
      <w:start w:val="1"/>
      <w:numFmt w:val="lowerLetter"/>
      <w:lvlText w:val="%1)"/>
      <w:lvlJc w:val="left"/>
      <w:pPr>
        <w:tabs>
          <w:tab w:val="num" w:pos="363"/>
        </w:tabs>
        <w:ind w:left="363" w:hanging="363"/>
      </w:pPr>
    </w:lvl>
    <w:lvl w:ilvl="1">
      <w:start w:val="1"/>
      <w:numFmt w:val="lowerLetter"/>
      <w:lvlText w:val="%2."/>
      <w:lvlJc w:val="left"/>
      <w:pPr>
        <w:tabs>
          <w:tab w:val="num" w:pos="1083"/>
        </w:tabs>
        <w:ind w:left="1083" w:hanging="360"/>
      </w:pPr>
    </w:lvl>
    <w:lvl w:ilvl="2">
      <w:start w:val="1"/>
      <w:numFmt w:val="lowerRoman"/>
      <w:lvlText w:val="%3."/>
      <w:lvlJc w:val="right"/>
      <w:pPr>
        <w:tabs>
          <w:tab w:val="num" w:pos="1803"/>
        </w:tabs>
        <w:ind w:left="1803" w:hanging="180"/>
      </w:pPr>
    </w:lvl>
    <w:lvl w:ilvl="3">
      <w:start w:val="1"/>
      <w:numFmt w:val="decimal"/>
      <w:lvlText w:val="%4."/>
      <w:lvlJc w:val="left"/>
      <w:pPr>
        <w:tabs>
          <w:tab w:val="num" w:pos="2523"/>
        </w:tabs>
        <w:ind w:left="2523" w:hanging="360"/>
      </w:pPr>
    </w:lvl>
    <w:lvl w:ilvl="4">
      <w:start w:val="1"/>
      <w:numFmt w:val="lowerLetter"/>
      <w:lvlText w:val="%5."/>
      <w:lvlJc w:val="left"/>
      <w:pPr>
        <w:tabs>
          <w:tab w:val="num" w:pos="3243"/>
        </w:tabs>
        <w:ind w:left="3243" w:hanging="360"/>
      </w:pPr>
    </w:lvl>
    <w:lvl w:ilvl="5">
      <w:start w:val="1"/>
      <w:numFmt w:val="lowerRoman"/>
      <w:lvlText w:val="%6."/>
      <w:lvlJc w:val="right"/>
      <w:pPr>
        <w:tabs>
          <w:tab w:val="num" w:pos="3963"/>
        </w:tabs>
        <w:ind w:left="3963" w:hanging="180"/>
      </w:pPr>
    </w:lvl>
    <w:lvl w:ilvl="6">
      <w:start w:val="1"/>
      <w:numFmt w:val="decimal"/>
      <w:lvlText w:val="%7."/>
      <w:lvlJc w:val="left"/>
      <w:pPr>
        <w:tabs>
          <w:tab w:val="num" w:pos="4683"/>
        </w:tabs>
        <w:ind w:left="4683" w:hanging="360"/>
      </w:pPr>
    </w:lvl>
    <w:lvl w:ilvl="7">
      <w:start w:val="1"/>
      <w:numFmt w:val="lowerLetter"/>
      <w:lvlText w:val="%8."/>
      <w:lvlJc w:val="left"/>
      <w:pPr>
        <w:tabs>
          <w:tab w:val="num" w:pos="5403"/>
        </w:tabs>
        <w:ind w:left="5403" w:hanging="360"/>
      </w:pPr>
    </w:lvl>
    <w:lvl w:ilvl="8">
      <w:start w:val="1"/>
      <w:numFmt w:val="lowerRoman"/>
      <w:lvlText w:val="%9."/>
      <w:lvlJc w:val="right"/>
      <w:pPr>
        <w:tabs>
          <w:tab w:val="num" w:pos="6123"/>
        </w:tabs>
        <w:ind w:left="6123" w:hanging="180"/>
      </w:pPr>
    </w:lvl>
  </w:abstractNum>
  <w:abstractNum w:abstractNumId="11">
    <w:nsid w:val="397C1365"/>
    <w:multiLevelType w:val="singleLevel"/>
    <w:tmpl w:val="8CA86D90"/>
    <w:lvl w:ilvl="0">
      <w:start w:val="1"/>
      <w:numFmt w:val="lowerLetter"/>
      <w:lvlText w:val="%1)"/>
      <w:legacy w:legacy="1" w:legacySpace="0" w:legacyIndent="360"/>
      <w:lvlJc w:val="left"/>
      <w:pPr>
        <w:ind w:left="360" w:hanging="360"/>
      </w:pPr>
    </w:lvl>
  </w:abstractNum>
  <w:abstractNum w:abstractNumId="12">
    <w:nsid w:val="3AD52A69"/>
    <w:multiLevelType w:val="hybridMultilevel"/>
    <w:tmpl w:val="80F230D0"/>
    <w:lvl w:ilvl="0">
      <w:start w:val="1"/>
      <w:numFmt w:val="lowerLetter"/>
      <w:lvlText w:val="%1)"/>
      <w:lvlJc w:val="left"/>
      <w:pPr>
        <w:tabs>
          <w:tab w:val="num" w:pos="780"/>
        </w:tabs>
        <w:ind w:left="780" w:hanging="360"/>
      </w:pPr>
      <w:rPr>
        <w:rFonts w:ascii="Times New Roman" w:hAnsi="Times New Roman" w:cs="Times New Roman"/>
        <w:b w:val="0"/>
        <w:i w:val="0"/>
        <w:sz w:val="18"/>
        <w:szCs w:val="18"/>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0345C46"/>
    <w:multiLevelType w:val="hybridMultilevel"/>
    <w:tmpl w:val="7A8CD986"/>
    <w:lvl w:ilvl="0">
      <w:start w:val="8"/>
      <w:numFmt w:val="lowerLetter"/>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4">
    <w:nsid w:val="4EAF4D66"/>
    <w:multiLevelType w:val="hybridMultilevel"/>
    <w:tmpl w:val="45E618A6"/>
    <w:lvl w:ilvl="0">
      <w:start w:val="1"/>
      <w:numFmt w:val="lowerLetter"/>
      <w:lvlText w:val="%1)"/>
      <w:lvlJc w:val="left"/>
      <w:pPr>
        <w:tabs>
          <w:tab w:val="num" w:pos="700"/>
        </w:tabs>
        <w:ind w:left="700" w:hanging="340"/>
      </w:pPr>
    </w:lvl>
    <w:lvl w:ilvl="1">
      <w:start w:val="1"/>
      <w:numFmt w:val="decimal"/>
      <w:lvlText w:val="%2."/>
      <w:lvlJc w:val="left"/>
      <w:pPr>
        <w:tabs>
          <w:tab w:val="num" w:pos="1077"/>
        </w:tabs>
        <w:ind w:left="1077" w:hanging="283"/>
      </w:pPr>
    </w:lvl>
    <w:lvl w:ilvl="2">
      <w:start w:val="1"/>
      <w:numFmt w:val="decimal"/>
      <w:lvlText w:val="%3."/>
      <w:lvlJc w:val="left"/>
      <w:pPr>
        <w:tabs>
          <w:tab w:val="num" w:pos="1077"/>
        </w:tabs>
        <w:ind w:left="1077" w:hanging="34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5534770E"/>
    <w:multiLevelType w:val="hybridMultilevel"/>
    <w:tmpl w:val="7D96533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9C352DC"/>
    <w:multiLevelType w:val="multilevel"/>
    <w:tmpl w:val="0BF2C156"/>
    <w:lvl w:ilvl="0">
      <w:start w:val="8"/>
      <w:numFmt w:val="lowerLetter"/>
      <w:lvlText w:val="%1)"/>
      <w:lvlJc w:val="left"/>
      <w:pPr>
        <w:tabs>
          <w:tab w:val="num" w:pos="720"/>
        </w:tabs>
        <w:ind w:left="720" w:hanging="360"/>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ABD5123"/>
    <w:multiLevelType w:val="hybridMultilevel"/>
    <w:tmpl w:val="F63AA436"/>
    <w:lvl w:ilvl="0">
      <w:start w:val="11"/>
      <w:numFmt w:val="lowerLetter"/>
      <w:lvlText w:val="%1)"/>
      <w:lvlJc w:val="left"/>
      <w:pPr>
        <w:tabs>
          <w:tab w:val="num" w:pos="780"/>
        </w:tabs>
        <w:ind w:left="7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58C6F86"/>
    <w:multiLevelType w:val="multilevel"/>
    <w:tmpl w:val="2DCEA43C"/>
    <w:lvl w:ilvl="0">
      <w:start w:val="1"/>
      <w:numFmt w:val="decimal"/>
      <w:lvlText w:val="%1."/>
      <w:lvlJc w:val="left"/>
      <w:pPr>
        <w:tabs>
          <w:tab w:val="num" w:pos="720"/>
        </w:tabs>
        <w:ind w:left="720" w:hanging="360"/>
      </w:pPr>
      <w:rPr>
        <w:b w:val="0"/>
        <w:bCs w:val="0"/>
        <w:i w:val="0"/>
        <w:iCs w:val="0"/>
        <w:rtl w:val="0"/>
      </w:rPr>
    </w:lvl>
    <w:lvl w:ilvl="1">
      <w:start w:val="1"/>
      <w:numFmt w:val="lowerLetter"/>
      <w:lvlText w:val="%2)"/>
      <w:lvlJc w:val="left"/>
      <w:pPr>
        <w:tabs>
          <w:tab w:val="num" w:pos="1380"/>
        </w:tabs>
        <w:ind w:left="1380" w:hanging="360"/>
      </w:pPr>
      <w:rPr>
        <w:rFonts w:ascii="Times New Roman" w:hAnsi="Times New Roman" w:cs="Times New Roman"/>
        <w:rtl w:val="0"/>
      </w:r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rPr>
        <w:rFonts w:ascii="Times New Roman" w:hAnsi="Times New Roman" w:cs="Times New Roman"/>
        <w:rtl w:val="0"/>
      </w:r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9">
    <w:nsid w:val="704433C2"/>
    <w:multiLevelType w:val="hybridMultilevel"/>
    <w:tmpl w:val="DAE63418"/>
    <w:lvl w:ilvl="0">
      <w:start w:val="1"/>
      <w:numFmt w:val="lowerLetter"/>
      <w:lvlText w:val="%1)"/>
      <w:lvlJc w:val="left"/>
      <w:pPr>
        <w:tabs>
          <w:tab w:val="num" w:pos="750"/>
        </w:tabs>
        <w:ind w:left="75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90"/>
        </w:tabs>
        <w:ind w:left="2190" w:hanging="180"/>
      </w:pPr>
    </w:lvl>
    <w:lvl w:ilvl="3">
      <w:start w:val="1"/>
      <w:numFmt w:val="decimal"/>
      <w:lvlText w:val="%4."/>
      <w:lvlJc w:val="left"/>
      <w:pPr>
        <w:tabs>
          <w:tab w:val="num" w:pos="2910"/>
        </w:tabs>
        <w:ind w:left="2910" w:hanging="360"/>
      </w:p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20">
    <w:nsid w:val="732E75F6"/>
    <w:multiLevelType w:val="hybridMultilevel"/>
    <w:tmpl w:val="3846541A"/>
    <w:lvl w:ilvl="0">
      <w:start w:val="1"/>
      <w:numFmt w:val="lowerLetter"/>
      <w:lvlText w:val="%1)"/>
      <w:lvlJc w:val="left"/>
      <w:pPr>
        <w:tabs>
          <w:tab w:val="num" w:pos="363"/>
        </w:tabs>
        <w:ind w:left="363" w:hanging="363"/>
      </w:pPr>
    </w:lvl>
    <w:lvl w:ilvl="1">
      <w:start w:val="1"/>
      <w:numFmt w:val="decimal"/>
      <w:lvlText w:val="%2."/>
      <w:lvlJc w:val="left"/>
      <w:pPr>
        <w:tabs>
          <w:tab w:val="num" w:pos="1440"/>
        </w:tabs>
        <w:ind w:left="1440" w:hanging="360"/>
      </w:pPr>
      <w:rPr>
        <w:rFonts w:ascii="Times New Roman" w:hAnsi="Times New Roman" w:cs="Times New Roman"/>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8F802D2"/>
    <w:multiLevelType w:val="hybridMultilevel"/>
    <w:tmpl w:val="B21434AA"/>
    <w:lvl w:ilvl="0">
      <w:start w:val="1"/>
      <w:numFmt w:val="decimal"/>
      <w:lvlText w:val="(%1)"/>
      <w:lvlJc w:val="left"/>
      <w:pPr>
        <w:tabs>
          <w:tab w:val="num" w:pos="700"/>
        </w:tabs>
        <w:ind w:left="0" w:firstLine="340"/>
      </w:pPr>
      <w:rPr>
        <w:b w:val="0"/>
        <w:bCs w:val="0"/>
        <w:i w:val="0"/>
        <w:i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4"/>
  </w:num>
  <w:num w:numId="3">
    <w:abstractNumId w:val="14"/>
  </w:num>
  <w:num w:numId="4">
    <w:abstractNumId w:val="7"/>
  </w:num>
  <w:num w:numId="5">
    <w:abstractNumId w:val="19"/>
  </w:num>
  <w:num w:numId="6">
    <w:abstractNumId w:val="13"/>
  </w:num>
  <w:num w:numId="7">
    <w:abstractNumId w:val="17"/>
  </w:num>
  <w:num w:numId="8">
    <w:abstractNumId w:val="1"/>
  </w:num>
  <w:num w:numId="9">
    <w:abstractNumId w:val="8"/>
  </w:num>
  <w:num w:numId="10">
    <w:abstractNumId w:val="9"/>
  </w:num>
  <w:num w:numId="11">
    <w:abstractNumId w:val="16"/>
  </w:num>
  <w:num w:numId="12">
    <w:abstractNumId w:val="0"/>
  </w:num>
  <w:num w:numId="13">
    <w:abstractNumId w:val="5"/>
  </w:num>
  <w:num w:numId="14">
    <w:abstractNumId w:val="3"/>
  </w:num>
  <w:num w:numId="15">
    <w:abstractNumId w:val="6"/>
  </w:num>
  <w:num w:numId="16">
    <w:abstractNumId w:val="12"/>
  </w:num>
  <w:num w:numId="17">
    <w:abstractNumId w:val="2"/>
  </w:num>
  <w:num w:numId="18">
    <w:abstractNumId w:val="21"/>
  </w:num>
  <w:num w:numId="19">
    <w:abstractNumId w:val="10"/>
  </w:num>
  <w:num w:numId="20">
    <w:abstractNumId w:val="20"/>
  </w:num>
  <w:num w:numId="21">
    <w:abstractNumId w:val="15"/>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69"/>
  <w:stylePaneFormatFilter w:val="3F01"/>
  <w:defaultTabStop w:val="708"/>
  <w:hyphenationZone w:val="425"/>
  <w:displayHorizont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1C5B83"/>
    <w:rsid w:val="004126DB"/>
    <w:rsid w:val="005B38C6"/>
    <w:rsid w:val="005B4CDC"/>
    <w:rsid w:val="00A11CC5"/>
    <w:rsid w:val="00A83923"/>
    <w:rsid w:val="00D76587"/>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Web"/>
    <w:qFormat/>
    <w:pPr>
      <w:widowControl w:val="0"/>
      <w:autoSpaceDE w:val="0"/>
      <w:autoSpaceDN w:val="0"/>
      <w:bidi w:val="0"/>
      <w:adjustRightInd w:val="0"/>
      <w:spacing w:after="120"/>
      <w:ind w:left="0" w:right="0"/>
      <w:jc w:val="both"/>
      <w:textAlignment w:val="auto"/>
    </w:pPr>
    <w:rPr>
      <w:sz w:val="24"/>
      <w:szCs w:val="24"/>
      <w:rtl w:val="0"/>
      <w:lang w:val="en-US" w:bidi="ar-SA"/>
    </w:rPr>
  </w:style>
  <w:style w:type="paragraph" w:styleId="Heading1">
    <w:name w:val="heading 1"/>
    <w:basedOn w:val="Normal"/>
    <w:next w:val="Normal"/>
    <w:uiPriority w:val="9"/>
    <w:qFormat/>
    <w:pPr>
      <w:keepNext/>
      <w:jc w:val="both"/>
      <w:outlineLvl w:val="0"/>
    </w:pPr>
    <w:rPr>
      <w:b/>
      <w:noProof/>
      <w:lang w:val="sk-SK"/>
    </w:rPr>
  </w:style>
  <w:style w:type="paragraph" w:styleId="Heading2">
    <w:name w:val="heading 2"/>
    <w:basedOn w:val="Normal"/>
    <w:next w:val="Normal"/>
    <w:uiPriority w:val="9"/>
    <w:qFormat/>
    <w:pPr>
      <w:keepNext/>
      <w:jc w:val="center"/>
      <w:outlineLvl w:val="1"/>
    </w:pPr>
    <w:rPr>
      <w:b/>
      <w:noProof/>
      <w:lang w:val="sk-SK"/>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TABUKA-nadpis">
    <w:name w:val="TABUĽKA-nadpis"/>
    <w:pPr>
      <w:widowControl w:val="0"/>
      <w:autoSpaceDE w:val="0"/>
      <w:autoSpaceDN w:val="0"/>
      <w:bidi w:val="0"/>
      <w:adjustRightInd w:val="0"/>
      <w:ind w:left="0" w:right="0"/>
      <w:jc w:val="center"/>
      <w:textAlignment w:val="auto"/>
    </w:pPr>
    <w:rPr>
      <w:b/>
      <w:sz w:val="24"/>
      <w:szCs w:val="24"/>
      <w:rtl w:val="0"/>
      <w:lang w:val="sk-SK" w:bidi="ar-SA"/>
    </w:rPr>
  </w:style>
  <w:style w:type="paragraph" w:styleId="NormalWeb">
    <w:name w:val="Normal (Web)"/>
    <w:basedOn w:val="Normal"/>
    <w:pPr>
      <w:jc w:val="both"/>
    </w:pPr>
  </w:style>
  <w:style w:type="paragraph" w:customStyle="1" w:styleId="TABUKA-nadpismal">
    <w:name w:val="TABUĽKA-nadpis malý"/>
    <w:pPr>
      <w:widowControl w:val="0"/>
      <w:autoSpaceDE w:val="0"/>
      <w:autoSpaceDN w:val="0"/>
      <w:bidi w:val="0"/>
      <w:adjustRightInd w:val="0"/>
      <w:ind w:left="0" w:right="0"/>
      <w:jc w:val="left"/>
      <w:textAlignment w:val="auto"/>
    </w:pPr>
    <w:rPr>
      <w:b/>
      <w:sz w:val="24"/>
      <w:szCs w:val="24"/>
      <w:rtl w:val="0"/>
      <w:lang w:val="sk-SK" w:bidi="ar-SA"/>
    </w:rPr>
  </w:style>
  <w:style w:type="paragraph" w:styleId="Title">
    <w:name w:val="Title"/>
    <w:basedOn w:val="Normal"/>
    <w:uiPriority w:val="10"/>
    <w:qFormat/>
    <w:pPr>
      <w:spacing w:after="0"/>
      <w:jc w:val="center"/>
    </w:pPr>
    <w:rPr>
      <w:b/>
      <w:szCs w:val="20"/>
      <w:lang w:val="sk-SK"/>
    </w:rPr>
  </w:style>
  <w:style w:type="paragraph" w:styleId="Footer">
    <w:name w:val="footer"/>
    <w:basedOn w:val="Normal"/>
    <w:pPr>
      <w:tabs>
        <w:tab w:val="center" w:pos="4536"/>
        <w:tab w:val="right" w:pos="9072"/>
      </w:tabs>
      <w:jc w:val="both"/>
    </w:pPr>
  </w:style>
  <w:style w:type="character" w:styleId="PageNumber">
    <w:name w:val="page number"/>
    <w:basedOn w:val="DefaultParagraphFont"/>
  </w:style>
  <w:style w:type="paragraph" w:customStyle="1" w:styleId="TABUKA-nadpisstpcov">
    <w:name w:val="TABUĽKA-nadpis stĺpcov"/>
    <w:pPr>
      <w:widowControl w:val="0"/>
      <w:autoSpaceDE w:val="0"/>
      <w:autoSpaceDN w:val="0"/>
      <w:bidi w:val="0"/>
      <w:adjustRightInd w:val="0"/>
      <w:ind w:left="0" w:right="0"/>
      <w:jc w:val="left"/>
      <w:textAlignment w:val="auto"/>
    </w:pPr>
    <w:rPr>
      <w:b/>
      <w:sz w:val="24"/>
      <w:szCs w:val="24"/>
      <w:rtl w:val="0"/>
      <w:lang w:val="sk-SK" w:bidi="ar-SA"/>
    </w:rPr>
  </w:style>
  <w:style w:type="paragraph" w:customStyle="1" w:styleId="TABUKA-textsmernice">
    <w:name w:val="TABUĽKA-text smernice"/>
    <w:pPr>
      <w:widowControl w:val="0"/>
      <w:autoSpaceDE w:val="0"/>
      <w:autoSpaceDN w:val="0"/>
      <w:bidi w:val="0"/>
      <w:adjustRightInd w:val="0"/>
      <w:ind w:left="0" w:right="0"/>
      <w:jc w:val="both"/>
      <w:textAlignment w:val="auto"/>
    </w:pPr>
    <w:rPr>
      <w:sz w:val="20"/>
      <w:szCs w:val="24"/>
      <w:rtl w:val="0"/>
      <w:lang w:val="sk-SK" w:bidi="ar-SA"/>
    </w:rPr>
  </w:style>
  <w:style w:type="paragraph" w:styleId="FootnoteText">
    <w:name w:val="footnote text"/>
    <w:basedOn w:val="Normal"/>
    <w:semiHidden/>
    <w:pPr>
      <w:spacing w:after="0"/>
      <w:jc w:val="left"/>
    </w:pPr>
    <w:rPr>
      <w:sz w:val="20"/>
      <w:szCs w:val="20"/>
      <w:lang w:val="sk-SK"/>
    </w:rPr>
  </w:style>
  <w:style w:type="character" w:styleId="FootnoteReference">
    <w:name w:val="footnote reference"/>
    <w:basedOn w:val="DefaultParagraphFont"/>
    <w:semiHidden/>
    <w:rPr>
      <w:vertAlign w:val="superscript"/>
    </w:rPr>
  </w:style>
  <w:style w:type="character" w:customStyle="1" w:styleId="DONOTTRANSLATE">
    <w:name w:val="DO_NOT_TRANSLATE"/>
    <w:rPr>
      <w:rFonts w:ascii="Courier New" w:hAnsi="Courier New" w:cs="Courier New"/>
      <w:noProof/>
      <w:color w:val="800000"/>
      <w:rtl w:val="0"/>
    </w:rPr>
  </w:style>
  <w:style w:type="paragraph" w:styleId="BodyTextIndent2">
    <w:name w:val="Body Text Indent 2"/>
    <w:basedOn w:val="Normal"/>
    <w:pPr>
      <w:spacing w:after="0"/>
      <w:ind w:hanging="180"/>
      <w:jc w:val="both"/>
    </w:pPr>
    <w:rPr>
      <w:lang w:val="sk-SK"/>
    </w:rPr>
  </w:style>
  <w:style w:type="paragraph" w:styleId="BodyTextIndent3">
    <w:name w:val="Body Text Indent 3"/>
    <w:basedOn w:val="Normal"/>
    <w:pPr>
      <w:ind w:left="283"/>
      <w:jc w:val="both"/>
    </w:pPr>
    <w:rPr>
      <w:sz w:val="16"/>
      <w:szCs w:val="16"/>
    </w:rPr>
  </w:style>
  <w:style w:type="paragraph" w:styleId="BodyText">
    <w:name w:val="Body Text"/>
    <w:basedOn w:val="Normal"/>
    <w:pPr>
      <w:jc w:val="both"/>
    </w:pPr>
  </w:style>
  <w:style w:type="paragraph" w:styleId="BodyText2">
    <w:name w:val="Body Text 2"/>
    <w:basedOn w:val="Normal"/>
    <w:pPr>
      <w:spacing w:after="0"/>
      <w:jc w:val="both"/>
    </w:pPr>
    <w:rPr>
      <w:sz w:val="18"/>
      <w:szCs w:val="18"/>
    </w:rPr>
  </w:style>
  <w:style w:type="paragraph" w:styleId="BodyTextIndent">
    <w:name w:val="Body Text Indent"/>
    <w:basedOn w:val="Normal"/>
    <w:pPr>
      <w:tabs>
        <w:tab w:val="left" w:pos="142"/>
      </w:tabs>
      <w:spacing w:before="120" w:after="0"/>
      <w:ind w:left="142" w:hanging="142"/>
      <w:jc w:val="both"/>
    </w:pPr>
    <w:rPr>
      <w:rFonts w:ascii="Arial" w:hAnsi="Arial"/>
      <w:sz w:val="22"/>
      <w:szCs w:val="20"/>
      <w:lang w:val="cs-CZ"/>
    </w:rPr>
  </w:style>
  <w:style w:type="paragraph" w:customStyle="1" w:styleId="Zkladntext">
    <w:name w:val="Základní text"/>
    <w:pPr>
      <w:widowControl w:val="0"/>
      <w:autoSpaceDE w:val="0"/>
      <w:autoSpaceDN w:val="0"/>
      <w:bidi w:val="0"/>
      <w:adjustRightInd w:val="0"/>
      <w:ind w:left="0" w:right="0"/>
      <w:jc w:val="left"/>
      <w:textAlignment w:val="auto"/>
    </w:pPr>
    <w:rPr>
      <w:color w:val="000000"/>
      <w:sz w:val="24"/>
      <w:szCs w:val="24"/>
      <w:rtl w:val="0"/>
      <w:lang w:val="sk-SK" w:bidi="ar-SA"/>
    </w:rPr>
  </w:style>
  <w:style w:type="paragraph" w:customStyle="1" w:styleId="Popisparagrafu">
    <w:name w:val="Popis paragrafu"/>
    <w:basedOn w:val="Normal"/>
    <w:next w:val="Normal"/>
    <w:pPr>
      <w:spacing w:before="240" w:after="0"/>
      <w:jc w:val="center"/>
      <w:outlineLvl w:val="5"/>
    </w:pPr>
    <w:rPr>
      <w:lang w:val="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Pages>
  <Words>2467</Words>
  <Characters>14064</Characters>
  <Application>Microsoft Office Word</Application>
  <DocSecurity>0</DocSecurity>
  <Lines>0</Lines>
  <Paragraphs>0</Paragraphs>
  <ScaleCrop>false</ScaleCrop>
  <Company>Ministry of Finance</Company>
  <LinksUpToDate>false</LinksUpToDate>
  <CharactersWithSpaces>16499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TABUĹKA ZHODY</dc:title>
  <dc:creator>Novackova Daniela</dc:creator>
  <cp:lastModifiedBy>psubik</cp:lastModifiedBy>
  <cp:revision>2</cp:revision>
  <cp:lastPrinted>2004-07-12T07:26:00Z</cp:lastPrinted>
  <dcterms:created xsi:type="dcterms:W3CDTF">2004-08-20T08:23:00Z</dcterms:created>
  <dcterms:modified xsi:type="dcterms:W3CDTF">2004-08-20T08:23:00Z</dcterms:modified>
</cp:coreProperties>
</file>