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0522" w:rsidRPr="00C04951" w:rsidP="009F6D40">
      <w:pPr>
        <w:spacing w:before="120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51" w:rsidR="004A4C66">
        <w:rPr>
          <w:rFonts w:ascii="Times New Roman" w:hAnsi="Times New Roman" w:cs="Times New Roman"/>
          <w:b/>
          <w:sz w:val="28"/>
          <w:szCs w:val="28"/>
        </w:rPr>
        <w:t>D ô v o d o v á   s p r á v a</w:t>
      </w:r>
    </w:p>
    <w:p w:rsidR="004A4C66" w:rsidP="009F6D40">
      <w:pPr>
        <w:spacing w:before="12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A4C66" w:rsidP="009F6D40">
      <w:pPr>
        <w:numPr>
          <w:ilvl w:val="0"/>
          <w:numId w:val="1"/>
        </w:numPr>
        <w:tabs>
          <w:tab w:val="left" w:pos="720"/>
        </w:tabs>
        <w:spacing w:before="120"/>
        <w:ind w:left="0" w:firstLine="340"/>
        <w:jc w:val="both"/>
        <w:rPr>
          <w:rFonts w:ascii="Times New Roman" w:hAnsi="Times New Roman" w:cs="Times New Roman"/>
          <w:b/>
        </w:rPr>
      </w:pPr>
      <w:r w:rsidRPr="004A4C66">
        <w:rPr>
          <w:rFonts w:ascii="Times New Roman" w:hAnsi="Times New Roman" w:cs="Times New Roman"/>
          <w:b/>
        </w:rPr>
        <w:t>Všeobecná časť</w:t>
      </w:r>
    </w:p>
    <w:p w:rsidR="009F6D40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Pr="004A4C66" w:rsidR="004A4C66">
        <w:rPr>
          <w:rFonts w:ascii="Times New Roman" w:hAnsi="Times New Roman" w:cs="Times New Roman"/>
          <w:b/>
        </w:rPr>
        <w:t>Úvod</w:t>
      </w:r>
    </w:p>
    <w:p w:rsidR="004A4C66" w:rsidRPr="009F6D40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 sústave nepriamych daní, ktoré sú svojou podstato</w:t>
      </w:r>
      <w:r w:rsidR="00C04951">
        <w:rPr>
          <w:rFonts w:ascii="Times New Roman" w:hAnsi="Times New Roman" w:cs="Times New Roman"/>
        </w:rPr>
        <w:t xml:space="preserve">u spotrebného charakteru, daň z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danej hodnoty, ako univerzálny typ dane z konečnej spotreby, nemôže dostatočným spôs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bom postihnúť zdanenie vybraných skupín výrobkov. Túto funkciu plnia spotrebné dane, z ktorých výnos predstavuje nezanedbateľný, relatívne stabilný príjem štátneho rozpočtu z</w:t>
      </w:r>
      <w:r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vislý od konečnej spotreby vybraných skupín výrobkov, ktorá je nepriamo regulovaná aj vý</w:t>
      </w:r>
      <w:r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kou daňového zaťaženia.</w:t>
      </w:r>
    </w:p>
    <w:p w:rsidR="004A4C66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rozdiel od dane z pridanej hodnoty, ktorá je tzv. viacstupňovou daňou, keďže sa upla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ňuje na každom stupni v procese výroby a obehu, je spotrebná daň jednostupňovou 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ňou. Vyberá sa na jednom stupni, a to v zásade pri vyskladnení vybraného výrobku od výro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cu, pretože sa výrobok stáva zdaniteľným už v čase výroby, alebo pri jeho dovoze na daňové </w:t>
      </w:r>
      <w:r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zemie. Uvedeným mechanizmom sa zabezpečuje zníženie rizika možných daň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vých únikov tým, že vyrobený alebo dovezený predmet spotrebnej dane pri pohybe od v</w:t>
      </w:r>
      <w:r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>robcu k spotrebiteľovi je zdanený, nakoľko neexistujú žiadne objektívne dôvody, aby sa rizikový pre</w:t>
      </w:r>
      <w:r w:rsidR="00A818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met dane „pohyboval“ nezdanený.</w:t>
      </w:r>
    </w:p>
    <w:p w:rsidR="004A4C66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spotrebnej dani sa uplatňuje princíp cieľa, čo v praxi znamená, že daňová povi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nosť vzniká pri uvoľnení dane pre konečnú spotrebu v krajine, kde ku konečnej spotrebe 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chádza.</w:t>
      </w:r>
    </w:p>
    <w:p w:rsidR="00991108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Pr="00991108">
        <w:rPr>
          <w:rFonts w:ascii="Times New Roman" w:hAnsi="Times New Roman" w:cs="Times New Roman"/>
          <w:b/>
        </w:rPr>
        <w:t>Základné princípy v súčasnosti uplatňovanej dane</w:t>
      </w:r>
    </w:p>
    <w:p w:rsidR="00991108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Platný zákon o spotrebnej dani z minerálnych olejov je založený</w:t>
      </w:r>
    </w:p>
    <w:p w:rsidR="00183621" w:rsidP="00C04951">
      <w:pPr>
        <w:numPr>
          <w:ilvl w:val="0"/>
          <w:numId w:val="4"/>
        </w:numPr>
        <w:tabs>
          <w:tab w:val="left" w:pos="510"/>
        </w:tabs>
        <w:spacing w:before="120"/>
        <w:jc w:val="both"/>
        <w:rPr>
          <w:rFonts w:ascii="Times New Roman" w:hAnsi="Times New Roman" w:cs="Times New Roman"/>
        </w:rPr>
      </w:pPr>
      <w:r w:rsidR="00991108">
        <w:rPr>
          <w:rFonts w:ascii="Times New Roman" w:hAnsi="Times New Roman" w:cs="Times New Roman"/>
        </w:rPr>
        <w:t>na existencii daňových skladov, ktorými sa môžu stať výlučne podniky na výrobu min</w:t>
      </w:r>
      <w:r w:rsidR="0099110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rálnych olej</w:t>
      </w:r>
      <w:r>
        <w:rPr>
          <w:rFonts w:ascii="Times New Roman" w:hAnsi="Times New Roman" w:cs="Times New Roman"/>
        </w:rPr>
        <w:t xml:space="preserve">ov a </w:t>
      </w:r>
      <w:r w:rsidR="00991108">
        <w:rPr>
          <w:rFonts w:ascii="Times New Roman" w:hAnsi="Times New Roman" w:cs="Times New Roman"/>
        </w:rPr>
        <w:t>sklady minerálnych olejov za podmienok ustanovených zák</w:t>
      </w:r>
      <w:r w:rsidR="00991108">
        <w:rPr>
          <w:rFonts w:ascii="Times New Roman" w:hAnsi="Times New Roman" w:cs="Times New Roman"/>
        </w:rPr>
        <w:t>o</w:t>
      </w:r>
      <w:r w:rsidR="00991108">
        <w:rPr>
          <w:rFonts w:ascii="Times New Roman" w:hAnsi="Times New Roman" w:cs="Times New Roman"/>
        </w:rPr>
        <w:t>nom,</w:t>
      </w:r>
    </w:p>
    <w:p w:rsidR="00991108" w:rsidP="009F6D40">
      <w:pPr>
        <w:numPr>
          <w:ilvl w:val="0"/>
          <w:numId w:val="4"/>
        </w:numPr>
        <w:tabs>
          <w:tab w:val="left" w:pos="51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existencii užívateľských podnikov, ktoré sú v rámci podnikania oprávnené používať daňovo zvýhodnené minerálne oleje a oprávnených príjemcov, ktorí v rámci podnik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nia o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chodujú s minerálny</w:t>
      </w:r>
      <w:r>
        <w:rPr>
          <w:rFonts w:ascii="Times New Roman" w:hAnsi="Times New Roman" w:cs="Times New Roman"/>
        </w:rPr>
        <w:t>mi olejmi,</w:t>
      </w:r>
    </w:p>
    <w:p w:rsidR="00991108" w:rsidP="009F6D40">
      <w:pPr>
        <w:numPr>
          <w:ilvl w:val="0"/>
          <w:numId w:val="4"/>
        </w:numPr>
        <w:tabs>
          <w:tab w:val="left" w:pos="51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monitorovaní pohybu tovarov podliehajúcich spotrebnej dani,</w:t>
      </w:r>
    </w:p>
    <w:p w:rsidR="00991108" w:rsidP="009F6D40">
      <w:pPr>
        <w:numPr>
          <w:ilvl w:val="0"/>
          <w:numId w:val="4"/>
        </w:numPr>
        <w:tabs>
          <w:tab w:val="left" w:pos="51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systéme finančných zábezpek vo výške spotrebnej dane pripadajúcej na množstvo minerálnych olejov uvedených do daňového voľného obehu za stanovené obdobie al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bo preprav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vaných v po</w:t>
      </w:r>
      <w:r>
        <w:rPr>
          <w:rFonts w:ascii="Times New Roman" w:hAnsi="Times New Roman" w:cs="Times New Roman"/>
        </w:rPr>
        <w:t>zastavení dane.</w:t>
      </w:r>
    </w:p>
    <w:p w:rsidR="009F6D40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096023">
        <w:rPr>
          <w:rFonts w:ascii="Times New Roman" w:hAnsi="Times New Roman" w:cs="Times New Roman"/>
          <w:b/>
        </w:rPr>
        <w:t>Dôvody vypracovania návrhu nového zákona</w:t>
      </w:r>
    </w:p>
    <w:p w:rsidR="00096023" w:rsidRPr="009F6D40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9F6D40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lavným dôvodom, ktorý viedol k vypracovaniu návrhu zákona, je potreba zosúlad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nia platného prá</w:t>
      </w:r>
      <w:r w:rsidR="00A3295B">
        <w:rPr>
          <w:rFonts w:ascii="Times New Roman" w:hAnsi="Times New Roman" w:cs="Times New Roman"/>
        </w:rPr>
        <w:t>vneho stavu so smernicou Rady</w:t>
      </w:r>
      <w:r>
        <w:rPr>
          <w:rFonts w:ascii="Times New Roman" w:hAnsi="Times New Roman" w:cs="Times New Roman"/>
        </w:rPr>
        <w:t xml:space="preserve"> 2003/96/ES o reštrukturalizácii rámcových pre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pisov spoločenstva k zdaneni</w:t>
      </w:r>
      <w:r>
        <w:rPr>
          <w:rFonts w:ascii="Times New Roman" w:hAnsi="Times New Roman" w:cs="Times New Roman"/>
        </w:rPr>
        <w:t>u energetických produktov a elektrickej energie, ktorá 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dobudla účinnosť 1. januára 2</w:t>
      </w:r>
      <w:r w:rsidR="00A3295B">
        <w:rPr>
          <w:rFonts w:ascii="Times New Roman" w:hAnsi="Times New Roman" w:cs="Times New Roman"/>
        </w:rPr>
        <w:t>004 a nahradila smernicu Rady</w:t>
      </w:r>
      <w:r>
        <w:rPr>
          <w:rFonts w:ascii="Times New Roman" w:hAnsi="Times New Roman" w:cs="Times New Roman"/>
        </w:rPr>
        <w:t xml:space="preserve"> 92/81/EHS o zosúladení štruktúr spo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rebných daní pre mineráln</w:t>
      </w:r>
      <w:r w:rsidR="00A3295B">
        <w:rPr>
          <w:rFonts w:ascii="Times New Roman" w:hAnsi="Times New Roman" w:cs="Times New Roman"/>
        </w:rPr>
        <w:t>e oleje v znení smernice Rady</w:t>
      </w:r>
      <w:r>
        <w:rPr>
          <w:rFonts w:ascii="Times New Roman" w:hAnsi="Times New Roman" w:cs="Times New Roman"/>
        </w:rPr>
        <w:t xml:space="preserve"> 92/108/E</w:t>
      </w:r>
      <w:r w:rsidR="00A3295B">
        <w:rPr>
          <w:rFonts w:ascii="Times New Roman" w:hAnsi="Times New Roman" w:cs="Times New Roman"/>
        </w:rPr>
        <w:t>HS a 94/74/ES a sme</w:t>
      </w:r>
      <w:r w:rsidR="00A3295B">
        <w:rPr>
          <w:rFonts w:ascii="Times New Roman" w:hAnsi="Times New Roman" w:cs="Times New Roman"/>
        </w:rPr>
        <w:t>r</w:t>
      </w:r>
      <w:r w:rsidR="00A3295B">
        <w:rPr>
          <w:rFonts w:ascii="Times New Roman" w:hAnsi="Times New Roman" w:cs="Times New Roman"/>
        </w:rPr>
        <w:t xml:space="preserve">nicu Rady </w:t>
      </w:r>
      <w:r>
        <w:rPr>
          <w:rFonts w:ascii="Times New Roman" w:hAnsi="Times New Roman" w:cs="Times New Roman"/>
        </w:rPr>
        <w:t>92/82/EHS o približovaní sadzieb spotrebnej dane na min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rálne oleje v zn</w:t>
      </w:r>
      <w:r w:rsidR="009F6D40">
        <w:rPr>
          <w:rFonts w:ascii="Times New Roman" w:hAnsi="Times New Roman" w:cs="Times New Roman"/>
        </w:rPr>
        <w:t>ení smernice Rady č. 94/74/ES.</w:t>
      </w:r>
    </w:p>
    <w:p w:rsidR="00AA7374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</w:p>
    <w:p w:rsidR="009F6D40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</w:p>
    <w:p w:rsidR="009F6D40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</w:p>
    <w:p w:rsidR="009F6D40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096023">
        <w:rPr>
          <w:rFonts w:ascii="Times New Roman" w:hAnsi="Times New Roman" w:cs="Times New Roman"/>
          <w:b/>
        </w:rPr>
        <w:t>Princípy predkladaného návrhu zákona</w:t>
      </w:r>
    </w:p>
    <w:p w:rsidR="009F6D40" w:rsidRPr="009F6D40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096023">
        <w:rPr>
          <w:rFonts w:ascii="Times New Roman" w:hAnsi="Times New Roman" w:cs="Times New Roman"/>
        </w:rPr>
        <w:t>Zámerom návrhu zákona je premi</w:t>
      </w:r>
      <w:r w:rsidR="00A3295B">
        <w:rPr>
          <w:rFonts w:ascii="Times New Roman" w:hAnsi="Times New Roman" w:cs="Times New Roman"/>
        </w:rPr>
        <w:t>etnutie článkov smernice Rady</w:t>
      </w:r>
      <w:r w:rsidR="00096023">
        <w:rPr>
          <w:rFonts w:ascii="Times New Roman" w:hAnsi="Times New Roman" w:cs="Times New Roman"/>
        </w:rPr>
        <w:t xml:space="preserve"> 2003/96/ES, ktorá upr</w:t>
      </w:r>
      <w:r w:rsidR="00096023">
        <w:rPr>
          <w:rFonts w:ascii="Times New Roman" w:hAnsi="Times New Roman" w:cs="Times New Roman"/>
        </w:rPr>
        <w:t>a</w:t>
      </w:r>
      <w:r w:rsidR="00096023">
        <w:rPr>
          <w:rFonts w:ascii="Times New Roman" w:hAnsi="Times New Roman" w:cs="Times New Roman"/>
        </w:rPr>
        <w:t>vuje zdaňovanie energetických produktov a </w:t>
      </w:r>
      <w:r w:rsidR="00096023">
        <w:rPr>
          <w:rFonts w:ascii="Times New Roman" w:hAnsi="Times New Roman" w:cs="Times New Roman"/>
        </w:rPr>
        <w:t>elektrickej energie a vlastne rozšírila okruh pre</w:t>
      </w:r>
      <w:r w:rsidR="00096023">
        <w:rPr>
          <w:rFonts w:ascii="Times New Roman" w:hAnsi="Times New Roman" w:cs="Times New Roman"/>
        </w:rPr>
        <w:t>d</w:t>
      </w:r>
      <w:r w:rsidR="00096023">
        <w:rPr>
          <w:rFonts w:ascii="Times New Roman" w:hAnsi="Times New Roman" w:cs="Times New Roman"/>
        </w:rPr>
        <w:t>metu spotrebnej dane o zemný plyn, pevné palivá (uhlie, koks) a elektrickú ene</w:t>
      </w:r>
      <w:r w:rsidR="00096023">
        <w:rPr>
          <w:rFonts w:ascii="Times New Roman" w:hAnsi="Times New Roman" w:cs="Times New Roman"/>
        </w:rPr>
        <w:t>r</w:t>
      </w:r>
      <w:r w:rsidR="00096023">
        <w:rPr>
          <w:rFonts w:ascii="Times New Roman" w:hAnsi="Times New Roman" w:cs="Times New Roman"/>
        </w:rPr>
        <w:t>giu.</w:t>
      </w:r>
    </w:p>
    <w:p w:rsidR="00DC450E" w:rsidP="00DC450E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="00755AC2">
        <w:rPr>
          <w:rFonts w:ascii="Times New Roman" w:hAnsi="Times New Roman" w:cs="Times New Roman"/>
        </w:rPr>
        <w:t>Nakoľko</w:t>
      </w:r>
      <w:r w:rsidR="009325AA">
        <w:rPr>
          <w:rFonts w:ascii="Times New Roman" w:hAnsi="Times New Roman" w:cs="Times New Roman"/>
        </w:rPr>
        <w:t xml:space="preserve"> v Slovenskej republike </w:t>
      </w:r>
      <w:r w:rsidR="00755AC2">
        <w:rPr>
          <w:rFonts w:ascii="Times New Roman" w:hAnsi="Times New Roman" w:cs="Times New Roman"/>
        </w:rPr>
        <w:t xml:space="preserve">v súčasnosti nie je predmetom spotrebnej dane </w:t>
      </w:r>
      <w:r w:rsidR="009325AA">
        <w:rPr>
          <w:rFonts w:ascii="Times New Roman" w:hAnsi="Times New Roman" w:cs="Times New Roman"/>
        </w:rPr>
        <w:t>ze</w:t>
      </w:r>
      <w:r w:rsidR="009325AA">
        <w:rPr>
          <w:rFonts w:ascii="Times New Roman" w:hAnsi="Times New Roman" w:cs="Times New Roman"/>
        </w:rPr>
        <w:t>m</w:t>
      </w:r>
      <w:r w:rsidR="009325AA">
        <w:rPr>
          <w:rFonts w:ascii="Times New Roman" w:hAnsi="Times New Roman" w:cs="Times New Roman"/>
        </w:rPr>
        <w:t>ný plyn, elektrická energia a pevné palivá</w:t>
      </w:r>
      <w:r w:rsidR="009325AA">
        <w:rPr>
          <w:rFonts w:ascii="Times New Roman" w:hAnsi="Times New Roman" w:cs="Times New Roman"/>
        </w:rPr>
        <w:t xml:space="preserve">, Slovenská republika </w:t>
      </w:r>
      <w:r w:rsidR="00096023">
        <w:rPr>
          <w:rFonts w:ascii="Times New Roman" w:hAnsi="Times New Roman" w:cs="Times New Roman"/>
        </w:rPr>
        <w:t>požiadala o prechodné obd</w:t>
      </w:r>
      <w:r w:rsidR="00096023">
        <w:rPr>
          <w:rFonts w:ascii="Times New Roman" w:hAnsi="Times New Roman" w:cs="Times New Roman"/>
        </w:rPr>
        <w:t>o</w:t>
      </w:r>
      <w:r w:rsidR="00096023">
        <w:rPr>
          <w:rFonts w:ascii="Times New Roman" w:hAnsi="Times New Roman" w:cs="Times New Roman"/>
        </w:rPr>
        <w:t>bie na zdaňovanie elektrickej energie, zemného plynu a pevných palív</w:t>
      </w:r>
      <w:r w:rsidR="008E1C36">
        <w:rPr>
          <w:rFonts w:ascii="Times New Roman" w:hAnsi="Times New Roman" w:cs="Times New Roman"/>
        </w:rPr>
        <w:t xml:space="preserve"> do 31. dece</w:t>
      </w:r>
      <w:r w:rsidR="008E1C36">
        <w:rPr>
          <w:rFonts w:ascii="Times New Roman" w:hAnsi="Times New Roman" w:cs="Times New Roman"/>
        </w:rPr>
        <w:t>m</w:t>
      </w:r>
      <w:r w:rsidR="008E1C36">
        <w:rPr>
          <w:rFonts w:ascii="Times New Roman" w:hAnsi="Times New Roman" w:cs="Times New Roman"/>
        </w:rPr>
        <w:t>bra 20</w:t>
      </w:r>
      <w:r w:rsidR="00A3295B">
        <w:rPr>
          <w:rFonts w:ascii="Times New Roman" w:hAnsi="Times New Roman" w:cs="Times New Roman"/>
        </w:rPr>
        <w:t xml:space="preserve">09. Podľa novely smernice Rady </w:t>
      </w:r>
      <w:r w:rsidR="008E1C36">
        <w:rPr>
          <w:rFonts w:ascii="Times New Roman" w:hAnsi="Times New Roman" w:cs="Times New Roman"/>
        </w:rPr>
        <w:t xml:space="preserve"> 2003/96/ES bolo Slovenskej republike poskytn</w:t>
      </w:r>
      <w:r w:rsidR="008E1C36">
        <w:rPr>
          <w:rFonts w:ascii="Times New Roman" w:hAnsi="Times New Roman" w:cs="Times New Roman"/>
        </w:rPr>
        <w:t>u</w:t>
      </w:r>
      <w:r w:rsidR="008E1C36">
        <w:rPr>
          <w:rFonts w:ascii="Times New Roman" w:hAnsi="Times New Roman" w:cs="Times New Roman"/>
        </w:rPr>
        <w:t>té prechodné obdobie na prisp</w:t>
      </w:r>
      <w:r w:rsidR="008E1C36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sobenie zdaňov</w:t>
      </w:r>
      <w:r>
        <w:rPr>
          <w:rFonts w:ascii="Times New Roman" w:hAnsi="Times New Roman" w:cs="Times New Roman"/>
        </w:rPr>
        <w:t>ania</w:t>
      </w:r>
    </w:p>
    <w:p w:rsidR="008E1C36" w:rsidP="00C04951">
      <w:pPr>
        <w:numPr>
          <w:ilvl w:val="0"/>
          <w:numId w:val="3"/>
        </w:numPr>
        <w:tabs>
          <w:tab w:val="left" w:pos="17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elektrickej energie a zemného plynu</w:t>
      </w:r>
      <w:r w:rsidR="00755AC2">
        <w:rPr>
          <w:rFonts w:ascii="Times New Roman" w:hAnsi="Times New Roman" w:cs="Times New Roman"/>
        </w:rPr>
        <w:t xml:space="preserve"> na vykurovanie</w:t>
      </w:r>
      <w:r>
        <w:rPr>
          <w:rFonts w:ascii="Times New Roman" w:hAnsi="Times New Roman" w:cs="Times New Roman"/>
        </w:rPr>
        <w:t xml:space="preserve"> na minimálnu sadzbu dane do 1. jan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ára 2010, za podmienky, že k 1. januáru 2007 dosiahne národná sadzba dane 50% minimá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nej sadzby dane </w:t>
      </w:r>
      <w:r w:rsidR="00755AC2">
        <w:rPr>
          <w:rFonts w:ascii="Times New Roman" w:hAnsi="Times New Roman" w:cs="Times New Roman"/>
        </w:rPr>
        <w:t>ustanovenej v citovanej smernici</w:t>
      </w:r>
      <w:r>
        <w:rPr>
          <w:rFonts w:ascii="Times New Roman" w:hAnsi="Times New Roman" w:cs="Times New Roman"/>
        </w:rPr>
        <w:t>,</w:t>
      </w:r>
    </w:p>
    <w:p w:rsidR="00DC450E" w:rsidP="00DC450E">
      <w:pPr>
        <w:numPr>
          <w:ilvl w:val="0"/>
          <w:numId w:val="3"/>
        </w:numPr>
        <w:tabs>
          <w:tab w:val="left" w:pos="170"/>
        </w:tabs>
        <w:spacing w:before="120"/>
        <w:jc w:val="both"/>
        <w:rPr>
          <w:rFonts w:ascii="Times New Roman" w:hAnsi="Times New Roman" w:cs="Times New Roman"/>
        </w:rPr>
      </w:pPr>
      <w:r w:rsidR="008E1C36">
        <w:rPr>
          <w:rFonts w:ascii="Times New Roman" w:hAnsi="Times New Roman" w:cs="Times New Roman"/>
        </w:rPr>
        <w:t>pevných palív na minimálnu sad</w:t>
      </w:r>
      <w:r w:rsidR="008E1C36">
        <w:rPr>
          <w:rFonts w:ascii="Times New Roman" w:hAnsi="Times New Roman" w:cs="Times New Roman"/>
        </w:rPr>
        <w:t>zbu dane do 1. januára 2009,</w:t>
      </w:r>
      <w:r w:rsidRPr="008E1C36" w:rsidR="008E1C36">
        <w:rPr>
          <w:rFonts w:ascii="Times New Roman" w:hAnsi="Times New Roman" w:cs="Times New Roman"/>
        </w:rPr>
        <w:t xml:space="preserve"> </w:t>
      </w:r>
      <w:r w:rsidR="008E1C36">
        <w:rPr>
          <w:rFonts w:ascii="Times New Roman" w:hAnsi="Times New Roman" w:cs="Times New Roman"/>
        </w:rPr>
        <w:t>za podmienky, že k 1. jan</w:t>
      </w:r>
      <w:r w:rsidR="008E1C36">
        <w:rPr>
          <w:rFonts w:ascii="Times New Roman" w:hAnsi="Times New Roman" w:cs="Times New Roman"/>
        </w:rPr>
        <w:t>u</w:t>
      </w:r>
      <w:r w:rsidR="008E1C36">
        <w:rPr>
          <w:rFonts w:ascii="Times New Roman" w:hAnsi="Times New Roman" w:cs="Times New Roman"/>
        </w:rPr>
        <w:t xml:space="preserve">áru 2007 dosiahne národná sadzba dane 50% minimálnej sadzby dane </w:t>
      </w:r>
      <w:r w:rsidR="00755AC2">
        <w:rPr>
          <w:rFonts w:ascii="Times New Roman" w:hAnsi="Times New Roman" w:cs="Times New Roman"/>
        </w:rPr>
        <w:t>ustanovenej v citovanej smernici.</w:t>
      </w:r>
    </w:p>
    <w:p w:rsidR="00755AC2" w:rsidP="00DC450E">
      <w:pPr>
        <w:spacing w:before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novele zákona sa rozširuje predmet spotrebnej dane v súlade s citovanou smernicou s výnimkou pevných</w:t>
      </w:r>
      <w:r>
        <w:rPr>
          <w:rFonts w:ascii="Times New Roman" w:hAnsi="Times New Roman" w:cs="Times New Roman"/>
        </w:rPr>
        <w:t xml:space="preserve"> palív a elektrickej energie, na ktoré bolo Slovenskej republike poskytn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té prechodné obdobie. Zdaňovanie týchto tovarov (elektrickej energie a pevných 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lív) vzhľadom na ich odlišný charakter v porovnaní s minerálnymi olejmi (výroba, distr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búcia, uvoľnenie na spotrebu) bude potrebné upraviť novým právnym predpisom, upravujúcim zd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ňovanie energetických</w:t>
      </w:r>
      <w:r w:rsidR="00F90F5D">
        <w:rPr>
          <w:rFonts w:ascii="Times New Roman" w:hAnsi="Times New Roman" w:cs="Times New Roman"/>
        </w:rPr>
        <w:t xml:space="preserve"> produktov.</w:t>
      </w:r>
    </w:p>
    <w:p w:rsidR="00DC450E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9325AA">
        <w:rPr>
          <w:rFonts w:ascii="Times New Roman" w:hAnsi="Times New Roman" w:cs="Times New Roman"/>
          <w:b/>
        </w:rPr>
        <w:t>Hospodársky a finančný dosah právnej úpravy</w:t>
      </w:r>
    </w:p>
    <w:p w:rsidR="009325AA" w:rsidRPr="00DC450E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8A5AD9">
        <w:rPr>
          <w:rFonts w:ascii="Times New Roman" w:hAnsi="Times New Roman" w:cs="Times New Roman"/>
        </w:rPr>
        <w:t>Od navrhovaného zákona vypracovaného na základe vyššie uvedených princípov je mo</w:t>
      </w:r>
      <w:r w:rsidR="008A5AD9">
        <w:rPr>
          <w:rFonts w:ascii="Times New Roman" w:hAnsi="Times New Roman" w:cs="Times New Roman"/>
        </w:rPr>
        <w:t>ž</w:t>
      </w:r>
      <w:r w:rsidR="008A5AD9">
        <w:rPr>
          <w:rFonts w:ascii="Times New Roman" w:hAnsi="Times New Roman" w:cs="Times New Roman"/>
        </w:rPr>
        <w:t>né očakávať, že výnos spotrebnej dane z minerálneho oleja pri ponechaní súčasnej úrovne s</w:t>
      </w:r>
      <w:r w:rsidR="008A5AD9">
        <w:rPr>
          <w:rFonts w:ascii="Times New Roman" w:hAnsi="Times New Roman" w:cs="Times New Roman"/>
        </w:rPr>
        <w:t>a</w:t>
      </w:r>
      <w:r w:rsidR="008A5AD9">
        <w:rPr>
          <w:rFonts w:ascii="Times New Roman" w:hAnsi="Times New Roman" w:cs="Times New Roman"/>
        </w:rPr>
        <w:t>dzieb spotrebnej dane  a zachovania úrovne súčasnej spotreby bude na úrovni súčasného v</w:t>
      </w:r>
      <w:r w:rsidR="008A5AD9">
        <w:rPr>
          <w:rFonts w:ascii="Times New Roman" w:hAnsi="Times New Roman" w:cs="Times New Roman"/>
        </w:rPr>
        <w:t>ý</w:t>
      </w:r>
      <w:r w:rsidR="008A5AD9">
        <w:rPr>
          <w:rFonts w:ascii="Times New Roman" w:hAnsi="Times New Roman" w:cs="Times New Roman"/>
        </w:rPr>
        <w:t xml:space="preserve">nosu. </w:t>
      </w:r>
      <w:r w:rsidR="0059575A">
        <w:rPr>
          <w:rFonts w:ascii="Times New Roman" w:hAnsi="Times New Roman" w:cs="Times New Roman"/>
        </w:rPr>
        <w:t>Aj keď je navrhovaná pozitívna sadzba dane na zemný plyn, ktorý je p</w:t>
      </w:r>
      <w:r w:rsidR="0059575A">
        <w:rPr>
          <w:rFonts w:ascii="Times New Roman" w:hAnsi="Times New Roman" w:cs="Times New Roman"/>
        </w:rPr>
        <w:t>o</w:t>
      </w:r>
      <w:r w:rsidR="0059575A">
        <w:rPr>
          <w:rFonts w:ascii="Times New Roman" w:hAnsi="Times New Roman" w:cs="Times New Roman"/>
        </w:rPr>
        <w:t>užívaný ako pohonná látka, výnos z tohto predmetu dane sa nedá očakávať, nakoľko po</w:t>
      </w:r>
      <w:r w:rsidR="0059575A">
        <w:rPr>
          <w:rFonts w:ascii="Times New Roman" w:hAnsi="Times New Roman" w:cs="Times New Roman"/>
        </w:rPr>
        <w:t>u</w:t>
      </w:r>
      <w:r w:rsidR="0059575A">
        <w:rPr>
          <w:rFonts w:ascii="Times New Roman" w:hAnsi="Times New Roman" w:cs="Times New Roman"/>
        </w:rPr>
        <w:t>žitie zemného plynu ako pohonnej látky je oslobodené od dane.</w:t>
      </w:r>
    </w:p>
    <w:p w:rsidR="002F18EB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charakter predkladaného návrhu zákona a nenavrhovanie zmien súčasne platných sadzieb dane</w:t>
      </w:r>
      <w:r w:rsidR="00755AC2">
        <w:rPr>
          <w:rFonts w:ascii="Times New Roman" w:hAnsi="Times New Roman" w:cs="Times New Roman"/>
        </w:rPr>
        <w:t xml:space="preserve"> s výnimkou zemného plynu používa</w:t>
      </w:r>
      <w:r w:rsidR="00755AC2">
        <w:rPr>
          <w:rFonts w:ascii="Times New Roman" w:hAnsi="Times New Roman" w:cs="Times New Roman"/>
        </w:rPr>
        <w:t>ného ako pohonná látka na nepo</w:t>
      </w:r>
      <w:r w:rsidR="00755AC2">
        <w:rPr>
          <w:rFonts w:ascii="Times New Roman" w:hAnsi="Times New Roman" w:cs="Times New Roman"/>
        </w:rPr>
        <w:t>d</w:t>
      </w:r>
      <w:r w:rsidR="00755AC2">
        <w:rPr>
          <w:rFonts w:ascii="Times New Roman" w:hAnsi="Times New Roman" w:cs="Times New Roman"/>
        </w:rPr>
        <w:t>nikateľské účely,</w:t>
      </w:r>
      <w:r>
        <w:rPr>
          <w:rFonts w:ascii="Times New Roman" w:hAnsi="Times New Roman" w:cs="Times New Roman"/>
        </w:rPr>
        <w:t xml:space="preserve"> nebolo potrebné predložiť návrh zákona na prerokovanie v Rade hospodá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skej a sociálnej dohody Slovenskej repu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liky.</w:t>
      </w:r>
    </w:p>
    <w:p w:rsidR="00DC450E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="002F18EB">
        <w:rPr>
          <w:rFonts w:ascii="Times New Roman" w:hAnsi="Times New Roman" w:cs="Times New Roman"/>
        </w:rPr>
        <w:t>Návrh zákona nebude mať vplyv na štátny rozpočet, na rozpočty obcí a rozpočty vy</w:t>
      </w:r>
      <w:r w:rsidR="002F18EB">
        <w:rPr>
          <w:rFonts w:ascii="Times New Roman" w:hAnsi="Times New Roman" w:cs="Times New Roman"/>
        </w:rPr>
        <w:t>š</w:t>
      </w:r>
      <w:r w:rsidR="002F18EB">
        <w:rPr>
          <w:rFonts w:ascii="Times New Roman" w:hAnsi="Times New Roman" w:cs="Times New Roman"/>
        </w:rPr>
        <w:t>ších územn</w:t>
      </w:r>
      <w:r w:rsidR="002F18EB">
        <w:rPr>
          <w:rFonts w:ascii="Times New Roman" w:hAnsi="Times New Roman" w:cs="Times New Roman"/>
        </w:rPr>
        <w:t>ých celkov.</w:t>
      </w:r>
    </w:p>
    <w:p w:rsidR="00DC450E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="002F18EB">
        <w:rPr>
          <w:rFonts w:ascii="Times New Roman" w:hAnsi="Times New Roman" w:cs="Times New Roman"/>
        </w:rPr>
        <w:t>Návrh zákona nie je v rozpore s Ústavou Slovenskej republiky, ani s inými zákonmi a medzinárodnými zmluvami, ktorými je Slovenská republika viazaná.</w:t>
      </w:r>
    </w:p>
    <w:p w:rsidR="00DC450E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="002F18EB">
        <w:rPr>
          <w:rFonts w:ascii="Times New Roman" w:hAnsi="Times New Roman" w:cs="Times New Roman"/>
        </w:rPr>
        <w:t>Návrh zákona nepredpokladá potrebu vytvárania nových pracovných miest ako aj zvýš</w:t>
      </w:r>
      <w:r w:rsidR="002F18EB">
        <w:rPr>
          <w:rFonts w:ascii="Times New Roman" w:hAnsi="Times New Roman" w:cs="Times New Roman"/>
        </w:rPr>
        <w:t>e</w:t>
      </w:r>
      <w:r w:rsidR="002F18EB">
        <w:rPr>
          <w:rFonts w:ascii="Times New Roman" w:hAnsi="Times New Roman" w:cs="Times New Roman"/>
        </w:rPr>
        <w:t>nia n</w:t>
      </w:r>
      <w:r w:rsidR="002F18EB">
        <w:rPr>
          <w:rFonts w:ascii="Times New Roman" w:hAnsi="Times New Roman" w:cs="Times New Roman"/>
        </w:rPr>
        <w:t>á</w:t>
      </w:r>
      <w:r w:rsidR="002F18EB">
        <w:rPr>
          <w:rFonts w:ascii="Times New Roman" w:hAnsi="Times New Roman" w:cs="Times New Roman"/>
        </w:rPr>
        <w:t>rokov n</w:t>
      </w:r>
      <w:r w:rsidR="002F18EB">
        <w:rPr>
          <w:rFonts w:ascii="Times New Roman" w:hAnsi="Times New Roman" w:cs="Times New Roman"/>
        </w:rPr>
        <w:t>a finančné prostriedky.</w:t>
      </w:r>
    </w:p>
    <w:p w:rsidR="00AA7374" w:rsidRPr="00DC450E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Pr="00AA7374">
        <w:rPr>
          <w:rFonts w:ascii="Times New Roman" w:hAnsi="Times New Roman" w:cs="Times New Roman"/>
          <w:b/>
        </w:rPr>
        <w:t>II. Osobitná časť</w:t>
      </w:r>
    </w:p>
    <w:p w:rsidR="00DC450E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AA7374">
        <w:rPr>
          <w:rFonts w:ascii="Times New Roman" w:hAnsi="Times New Roman" w:cs="Times New Roman"/>
          <w:b/>
        </w:rPr>
        <w:t>K Čl. I</w:t>
      </w:r>
    </w:p>
    <w:p w:rsidR="00AA7374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A81825">
        <w:rPr>
          <w:rFonts w:ascii="Times New Roman" w:hAnsi="Times New Roman" w:cs="Times New Roman"/>
          <w:b/>
        </w:rPr>
        <w:t>K bodom</w:t>
      </w:r>
      <w:r w:rsidRPr="00AA7374">
        <w:rPr>
          <w:rFonts w:ascii="Times New Roman" w:hAnsi="Times New Roman" w:cs="Times New Roman"/>
          <w:b/>
        </w:rPr>
        <w:t xml:space="preserve"> 1 </w:t>
      </w:r>
      <w:r>
        <w:rPr>
          <w:rFonts w:ascii="Times New Roman" w:hAnsi="Times New Roman" w:cs="Times New Roman"/>
          <w:b/>
        </w:rPr>
        <w:t>a</w:t>
      </w:r>
      <w:r w:rsidR="00280FF3">
        <w:rPr>
          <w:rFonts w:ascii="Times New Roman" w:hAnsi="Times New Roman" w:cs="Times New Roman"/>
          <w:b/>
        </w:rPr>
        <w:t>ž 4, 6</w:t>
      </w:r>
    </w:p>
    <w:p w:rsidR="00AA7374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Zmenou ustanovení § 4 sa rozširuje okruh predmetu</w:t>
      </w:r>
      <w:r w:rsidR="00C425E8">
        <w:rPr>
          <w:rFonts w:ascii="Times New Roman" w:hAnsi="Times New Roman" w:cs="Times New Roman"/>
        </w:rPr>
        <w:t xml:space="preserve"> dane</w:t>
      </w:r>
      <w:r>
        <w:rPr>
          <w:rFonts w:ascii="Times New Roman" w:hAnsi="Times New Roman" w:cs="Times New Roman"/>
        </w:rPr>
        <w:t>, v súlade s článkom 2 smer</w:t>
      </w:r>
      <w:r w:rsidR="00A3295B">
        <w:rPr>
          <w:rFonts w:ascii="Times New Roman" w:hAnsi="Times New Roman" w:cs="Times New Roman"/>
        </w:rPr>
        <w:t>n</w:t>
      </w:r>
      <w:r w:rsidR="00A3295B">
        <w:rPr>
          <w:rFonts w:ascii="Times New Roman" w:hAnsi="Times New Roman" w:cs="Times New Roman"/>
        </w:rPr>
        <w:t>i</w:t>
      </w:r>
      <w:r w:rsidR="00A3295B">
        <w:rPr>
          <w:rFonts w:ascii="Times New Roman" w:hAnsi="Times New Roman" w:cs="Times New Roman"/>
        </w:rPr>
        <w:t xml:space="preserve">ce Rady </w:t>
      </w:r>
      <w:r>
        <w:rPr>
          <w:rFonts w:ascii="Times New Roman" w:hAnsi="Times New Roman" w:cs="Times New Roman"/>
        </w:rPr>
        <w:t>2003/96/ES o reštrukturalizácii rámcových predpisov spoločenstva k zdaneniu energ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tických produkt</w:t>
      </w:r>
      <w:r>
        <w:rPr>
          <w:rFonts w:ascii="Times New Roman" w:hAnsi="Times New Roman" w:cs="Times New Roman"/>
        </w:rPr>
        <w:t>ov a elektrickej energie, ktorá</w:t>
      </w:r>
      <w:r w:rsidRPr="00AA7374">
        <w:rPr>
          <w:rFonts w:ascii="Times New Roman" w:hAnsi="Times New Roman" w:cs="Times New Roman"/>
        </w:rPr>
        <w:t xml:space="preserve"> </w:t>
      </w:r>
      <w:r w:rsidR="00A3295B">
        <w:rPr>
          <w:rFonts w:ascii="Times New Roman" w:hAnsi="Times New Roman" w:cs="Times New Roman"/>
        </w:rPr>
        <w:t>nahradila smernicu Rady</w:t>
      </w:r>
      <w:r>
        <w:rPr>
          <w:rFonts w:ascii="Times New Roman" w:hAnsi="Times New Roman" w:cs="Times New Roman"/>
        </w:rPr>
        <w:t xml:space="preserve"> 92/81/EHS o zosúl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dení štru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túr spotrebných daní pre minerálne oleje</w:t>
      </w:r>
      <w:r w:rsidR="00A3295B">
        <w:rPr>
          <w:rFonts w:ascii="Times New Roman" w:hAnsi="Times New Roman" w:cs="Times New Roman"/>
        </w:rPr>
        <w:t xml:space="preserve"> v znení smernice Rady</w:t>
      </w:r>
      <w:r>
        <w:rPr>
          <w:rFonts w:ascii="Times New Roman" w:hAnsi="Times New Roman" w:cs="Times New Roman"/>
        </w:rPr>
        <w:t xml:space="preserve"> 92/108/E</w:t>
      </w:r>
      <w:r w:rsidR="00A3295B">
        <w:rPr>
          <w:rFonts w:ascii="Times New Roman" w:hAnsi="Times New Roman" w:cs="Times New Roman"/>
        </w:rPr>
        <w:t xml:space="preserve">HS a 94/74/ES a smernicu Rady </w:t>
      </w:r>
      <w:r>
        <w:rPr>
          <w:rFonts w:ascii="Times New Roman" w:hAnsi="Times New Roman" w:cs="Times New Roman"/>
        </w:rPr>
        <w:t>92/82/EHS o približovaní sadzieb spotrebnej dane na min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ráln</w:t>
      </w:r>
      <w:r w:rsidR="00A3295B">
        <w:rPr>
          <w:rFonts w:ascii="Times New Roman" w:hAnsi="Times New Roman" w:cs="Times New Roman"/>
        </w:rPr>
        <w:t>e oleje v znení smernice Rady</w:t>
      </w:r>
      <w:r w:rsidR="00DC450E">
        <w:rPr>
          <w:rFonts w:ascii="Times New Roman" w:hAnsi="Times New Roman" w:cs="Times New Roman"/>
        </w:rPr>
        <w:t xml:space="preserve"> 94/74/ES.</w:t>
      </w:r>
    </w:p>
    <w:p w:rsidR="00DC450E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280FF3">
        <w:rPr>
          <w:rFonts w:ascii="Times New Roman" w:hAnsi="Times New Roman" w:cs="Times New Roman"/>
          <w:b/>
        </w:rPr>
        <w:t>K bodu 5</w:t>
      </w:r>
    </w:p>
    <w:p w:rsidR="00DC450E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Pr="002D5196" w:rsidR="00797AF4">
        <w:rPr>
          <w:rFonts w:ascii="Times New Roman" w:hAnsi="Times New Roman" w:cs="Times New Roman"/>
        </w:rPr>
        <w:t>V súvislosti</w:t>
      </w:r>
      <w:r w:rsidR="00797AF4">
        <w:rPr>
          <w:rFonts w:ascii="Times New Roman" w:hAnsi="Times New Roman" w:cs="Times New Roman"/>
          <w:b/>
        </w:rPr>
        <w:t xml:space="preserve"> </w:t>
      </w:r>
      <w:r w:rsidR="00797AF4">
        <w:rPr>
          <w:rFonts w:ascii="Times New Roman" w:hAnsi="Times New Roman" w:cs="Times New Roman"/>
        </w:rPr>
        <w:t>s úpravou v bode 1 sa navrhuje</w:t>
      </w:r>
      <w:r w:rsidR="00DC1844">
        <w:rPr>
          <w:rFonts w:ascii="Times New Roman" w:hAnsi="Times New Roman" w:cs="Times New Roman"/>
        </w:rPr>
        <w:t xml:space="preserve"> úprava</w:t>
      </w:r>
      <w:r w:rsidR="00797AF4">
        <w:rPr>
          <w:rFonts w:ascii="Times New Roman" w:hAnsi="Times New Roman" w:cs="Times New Roman"/>
        </w:rPr>
        <w:t xml:space="preserve"> § 4 ods. 6</w:t>
      </w:r>
      <w:r w:rsidR="00DC1844">
        <w:rPr>
          <w:rFonts w:ascii="Times New Roman" w:hAnsi="Times New Roman" w:cs="Times New Roman"/>
        </w:rPr>
        <w:t>,</w:t>
      </w:r>
      <w:r w:rsidR="00797AF4">
        <w:rPr>
          <w:rFonts w:ascii="Times New Roman" w:hAnsi="Times New Roman" w:cs="Times New Roman"/>
        </w:rPr>
        <w:t xml:space="preserve"> </w:t>
      </w:r>
      <w:r w:rsidR="00DC1844">
        <w:rPr>
          <w:rFonts w:ascii="Times New Roman" w:hAnsi="Times New Roman" w:cs="Times New Roman"/>
        </w:rPr>
        <w:t>aby rastlinné tuky a oleje uvedené v kapitole 15 colného sadzobníka boli predmetom dane.</w:t>
      </w:r>
    </w:p>
    <w:p w:rsidR="00797AF4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7</w:t>
      </w:r>
    </w:p>
    <w:p w:rsidR="00AA7374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="002D5196">
        <w:rPr>
          <w:rFonts w:ascii="Times New Roman" w:hAnsi="Times New Roman" w:cs="Times New Roman"/>
        </w:rPr>
        <w:t xml:space="preserve">V nadväznosti na rozšírenie predmetu dane sa </w:t>
      </w:r>
      <w:r w:rsidR="00C425E8">
        <w:rPr>
          <w:rFonts w:ascii="Times New Roman" w:hAnsi="Times New Roman" w:cs="Times New Roman"/>
        </w:rPr>
        <w:t>dopĺňa</w:t>
      </w:r>
      <w:r w:rsidR="002D5196">
        <w:rPr>
          <w:rFonts w:ascii="Times New Roman" w:hAnsi="Times New Roman" w:cs="Times New Roman"/>
        </w:rPr>
        <w:t xml:space="preserve"> ustanovenie týkajúce sa základu d</w:t>
      </w:r>
      <w:r w:rsidR="002D5196">
        <w:rPr>
          <w:rFonts w:ascii="Times New Roman" w:hAnsi="Times New Roman" w:cs="Times New Roman"/>
        </w:rPr>
        <w:t>a</w:t>
      </w:r>
      <w:r w:rsidR="002D5196">
        <w:rPr>
          <w:rFonts w:ascii="Times New Roman" w:hAnsi="Times New Roman" w:cs="Times New Roman"/>
        </w:rPr>
        <w:t>ne.</w:t>
      </w:r>
    </w:p>
    <w:p w:rsidR="002D5196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422B14">
        <w:rPr>
          <w:rFonts w:ascii="Times New Roman" w:hAnsi="Times New Roman" w:cs="Times New Roman"/>
          <w:b/>
        </w:rPr>
        <w:t>K bodom</w:t>
      </w:r>
      <w:r w:rsidR="00797AF4">
        <w:rPr>
          <w:rFonts w:ascii="Times New Roman" w:hAnsi="Times New Roman" w:cs="Times New Roman"/>
          <w:b/>
        </w:rPr>
        <w:t xml:space="preserve"> 8 a 9</w:t>
      </w:r>
    </w:p>
    <w:p w:rsidR="002D5196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Pr="002D5196">
        <w:rPr>
          <w:rFonts w:ascii="Times New Roman" w:hAnsi="Times New Roman" w:cs="Times New Roman"/>
        </w:rPr>
        <w:t>V súvislosti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 úpravou v bode 1 </w:t>
      </w:r>
      <w:r w:rsidR="00C425E8">
        <w:rPr>
          <w:rFonts w:ascii="Times New Roman" w:hAnsi="Times New Roman" w:cs="Times New Roman"/>
        </w:rPr>
        <w:t>sa navrhuje</w:t>
      </w:r>
      <w:r>
        <w:rPr>
          <w:rFonts w:ascii="Times New Roman" w:hAnsi="Times New Roman" w:cs="Times New Roman"/>
        </w:rPr>
        <w:t xml:space="preserve"> ustanoviť sadzby dane na </w:t>
      </w:r>
      <w:r w:rsidR="00C425E8">
        <w:rPr>
          <w:rFonts w:ascii="Times New Roman" w:hAnsi="Times New Roman" w:cs="Times New Roman"/>
        </w:rPr>
        <w:t>zemný plyn v sú</w:t>
      </w:r>
      <w:r w:rsidR="00A3295B">
        <w:rPr>
          <w:rFonts w:ascii="Times New Roman" w:hAnsi="Times New Roman" w:cs="Times New Roman"/>
        </w:rPr>
        <w:t>l</w:t>
      </w:r>
      <w:r w:rsidR="00A3295B">
        <w:rPr>
          <w:rFonts w:ascii="Times New Roman" w:hAnsi="Times New Roman" w:cs="Times New Roman"/>
        </w:rPr>
        <w:t>a</w:t>
      </w:r>
      <w:r w:rsidR="00A3295B">
        <w:rPr>
          <w:rFonts w:ascii="Times New Roman" w:hAnsi="Times New Roman" w:cs="Times New Roman"/>
        </w:rPr>
        <w:t>de so smernicou Rady</w:t>
      </w:r>
      <w:r w:rsidR="00C425E8">
        <w:rPr>
          <w:rFonts w:ascii="Times New Roman" w:hAnsi="Times New Roman" w:cs="Times New Roman"/>
        </w:rPr>
        <w:t xml:space="preserve"> 2003/96/ES</w:t>
      </w:r>
      <w:r>
        <w:rPr>
          <w:rFonts w:ascii="Times New Roman" w:hAnsi="Times New Roman" w:cs="Times New Roman"/>
        </w:rPr>
        <w:t xml:space="preserve"> pre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metu dane.</w:t>
      </w:r>
    </w:p>
    <w:p w:rsidR="002D5196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797AF4">
        <w:rPr>
          <w:rFonts w:ascii="Times New Roman" w:hAnsi="Times New Roman" w:cs="Times New Roman"/>
          <w:b/>
        </w:rPr>
        <w:t>K bodu 10</w:t>
      </w:r>
    </w:p>
    <w:p w:rsidR="002D5196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="00C425E8">
        <w:rPr>
          <w:rFonts w:ascii="Times New Roman" w:hAnsi="Times New Roman" w:cs="Times New Roman"/>
        </w:rPr>
        <w:t>Nadväzne na Rozhodnutie</w:t>
      </w:r>
      <w:r w:rsidR="00A3295B">
        <w:rPr>
          <w:rFonts w:ascii="Times New Roman" w:hAnsi="Times New Roman" w:cs="Times New Roman"/>
        </w:rPr>
        <w:t xml:space="preserve"> komisie</w:t>
      </w:r>
      <w:r>
        <w:rPr>
          <w:rFonts w:ascii="Times New Roman" w:hAnsi="Times New Roman" w:cs="Times New Roman"/>
        </w:rPr>
        <w:t xml:space="preserve"> 2003/900/ES z 17. decembra 2003, ktorým sa</w:t>
      </w:r>
      <w:r w:rsidR="00A3295B">
        <w:rPr>
          <w:rFonts w:ascii="Times New Roman" w:hAnsi="Times New Roman" w:cs="Times New Roman"/>
        </w:rPr>
        <w:t xml:space="preserve"> dopln</w:t>
      </w:r>
      <w:r w:rsidR="00A3295B">
        <w:rPr>
          <w:rFonts w:ascii="Times New Roman" w:hAnsi="Times New Roman" w:cs="Times New Roman"/>
        </w:rPr>
        <w:t>i</w:t>
      </w:r>
      <w:r w:rsidR="00A3295B">
        <w:rPr>
          <w:rFonts w:ascii="Times New Roman" w:hAnsi="Times New Roman" w:cs="Times New Roman"/>
        </w:rPr>
        <w:t>lo Rozhodnutie komisie</w:t>
      </w:r>
      <w:r>
        <w:rPr>
          <w:rFonts w:ascii="Times New Roman" w:hAnsi="Times New Roman" w:cs="Times New Roman"/>
        </w:rPr>
        <w:t xml:space="preserve"> 2001/574/ES z</w:t>
      </w:r>
      <w:r w:rsidR="009D00F0">
        <w:rPr>
          <w:rFonts w:ascii="Times New Roman" w:hAnsi="Times New Roman" w:cs="Times New Roman"/>
        </w:rPr>
        <w:t> 13. júla 2001 o určení spoločnej označovacej l</w:t>
      </w:r>
      <w:r w:rsidR="00C425E8">
        <w:rPr>
          <w:rFonts w:ascii="Times New Roman" w:hAnsi="Times New Roman" w:cs="Times New Roman"/>
        </w:rPr>
        <w:t>á</w:t>
      </w:r>
      <w:r w:rsidR="00C425E8">
        <w:rPr>
          <w:rFonts w:ascii="Times New Roman" w:hAnsi="Times New Roman" w:cs="Times New Roman"/>
        </w:rPr>
        <w:t>t</w:t>
      </w:r>
      <w:r w:rsidR="00C425E8">
        <w:rPr>
          <w:rFonts w:ascii="Times New Roman" w:hAnsi="Times New Roman" w:cs="Times New Roman"/>
        </w:rPr>
        <w:t>ky pre plynový olej a kerozín sa dopĺňa horný limit obsahu indikačnej látky na označovanie plyn</w:t>
      </w:r>
      <w:r w:rsidR="00C425E8">
        <w:rPr>
          <w:rFonts w:ascii="Times New Roman" w:hAnsi="Times New Roman" w:cs="Times New Roman"/>
        </w:rPr>
        <w:t>o</w:t>
      </w:r>
      <w:r w:rsidR="00C425E8">
        <w:rPr>
          <w:rFonts w:ascii="Times New Roman" w:hAnsi="Times New Roman" w:cs="Times New Roman"/>
        </w:rPr>
        <w:t>vého oleja.</w:t>
      </w:r>
    </w:p>
    <w:p w:rsidR="009D00F0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A81825">
        <w:rPr>
          <w:rFonts w:ascii="Times New Roman" w:hAnsi="Times New Roman" w:cs="Times New Roman"/>
          <w:b/>
        </w:rPr>
        <w:t>K bodom</w:t>
      </w:r>
      <w:r w:rsidR="00797AF4">
        <w:rPr>
          <w:rFonts w:ascii="Times New Roman" w:hAnsi="Times New Roman" w:cs="Times New Roman"/>
          <w:b/>
        </w:rPr>
        <w:t xml:space="preserve"> 11 a 12</w:t>
      </w:r>
    </w:p>
    <w:p w:rsidR="009D00F0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425E8">
        <w:rPr>
          <w:rFonts w:ascii="Times New Roman" w:hAnsi="Times New Roman" w:cs="Times New Roman"/>
        </w:rPr>
        <w:t xml:space="preserve">o väzbe </w:t>
      </w:r>
      <w:r>
        <w:rPr>
          <w:rFonts w:ascii="Times New Roman" w:hAnsi="Times New Roman" w:cs="Times New Roman"/>
        </w:rPr>
        <w:t xml:space="preserve">na rozšírenie predmetu dane </w:t>
      </w:r>
      <w:r w:rsidR="00C425E8">
        <w:rPr>
          <w:rFonts w:ascii="Times New Roman" w:hAnsi="Times New Roman" w:cs="Times New Roman"/>
        </w:rPr>
        <w:t>sa navrhuj</w:t>
      </w:r>
      <w:r w:rsidR="002A4C04">
        <w:rPr>
          <w:rFonts w:ascii="Times New Roman" w:hAnsi="Times New Roman" w:cs="Times New Roman"/>
        </w:rPr>
        <w:t>e doplniť oslobodenie od dane o</w:t>
      </w:r>
      <w:r w:rsidR="00C425E8">
        <w:rPr>
          <w:rFonts w:ascii="Times New Roman" w:hAnsi="Times New Roman" w:cs="Times New Roman"/>
        </w:rPr>
        <w:t xml:space="preserve"> duá</w:t>
      </w:r>
      <w:r w:rsidR="00C425E8">
        <w:rPr>
          <w:rFonts w:ascii="Times New Roman" w:hAnsi="Times New Roman" w:cs="Times New Roman"/>
        </w:rPr>
        <w:t>l</w:t>
      </w:r>
      <w:r w:rsidR="00C425E8">
        <w:rPr>
          <w:rFonts w:ascii="Times New Roman" w:hAnsi="Times New Roman" w:cs="Times New Roman"/>
        </w:rPr>
        <w:t xml:space="preserve">ne </w:t>
      </w:r>
      <w:r w:rsidR="002A4C04">
        <w:rPr>
          <w:rFonts w:ascii="Times New Roman" w:hAnsi="Times New Roman" w:cs="Times New Roman"/>
        </w:rPr>
        <w:t>použitie minerálnych olejov a o použitie zemného plynu ako</w:t>
      </w:r>
      <w:r w:rsidR="00C425E8">
        <w:rPr>
          <w:rFonts w:ascii="Times New Roman" w:hAnsi="Times New Roman" w:cs="Times New Roman"/>
        </w:rPr>
        <w:t xml:space="preserve"> pohonnej látky a</w:t>
      </w:r>
      <w:r w:rsidR="002A4C04">
        <w:rPr>
          <w:rFonts w:ascii="Times New Roman" w:hAnsi="Times New Roman" w:cs="Times New Roman"/>
        </w:rPr>
        <w:t xml:space="preserve"> o použitie </w:t>
      </w:r>
      <w:r w:rsidR="00C425E8">
        <w:rPr>
          <w:rFonts w:ascii="Times New Roman" w:hAnsi="Times New Roman" w:cs="Times New Roman"/>
        </w:rPr>
        <w:t xml:space="preserve">na technologické </w:t>
      </w:r>
      <w:r w:rsidR="00053239">
        <w:rPr>
          <w:rFonts w:ascii="Times New Roman" w:hAnsi="Times New Roman" w:cs="Times New Roman"/>
        </w:rPr>
        <w:t>účely</w:t>
      </w:r>
      <w:r w:rsidR="002A4C04">
        <w:rPr>
          <w:rFonts w:ascii="Times New Roman" w:hAnsi="Times New Roman" w:cs="Times New Roman"/>
        </w:rPr>
        <w:t xml:space="preserve">. </w:t>
      </w:r>
    </w:p>
    <w:p w:rsidR="009D00F0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797AF4">
        <w:rPr>
          <w:rFonts w:ascii="Times New Roman" w:hAnsi="Times New Roman" w:cs="Times New Roman"/>
          <w:b/>
        </w:rPr>
        <w:t>K bodu 13</w:t>
      </w:r>
    </w:p>
    <w:p w:rsidR="009D00F0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="00C425E8">
        <w:rPr>
          <w:rFonts w:ascii="Times New Roman" w:hAnsi="Times New Roman" w:cs="Times New Roman"/>
        </w:rPr>
        <w:t xml:space="preserve">Na základe poznatkov </w:t>
      </w:r>
      <w:r w:rsidR="00695D37">
        <w:rPr>
          <w:rFonts w:ascii="Times New Roman" w:hAnsi="Times New Roman" w:cs="Times New Roman"/>
        </w:rPr>
        <w:t>z uplatňovania zákona v praxi sa navrhuje ro</w:t>
      </w:r>
      <w:r w:rsidR="00053239">
        <w:rPr>
          <w:rFonts w:ascii="Times New Roman" w:hAnsi="Times New Roman" w:cs="Times New Roman"/>
        </w:rPr>
        <w:t>z</w:t>
      </w:r>
      <w:r w:rsidR="00695D37">
        <w:rPr>
          <w:rFonts w:ascii="Times New Roman" w:hAnsi="Times New Roman" w:cs="Times New Roman"/>
        </w:rPr>
        <w:t>šíriť</w:t>
      </w:r>
      <w:r>
        <w:rPr>
          <w:rFonts w:ascii="Times New Roman" w:hAnsi="Times New Roman" w:cs="Times New Roman"/>
        </w:rPr>
        <w:t xml:space="preserve"> okruh užívate</w:t>
      </w:r>
      <w:r>
        <w:rPr>
          <w:rFonts w:ascii="Times New Roman" w:hAnsi="Times New Roman" w:cs="Times New Roman"/>
        </w:rPr>
        <w:t>ľ</w:t>
      </w:r>
      <w:r>
        <w:rPr>
          <w:rFonts w:ascii="Times New Roman" w:hAnsi="Times New Roman" w:cs="Times New Roman"/>
        </w:rPr>
        <w:t>ských podnikov o špecifický užívateľský podnik, ktorý bude oprávnený dodávať letecké 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honné látky do nádrží lietadiel na účely oslobodené od 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ne.</w:t>
      </w:r>
    </w:p>
    <w:p w:rsidR="00C62E8E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797AF4">
        <w:rPr>
          <w:rFonts w:ascii="Times New Roman" w:hAnsi="Times New Roman" w:cs="Times New Roman"/>
          <w:b/>
        </w:rPr>
        <w:t>K bodu 14</w:t>
      </w:r>
    </w:p>
    <w:p w:rsidR="00CE2058" w:rsidRPr="00CE2058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="00C425E8">
        <w:rPr>
          <w:rFonts w:ascii="Times New Roman" w:hAnsi="Times New Roman" w:cs="Times New Roman"/>
        </w:rPr>
        <w:t>Na základe požiadavky Ministerstva zahraničných vecí Slovenskej republiky sa v § 16 n</w:t>
      </w:r>
      <w:r w:rsidR="00C425E8">
        <w:rPr>
          <w:rFonts w:ascii="Times New Roman" w:hAnsi="Times New Roman" w:cs="Times New Roman"/>
        </w:rPr>
        <w:t>a</w:t>
      </w:r>
      <w:r w:rsidR="00C425E8">
        <w:rPr>
          <w:rFonts w:ascii="Times New Roman" w:hAnsi="Times New Roman" w:cs="Times New Roman"/>
        </w:rPr>
        <w:t xml:space="preserve">vrhuje predĺžiť </w:t>
      </w:r>
      <w:r>
        <w:rPr>
          <w:rFonts w:ascii="Times New Roman" w:hAnsi="Times New Roman" w:cs="Times New Roman"/>
        </w:rPr>
        <w:t xml:space="preserve">termín podania žiadosti o vrátenie dane zahraničnému zástupcovi. </w:t>
      </w:r>
      <w:r w:rsidR="0056786C">
        <w:rPr>
          <w:rFonts w:ascii="Times New Roman" w:hAnsi="Times New Roman" w:cs="Times New Roman"/>
        </w:rPr>
        <w:t>Zár</w:t>
      </w:r>
      <w:r w:rsidR="0056786C">
        <w:rPr>
          <w:rFonts w:ascii="Times New Roman" w:hAnsi="Times New Roman" w:cs="Times New Roman"/>
        </w:rPr>
        <w:t>o</w:t>
      </w:r>
      <w:r w:rsidR="0056786C">
        <w:rPr>
          <w:rFonts w:ascii="Times New Roman" w:hAnsi="Times New Roman" w:cs="Times New Roman"/>
        </w:rPr>
        <w:t>veň d</w:t>
      </w:r>
      <w:r>
        <w:rPr>
          <w:rFonts w:ascii="Times New Roman" w:hAnsi="Times New Roman" w:cs="Times New Roman"/>
        </w:rPr>
        <w:t xml:space="preserve">o ustanovenia bola </w:t>
      </w:r>
      <w:r w:rsidR="0056786C">
        <w:rPr>
          <w:rFonts w:ascii="Times New Roman" w:hAnsi="Times New Roman" w:cs="Times New Roman"/>
        </w:rPr>
        <w:t>zapracovaná povinnosť pri uplatnení vrátenia dane zahraničným zástu</w:t>
      </w:r>
      <w:r w:rsidR="0056786C">
        <w:rPr>
          <w:rFonts w:ascii="Times New Roman" w:hAnsi="Times New Roman" w:cs="Times New Roman"/>
        </w:rPr>
        <w:t>p</w:t>
      </w:r>
      <w:r w:rsidR="0056786C">
        <w:rPr>
          <w:rFonts w:ascii="Times New Roman" w:hAnsi="Times New Roman" w:cs="Times New Roman"/>
        </w:rPr>
        <w:t>com</w:t>
      </w:r>
      <w:r w:rsidRPr="0056786C" w:rsidR="0056786C">
        <w:rPr>
          <w:rFonts w:ascii="Times New Roman" w:hAnsi="Times New Roman" w:cs="Times New Roman"/>
        </w:rPr>
        <w:t xml:space="preserve"> </w:t>
      </w:r>
      <w:r w:rsidR="0056786C">
        <w:rPr>
          <w:rFonts w:ascii="Times New Roman" w:hAnsi="Times New Roman" w:cs="Times New Roman"/>
        </w:rPr>
        <w:t>predložiť potvrdenie Ministerstva zahraničných vecí SR o splnení podmienky vzájo</w:t>
      </w:r>
      <w:r w:rsidR="0056786C">
        <w:rPr>
          <w:rFonts w:ascii="Times New Roman" w:hAnsi="Times New Roman" w:cs="Times New Roman"/>
        </w:rPr>
        <w:t>m</w:t>
      </w:r>
      <w:r w:rsidR="0056786C">
        <w:rPr>
          <w:rFonts w:ascii="Times New Roman" w:hAnsi="Times New Roman" w:cs="Times New Roman"/>
        </w:rPr>
        <w:t>nosti.</w:t>
      </w:r>
    </w:p>
    <w:p w:rsidR="00C62E8E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797AF4">
        <w:rPr>
          <w:rFonts w:ascii="Times New Roman" w:hAnsi="Times New Roman" w:cs="Times New Roman"/>
          <w:b/>
        </w:rPr>
        <w:t>K bodu 15</w:t>
      </w:r>
    </w:p>
    <w:p w:rsidR="00695D37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="00730D0B">
        <w:rPr>
          <w:rFonts w:ascii="Times New Roman" w:hAnsi="Times New Roman" w:cs="Times New Roman"/>
        </w:rPr>
        <w:t>Úpravou ustanovenia sa upresňuje</w:t>
      </w:r>
      <w:r w:rsidR="009D72DD">
        <w:rPr>
          <w:rFonts w:ascii="Times New Roman" w:hAnsi="Times New Roman" w:cs="Times New Roman"/>
        </w:rPr>
        <w:t>, ktorá osoba je oprávnená vykonať inventar</w:t>
      </w:r>
      <w:r w:rsidR="002A4C04">
        <w:rPr>
          <w:rFonts w:ascii="Times New Roman" w:hAnsi="Times New Roman" w:cs="Times New Roman"/>
        </w:rPr>
        <w:t>izáciu a podať daňové priznanie</w:t>
      </w:r>
      <w:r w:rsidR="009D72DD">
        <w:rPr>
          <w:rFonts w:ascii="Times New Roman" w:hAnsi="Times New Roman" w:cs="Times New Roman"/>
        </w:rPr>
        <w:t xml:space="preserve"> v prípade úmrtia prevádzkovateľa daňového skladu, ktorým je f</w:t>
      </w:r>
      <w:r w:rsidR="009D72DD">
        <w:rPr>
          <w:rFonts w:ascii="Times New Roman" w:hAnsi="Times New Roman" w:cs="Times New Roman"/>
        </w:rPr>
        <w:t>y</w:t>
      </w:r>
      <w:r w:rsidR="009D72DD">
        <w:rPr>
          <w:rFonts w:ascii="Times New Roman" w:hAnsi="Times New Roman" w:cs="Times New Roman"/>
        </w:rPr>
        <w:t>zická osoba.</w:t>
      </w:r>
    </w:p>
    <w:p w:rsidR="00DC450E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797AF4">
        <w:rPr>
          <w:rFonts w:ascii="Times New Roman" w:hAnsi="Times New Roman" w:cs="Times New Roman"/>
          <w:b/>
        </w:rPr>
        <w:t>K bodu 16</w:t>
      </w:r>
    </w:p>
    <w:p w:rsidR="00DC450E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Pr="00066B83" w:rsidR="009D72DD">
        <w:rPr>
          <w:rFonts w:ascii="Times New Roman" w:hAnsi="Times New Roman" w:cs="Times New Roman"/>
        </w:rPr>
        <w:t xml:space="preserve">Úpravou ustanovenia sa </w:t>
      </w:r>
      <w:r w:rsidRPr="00066B83" w:rsidR="00066B83">
        <w:rPr>
          <w:rFonts w:ascii="Times New Roman" w:hAnsi="Times New Roman" w:cs="Times New Roman"/>
        </w:rPr>
        <w:t>upresnila</w:t>
      </w:r>
      <w:r w:rsidRPr="00066B83" w:rsidR="009D72DD">
        <w:rPr>
          <w:rFonts w:ascii="Times New Roman" w:hAnsi="Times New Roman" w:cs="Times New Roman"/>
        </w:rPr>
        <w:t xml:space="preserve"> právna subjektivita </w:t>
      </w:r>
      <w:r w:rsidRPr="00066B83" w:rsidR="00066B83">
        <w:rPr>
          <w:rFonts w:ascii="Times New Roman" w:hAnsi="Times New Roman" w:cs="Times New Roman"/>
        </w:rPr>
        <w:t>žiadateľa o upustenie od zlož</w:t>
      </w:r>
      <w:r w:rsidRPr="00066B83" w:rsidR="00066B8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nia zábezpeky na daň.</w:t>
      </w:r>
    </w:p>
    <w:p w:rsidR="009D72DD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797AF4">
        <w:rPr>
          <w:rFonts w:ascii="Times New Roman" w:hAnsi="Times New Roman" w:cs="Times New Roman"/>
          <w:b/>
        </w:rPr>
        <w:t>K bodu 17</w:t>
      </w:r>
    </w:p>
    <w:p w:rsidR="00B41453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="009D72DD">
        <w:rPr>
          <w:rFonts w:ascii="Times New Roman" w:hAnsi="Times New Roman" w:cs="Times New Roman"/>
        </w:rPr>
        <w:t xml:space="preserve">Úprava nadviazala na rozšírenie okruhu užívateľských podnikov </w:t>
      </w:r>
      <w:r>
        <w:rPr>
          <w:rFonts w:ascii="Times New Roman" w:hAnsi="Times New Roman" w:cs="Times New Roman"/>
        </w:rPr>
        <w:t>a </w:t>
      </w:r>
      <w:r w:rsidR="00695D37">
        <w:rPr>
          <w:rFonts w:ascii="Times New Roman" w:hAnsi="Times New Roman" w:cs="Times New Roman"/>
        </w:rPr>
        <w:t>upresňuje</w:t>
      </w:r>
      <w:r>
        <w:rPr>
          <w:rFonts w:ascii="Times New Roman" w:hAnsi="Times New Roman" w:cs="Times New Roman"/>
        </w:rPr>
        <w:t xml:space="preserve"> prepravu 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nerálneho oleja oslobodeného od dane na daňovom území.</w:t>
      </w:r>
    </w:p>
    <w:p w:rsidR="00B41453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</w:p>
    <w:p w:rsidR="00DC450E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A81825">
        <w:rPr>
          <w:rFonts w:ascii="Times New Roman" w:hAnsi="Times New Roman" w:cs="Times New Roman"/>
          <w:b/>
        </w:rPr>
        <w:t>K bodom</w:t>
      </w:r>
      <w:r w:rsidR="00797AF4">
        <w:rPr>
          <w:rFonts w:ascii="Times New Roman" w:hAnsi="Times New Roman" w:cs="Times New Roman"/>
          <w:b/>
        </w:rPr>
        <w:t xml:space="preserve"> 18, 21</w:t>
      </w:r>
      <w:r w:rsidR="00A81825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> </w:t>
      </w:r>
      <w:r w:rsidR="00797AF4">
        <w:rPr>
          <w:rFonts w:ascii="Times New Roman" w:hAnsi="Times New Roman" w:cs="Times New Roman"/>
          <w:b/>
        </w:rPr>
        <w:t>23</w:t>
      </w:r>
    </w:p>
    <w:p w:rsidR="00DC450E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="00BB1DA6">
        <w:rPr>
          <w:rFonts w:ascii="Times New Roman" w:hAnsi="Times New Roman" w:cs="Times New Roman"/>
        </w:rPr>
        <w:t>Navrhuje sa upresniť podmienku</w:t>
      </w:r>
      <w:r w:rsidR="00066B83">
        <w:rPr>
          <w:rFonts w:ascii="Times New Roman" w:hAnsi="Times New Roman" w:cs="Times New Roman"/>
        </w:rPr>
        <w:t>, na základe ktor</w:t>
      </w:r>
      <w:r w:rsidR="00BB1DA6">
        <w:rPr>
          <w:rFonts w:ascii="Times New Roman" w:hAnsi="Times New Roman" w:cs="Times New Roman"/>
        </w:rPr>
        <w:t>ej</w:t>
      </w:r>
      <w:r w:rsidR="00066B83">
        <w:rPr>
          <w:rFonts w:ascii="Times New Roman" w:hAnsi="Times New Roman" w:cs="Times New Roman"/>
        </w:rPr>
        <w:t xml:space="preserve"> je mož</w:t>
      </w:r>
      <w:r w:rsidR="00BB1DA6">
        <w:rPr>
          <w:rFonts w:ascii="Times New Roman" w:hAnsi="Times New Roman" w:cs="Times New Roman"/>
        </w:rPr>
        <w:t>né</w:t>
      </w:r>
      <w:r w:rsidR="00066B83">
        <w:rPr>
          <w:rFonts w:ascii="Times New Roman" w:hAnsi="Times New Roman" w:cs="Times New Roman"/>
        </w:rPr>
        <w:t xml:space="preserve"> vrát</w:t>
      </w:r>
      <w:r w:rsidR="00BB1DA6">
        <w:rPr>
          <w:rFonts w:ascii="Times New Roman" w:hAnsi="Times New Roman" w:cs="Times New Roman"/>
        </w:rPr>
        <w:t>iť</w:t>
      </w:r>
      <w:r w:rsidR="00066B83">
        <w:rPr>
          <w:rFonts w:ascii="Times New Roman" w:hAnsi="Times New Roman" w:cs="Times New Roman"/>
        </w:rPr>
        <w:t xml:space="preserve"> zlože</w:t>
      </w:r>
      <w:r w:rsidR="00BB1DA6">
        <w:rPr>
          <w:rFonts w:ascii="Times New Roman" w:hAnsi="Times New Roman" w:cs="Times New Roman"/>
        </w:rPr>
        <w:t>nú</w:t>
      </w:r>
      <w:r w:rsidR="00066B83">
        <w:rPr>
          <w:rFonts w:ascii="Times New Roman" w:hAnsi="Times New Roman" w:cs="Times New Roman"/>
        </w:rPr>
        <w:t xml:space="preserve"> zábezpek</w:t>
      </w:r>
      <w:r w:rsidR="00BB1DA6">
        <w:rPr>
          <w:rFonts w:ascii="Times New Roman" w:hAnsi="Times New Roman" w:cs="Times New Roman"/>
        </w:rPr>
        <w:t>u</w:t>
      </w:r>
      <w:r w:rsidR="00066B83">
        <w:rPr>
          <w:rFonts w:ascii="Times New Roman" w:hAnsi="Times New Roman" w:cs="Times New Roman"/>
        </w:rPr>
        <w:t xml:space="preserve"> na daň na prepravovaný min</w:t>
      </w:r>
      <w:r w:rsidR="00066B8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rálny olej.</w:t>
      </w:r>
    </w:p>
    <w:p w:rsidR="00DA2D0B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797AF4">
        <w:rPr>
          <w:rFonts w:ascii="Times New Roman" w:hAnsi="Times New Roman" w:cs="Times New Roman"/>
          <w:b/>
        </w:rPr>
        <w:t>K bodom 19</w:t>
      </w:r>
      <w:r w:rsidR="00A81825">
        <w:rPr>
          <w:rFonts w:ascii="Times New Roman" w:hAnsi="Times New Roman" w:cs="Times New Roman"/>
          <w:b/>
        </w:rPr>
        <w:t xml:space="preserve"> a</w:t>
      </w:r>
      <w:r w:rsidR="00797AF4">
        <w:rPr>
          <w:rFonts w:ascii="Times New Roman" w:hAnsi="Times New Roman" w:cs="Times New Roman"/>
          <w:b/>
        </w:rPr>
        <w:t xml:space="preserve"> 20</w:t>
      </w:r>
    </w:p>
    <w:p w:rsidR="00DA2D0B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="00DC450E">
        <w:rPr>
          <w:rFonts w:ascii="Times New Roman" w:hAnsi="Times New Roman" w:cs="Times New Roman"/>
        </w:rPr>
        <w:t>N</w:t>
      </w:r>
      <w:r w:rsidR="00BB1DA6">
        <w:rPr>
          <w:rFonts w:ascii="Times New Roman" w:hAnsi="Times New Roman" w:cs="Times New Roman"/>
        </w:rPr>
        <w:t xml:space="preserve">avrhuje sa doplniť ustanovenie, ktoré umožňuje </w:t>
      </w:r>
      <w:r>
        <w:rPr>
          <w:rFonts w:ascii="Times New Roman" w:hAnsi="Times New Roman" w:cs="Times New Roman"/>
        </w:rPr>
        <w:t>prepravu mineráln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ho oleja z daňového skladu na daňovom území slovenskými zástupcami požívajúcimi výsady a imunity podľa 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dzinárodných zmlúv ako aj ozbrojenými silami Slovenskej republiky alebo ich civilnými 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mestnancami na použitie v rámci aktivít podľa medzinárodných zmlúv na územie štátov, kt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ré sú stranami Severoatlantickej zmluvy. Takáto preprava </w:t>
      </w:r>
      <w:r w:rsidR="00416D8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slobodeného min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rálneho oleja sa uskutočňuje so sprievodným dokumentom a osvedčením o oslobodení od spotre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nej dane.</w:t>
      </w:r>
    </w:p>
    <w:p w:rsidR="00DA2D0B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A81825">
        <w:rPr>
          <w:rFonts w:ascii="Times New Roman" w:hAnsi="Times New Roman" w:cs="Times New Roman"/>
          <w:b/>
        </w:rPr>
        <w:t>K bodom</w:t>
      </w:r>
      <w:r w:rsidRPr="00DA2D0B">
        <w:rPr>
          <w:rFonts w:ascii="Times New Roman" w:hAnsi="Times New Roman" w:cs="Times New Roman"/>
          <w:b/>
        </w:rPr>
        <w:t xml:space="preserve"> 2</w:t>
      </w:r>
      <w:r w:rsidR="00797AF4">
        <w:rPr>
          <w:rFonts w:ascii="Times New Roman" w:hAnsi="Times New Roman" w:cs="Times New Roman"/>
          <w:b/>
        </w:rPr>
        <w:t>2</w:t>
      </w:r>
      <w:r w:rsidR="00A81825">
        <w:rPr>
          <w:rFonts w:ascii="Times New Roman" w:hAnsi="Times New Roman" w:cs="Times New Roman"/>
          <w:b/>
        </w:rPr>
        <w:t xml:space="preserve"> a</w:t>
      </w:r>
      <w:r w:rsidR="00797AF4">
        <w:rPr>
          <w:rFonts w:ascii="Times New Roman" w:hAnsi="Times New Roman" w:cs="Times New Roman"/>
          <w:b/>
        </w:rPr>
        <w:t xml:space="preserve"> 26</w:t>
      </w:r>
    </w:p>
    <w:p w:rsidR="008500E2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="00BB1DA6">
        <w:rPr>
          <w:rFonts w:ascii="Times New Roman" w:hAnsi="Times New Roman" w:cs="Times New Roman"/>
        </w:rPr>
        <w:t>Úprava umožňuje</w:t>
      </w:r>
      <w:r w:rsidR="00DA2D0B">
        <w:rPr>
          <w:rFonts w:ascii="Times New Roman" w:hAnsi="Times New Roman" w:cs="Times New Roman"/>
        </w:rPr>
        <w:t xml:space="preserve"> zrušenie registrácie daňového splnomocnenca a odňatie povolenia na zastupovanie spln</w:t>
      </w:r>
      <w:r w:rsidR="00DA2D0B">
        <w:rPr>
          <w:rFonts w:ascii="Times New Roman" w:hAnsi="Times New Roman" w:cs="Times New Roman"/>
        </w:rPr>
        <w:t>o</w:t>
      </w:r>
      <w:r w:rsidR="00416D8C">
        <w:rPr>
          <w:rFonts w:ascii="Times New Roman" w:hAnsi="Times New Roman" w:cs="Times New Roman"/>
        </w:rPr>
        <w:t>mocnencom</w:t>
      </w:r>
      <w:r w:rsidR="00DA2D0B">
        <w:rPr>
          <w:rFonts w:ascii="Times New Roman" w:hAnsi="Times New Roman" w:cs="Times New Roman"/>
        </w:rPr>
        <w:t xml:space="preserve"> pre zásielkový obchod</w:t>
      </w:r>
      <w:r w:rsidR="00416D8C">
        <w:rPr>
          <w:rFonts w:ascii="Times New Roman" w:hAnsi="Times New Roman" w:cs="Times New Roman"/>
        </w:rPr>
        <w:t>.</w:t>
      </w:r>
    </w:p>
    <w:p w:rsidR="00BB1DA6" w:rsidRPr="00053239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797AF4">
        <w:rPr>
          <w:rFonts w:ascii="Times New Roman" w:hAnsi="Times New Roman" w:cs="Times New Roman"/>
          <w:b/>
        </w:rPr>
        <w:t>K bodom  24 a 25</w:t>
      </w:r>
    </w:p>
    <w:p w:rsidR="00BB1DA6" w:rsidRPr="00053239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Pr="00053239">
        <w:rPr>
          <w:rFonts w:ascii="Times New Roman" w:hAnsi="Times New Roman" w:cs="Times New Roman"/>
        </w:rPr>
        <w:t>Nadväzne na osobitú úpravu pre zemný plyn je potrebné vyňať z ustanov</w:t>
      </w:r>
      <w:r w:rsidRPr="00053239">
        <w:rPr>
          <w:rFonts w:ascii="Times New Roman" w:hAnsi="Times New Roman" w:cs="Times New Roman"/>
        </w:rPr>
        <w:t>e</w:t>
      </w:r>
      <w:r w:rsidRPr="00053239">
        <w:rPr>
          <w:rFonts w:ascii="Times New Roman" w:hAnsi="Times New Roman" w:cs="Times New Roman"/>
        </w:rPr>
        <w:t>nia § 29 ods. 1 a 2 zemný plyn.</w:t>
      </w:r>
    </w:p>
    <w:p w:rsidR="00845542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8F5BA7">
        <w:rPr>
          <w:rFonts w:ascii="Times New Roman" w:hAnsi="Times New Roman" w:cs="Times New Roman"/>
          <w:b/>
        </w:rPr>
        <w:t>K</w:t>
      </w:r>
      <w:r w:rsidR="00797AF4">
        <w:rPr>
          <w:rFonts w:ascii="Times New Roman" w:hAnsi="Times New Roman" w:cs="Times New Roman"/>
          <w:b/>
        </w:rPr>
        <w:t> bodu 27</w:t>
      </w:r>
    </w:p>
    <w:p w:rsidR="008F5BA7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Pr="008F5BA7">
        <w:rPr>
          <w:rFonts w:ascii="Times New Roman" w:hAnsi="Times New Roman" w:cs="Times New Roman"/>
        </w:rPr>
        <w:t>Predmetnou úpravou sa do zá</w:t>
      </w:r>
      <w:r>
        <w:rPr>
          <w:rFonts w:ascii="Times New Roman" w:hAnsi="Times New Roman" w:cs="Times New Roman"/>
        </w:rPr>
        <w:t>kona zapracovala osobitná úprava pre zemný plyn</w:t>
      </w:r>
      <w:r w:rsidR="00E24340">
        <w:rPr>
          <w:rFonts w:ascii="Times New Roman" w:hAnsi="Times New Roman" w:cs="Times New Roman"/>
        </w:rPr>
        <w:t>, ktorá znamená, že nadväzne</w:t>
      </w:r>
      <w:r w:rsidR="00A3295B">
        <w:rPr>
          <w:rFonts w:ascii="Times New Roman" w:hAnsi="Times New Roman" w:cs="Times New Roman"/>
        </w:rPr>
        <w:t xml:space="preserve"> na ustanovenia smernice Rady</w:t>
      </w:r>
      <w:r w:rsidR="00E24340">
        <w:rPr>
          <w:rFonts w:ascii="Times New Roman" w:hAnsi="Times New Roman" w:cs="Times New Roman"/>
        </w:rPr>
        <w:t xml:space="preserve"> 2003/96/ES sa na zemný plyn neupla</w:t>
      </w:r>
      <w:r w:rsidR="00E24340">
        <w:rPr>
          <w:rFonts w:ascii="Times New Roman" w:hAnsi="Times New Roman" w:cs="Times New Roman"/>
        </w:rPr>
        <w:t>t</w:t>
      </w:r>
      <w:r w:rsidR="00E24340">
        <w:rPr>
          <w:rFonts w:ascii="Times New Roman" w:hAnsi="Times New Roman" w:cs="Times New Roman"/>
        </w:rPr>
        <w:t>ňujú ustanovenia o pozastavení dane. Právnické osoby alebo fyzické osoby, ktoré chcú pr</w:t>
      </w:r>
      <w:r w:rsidR="00E24340">
        <w:rPr>
          <w:rFonts w:ascii="Times New Roman" w:hAnsi="Times New Roman" w:cs="Times New Roman"/>
        </w:rPr>
        <w:t>e</w:t>
      </w:r>
      <w:r w:rsidR="00E24340">
        <w:rPr>
          <w:rFonts w:ascii="Times New Roman" w:hAnsi="Times New Roman" w:cs="Times New Roman"/>
        </w:rPr>
        <w:t>vádzkovať podnik na výrobu</w:t>
      </w:r>
      <w:r w:rsidR="00914C7C">
        <w:rPr>
          <w:rFonts w:ascii="Times New Roman" w:hAnsi="Times New Roman" w:cs="Times New Roman"/>
        </w:rPr>
        <w:t>,</w:t>
      </w:r>
      <w:r w:rsidR="00E24340">
        <w:rPr>
          <w:rFonts w:ascii="Times New Roman" w:hAnsi="Times New Roman" w:cs="Times New Roman"/>
        </w:rPr>
        <w:t xml:space="preserve"> spracovanie alebo skladovanie zemného plynu, colný </w:t>
      </w:r>
      <w:r w:rsidR="00E24340">
        <w:rPr>
          <w:rFonts w:ascii="Times New Roman" w:hAnsi="Times New Roman" w:cs="Times New Roman"/>
        </w:rPr>
        <w:t>ú</w:t>
      </w:r>
      <w:r w:rsidR="00E24340">
        <w:rPr>
          <w:rFonts w:ascii="Times New Roman" w:hAnsi="Times New Roman" w:cs="Times New Roman"/>
        </w:rPr>
        <w:t xml:space="preserve">rad na základe žiadosti zaradí </w:t>
      </w:r>
      <w:r w:rsidR="00E20F00">
        <w:rPr>
          <w:rFonts w:ascii="Times New Roman" w:hAnsi="Times New Roman" w:cs="Times New Roman"/>
        </w:rPr>
        <w:t>do evidencie prevádzkovateľov podnikov  na výrobu, spracova</w:t>
      </w:r>
      <w:r w:rsidR="00E24340">
        <w:rPr>
          <w:rFonts w:ascii="Times New Roman" w:hAnsi="Times New Roman" w:cs="Times New Roman"/>
        </w:rPr>
        <w:t>nie al</w:t>
      </w:r>
      <w:r w:rsidR="00E24340">
        <w:rPr>
          <w:rFonts w:ascii="Times New Roman" w:hAnsi="Times New Roman" w:cs="Times New Roman"/>
        </w:rPr>
        <w:t>e</w:t>
      </w:r>
      <w:r w:rsidR="00E24340">
        <w:rPr>
          <w:rFonts w:ascii="Times New Roman" w:hAnsi="Times New Roman" w:cs="Times New Roman"/>
        </w:rPr>
        <w:t xml:space="preserve">bo skladovanie </w:t>
      </w:r>
      <w:r w:rsidR="00E20F00">
        <w:rPr>
          <w:rFonts w:ascii="Times New Roman" w:hAnsi="Times New Roman" w:cs="Times New Roman"/>
        </w:rPr>
        <w:t>zemného plynu</w:t>
      </w:r>
      <w:r w:rsidR="00E24340">
        <w:rPr>
          <w:rFonts w:ascii="Times New Roman" w:hAnsi="Times New Roman" w:cs="Times New Roman"/>
        </w:rPr>
        <w:t>.</w:t>
      </w:r>
    </w:p>
    <w:p w:rsidR="00E24340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797AF4">
        <w:rPr>
          <w:rFonts w:ascii="Times New Roman" w:hAnsi="Times New Roman" w:cs="Times New Roman"/>
          <w:b/>
        </w:rPr>
        <w:t>K bodu 28</w:t>
      </w:r>
      <w:r w:rsidRPr="00E24340">
        <w:rPr>
          <w:rFonts w:ascii="Times New Roman" w:hAnsi="Times New Roman" w:cs="Times New Roman"/>
          <w:b/>
        </w:rPr>
        <w:t xml:space="preserve"> </w:t>
      </w:r>
    </w:p>
    <w:p w:rsidR="009F6B14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Nadväzne na osobitnú úpravu pre zemný plyn, </w:t>
      </w:r>
      <w:r w:rsidR="002A4C04">
        <w:rPr>
          <w:rFonts w:ascii="Times New Roman" w:hAnsi="Times New Roman" w:cs="Times New Roman"/>
        </w:rPr>
        <w:t xml:space="preserve">sa dopĺňa ustanovenie o vedení evidencie o povinnosť </w:t>
      </w:r>
      <w:r>
        <w:rPr>
          <w:rFonts w:ascii="Times New Roman" w:hAnsi="Times New Roman" w:cs="Times New Roman"/>
        </w:rPr>
        <w:t>viesť evidenciu prevádzkovateľov podnikov na výrobu, spracovanie alebo sklad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vanie ze</w:t>
      </w:r>
      <w:r>
        <w:rPr>
          <w:rFonts w:ascii="Times New Roman" w:hAnsi="Times New Roman" w:cs="Times New Roman"/>
        </w:rPr>
        <w:t>m</w:t>
      </w:r>
      <w:r w:rsidR="002A4C04">
        <w:rPr>
          <w:rFonts w:ascii="Times New Roman" w:hAnsi="Times New Roman" w:cs="Times New Roman"/>
        </w:rPr>
        <w:t>ného plynu colným úradom.</w:t>
      </w:r>
    </w:p>
    <w:p w:rsidR="00DC450E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9F6B14">
        <w:rPr>
          <w:rFonts w:ascii="Times New Roman" w:hAnsi="Times New Roman" w:cs="Times New Roman"/>
          <w:b/>
        </w:rPr>
        <w:t>K bodu 29</w:t>
      </w:r>
    </w:p>
    <w:p w:rsidR="00E24340" w:rsidRPr="00DC450E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Pr="00E24340">
        <w:rPr>
          <w:rFonts w:ascii="Times New Roman" w:hAnsi="Times New Roman" w:cs="Times New Roman"/>
        </w:rPr>
        <w:t>Nadväzne na osobitnú úpravu pre zemný plyn</w:t>
      </w:r>
      <w:r>
        <w:rPr>
          <w:rFonts w:ascii="Times New Roman" w:hAnsi="Times New Roman" w:cs="Times New Roman"/>
        </w:rPr>
        <w:t xml:space="preserve">  je potrebné vyňať zemný plyn zo san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cie pri d</w:t>
      </w:r>
      <w:r w:rsidR="002A4C04">
        <w:rPr>
          <w:rFonts w:ascii="Times New Roman" w:hAnsi="Times New Roman" w:cs="Times New Roman"/>
        </w:rPr>
        <w:t>ržbe minerálneho oleja,  ktorú</w:t>
      </w:r>
      <w:r>
        <w:rPr>
          <w:rFonts w:ascii="Times New Roman" w:hAnsi="Times New Roman" w:cs="Times New Roman"/>
        </w:rPr>
        <w:t xml:space="preserve"> subjekt nevie preukázať.</w:t>
      </w:r>
    </w:p>
    <w:p w:rsidR="007F49A8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C62E8E">
        <w:rPr>
          <w:rFonts w:ascii="Times New Roman" w:hAnsi="Times New Roman" w:cs="Times New Roman"/>
          <w:b/>
        </w:rPr>
        <w:t>K</w:t>
      </w:r>
      <w:r w:rsidR="009F6B14">
        <w:rPr>
          <w:rFonts w:ascii="Times New Roman" w:hAnsi="Times New Roman" w:cs="Times New Roman"/>
          <w:b/>
        </w:rPr>
        <w:t> bodu 30</w:t>
      </w:r>
    </w:p>
    <w:p w:rsidR="00CE2058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="00DC450E">
        <w:rPr>
          <w:rFonts w:ascii="Times New Roman" w:hAnsi="Times New Roman" w:cs="Times New Roman"/>
        </w:rPr>
        <w:t>Ú</w:t>
      </w:r>
      <w:r w:rsidRPr="00CE2058">
        <w:rPr>
          <w:rFonts w:ascii="Times New Roman" w:hAnsi="Times New Roman" w:cs="Times New Roman"/>
        </w:rPr>
        <w:t>pravou</w:t>
      </w:r>
      <w:r w:rsidR="00E24340">
        <w:rPr>
          <w:rFonts w:ascii="Times New Roman" w:hAnsi="Times New Roman" w:cs="Times New Roman"/>
        </w:rPr>
        <w:t xml:space="preserve"> sa rozširuje</w:t>
      </w:r>
      <w:r>
        <w:rPr>
          <w:rFonts w:ascii="Times New Roman" w:hAnsi="Times New Roman" w:cs="Times New Roman"/>
        </w:rPr>
        <w:t xml:space="preserve"> možnosť uloženia sankcie v prípade nesplnenia si povinnosti zl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žiť zábezpeku pri preprave minerá</w:t>
      </w:r>
      <w:r w:rsidR="00455838">
        <w:rPr>
          <w:rFonts w:ascii="Times New Roman" w:hAnsi="Times New Roman" w:cs="Times New Roman"/>
        </w:rPr>
        <w:t xml:space="preserve">lneho oleja v pozastavení dane, </w:t>
      </w:r>
      <w:r>
        <w:rPr>
          <w:rFonts w:ascii="Times New Roman" w:hAnsi="Times New Roman" w:cs="Times New Roman"/>
        </w:rPr>
        <w:t>minerálneho oleja oslobode</w:t>
      </w:r>
      <w:r w:rsidR="00455838">
        <w:rPr>
          <w:rFonts w:ascii="Times New Roman" w:hAnsi="Times New Roman" w:cs="Times New Roman"/>
        </w:rPr>
        <w:t>n</w:t>
      </w:r>
      <w:r w:rsidR="00455838">
        <w:rPr>
          <w:rFonts w:ascii="Times New Roman" w:hAnsi="Times New Roman" w:cs="Times New Roman"/>
        </w:rPr>
        <w:t>é</w:t>
      </w:r>
      <w:r w:rsidR="00455838">
        <w:rPr>
          <w:rFonts w:ascii="Times New Roman" w:hAnsi="Times New Roman" w:cs="Times New Roman"/>
        </w:rPr>
        <w:t xml:space="preserve">ho od dane na daňovom území, </w:t>
      </w:r>
      <w:r>
        <w:rPr>
          <w:rFonts w:ascii="Times New Roman" w:hAnsi="Times New Roman" w:cs="Times New Roman"/>
        </w:rPr>
        <w:t>pri preprave minerálneho oleja v pozast</w:t>
      </w:r>
      <w:r>
        <w:rPr>
          <w:rFonts w:ascii="Times New Roman" w:hAnsi="Times New Roman" w:cs="Times New Roman"/>
        </w:rPr>
        <w:t>a</w:t>
      </w:r>
      <w:r w:rsidR="00455838">
        <w:rPr>
          <w:rFonts w:ascii="Times New Roman" w:hAnsi="Times New Roman" w:cs="Times New Roman"/>
        </w:rPr>
        <w:t>vení dane na území únie a pri preprave minerálneho oleja mimo pozastavenia dane na podnik</w:t>
      </w:r>
      <w:r w:rsidR="00455838">
        <w:rPr>
          <w:rFonts w:ascii="Times New Roman" w:hAnsi="Times New Roman" w:cs="Times New Roman"/>
        </w:rPr>
        <w:t>a</w:t>
      </w:r>
      <w:r w:rsidR="00455838">
        <w:rPr>
          <w:rFonts w:ascii="Times New Roman" w:hAnsi="Times New Roman" w:cs="Times New Roman"/>
        </w:rPr>
        <w:t>teľské účely.</w:t>
      </w:r>
    </w:p>
    <w:p w:rsidR="00E20F00" w:rsidRPr="00E20F00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9F6B14">
        <w:rPr>
          <w:rFonts w:ascii="Times New Roman" w:hAnsi="Times New Roman" w:cs="Times New Roman"/>
          <w:b/>
        </w:rPr>
        <w:t>K bodu 31</w:t>
      </w:r>
    </w:p>
    <w:p w:rsidR="00E20F00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="00DC450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rechodné ustanovenia k úpravám účinným od 1. januára 2005, </w:t>
      </w:r>
      <w:r w:rsidR="00053239">
        <w:rPr>
          <w:rFonts w:ascii="Times New Roman" w:hAnsi="Times New Roman" w:cs="Times New Roman"/>
        </w:rPr>
        <w:t xml:space="preserve">riešia termín podania </w:t>
      </w:r>
      <w:r>
        <w:rPr>
          <w:rFonts w:ascii="Times New Roman" w:hAnsi="Times New Roman" w:cs="Times New Roman"/>
        </w:rPr>
        <w:t>ži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dosti o zaradenie do evidencie</w:t>
      </w:r>
      <w:r w:rsidRPr="00E20F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prevádzkovateľov podnikov na výrobu</w:t>
      </w:r>
      <w:r w:rsidR="009F6B1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spracova</w:t>
      </w:r>
      <w:r w:rsidR="00053239">
        <w:rPr>
          <w:rFonts w:ascii="Times New Roman" w:hAnsi="Times New Roman" w:cs="Times New Roman"/>
        </w:rPr>
        <w:t>nie al</w:t>
      </w:r>
      <w:r w:rsidR="00053239">
        <w:rPr>
          <w:rFonts w:ascii="Times New Roman" w:hAnsi="Times New Roman" w:cs="Times New Roman"/>
        </w:rPr>
        <w:t>e</w:t>
      </w:r>
      <w:r w:rsidR="00053239">
        <w:rPr>
          <w:rFonts w:ascii="Times New Roman" w:hAnsi="Times New Roman" w:cs="Times New Roman"/>
        </w:rPr>
        <w:t xml:space="preserve">bo </w:t>
      </w:r>
      <w:r>
        <w:rPr>
          <w:rFonts w:ascii="Times New Roman" w:hAnsi="Times New Roman" w:cs="Times New Roman"/>
        </w:rPr>
        <w:t>skladovanie zemného plynu, náležitosti predmetnej žiadosti a postup colného úradu</w:t>
      </w:r>
      <w:r w:rsidR="00DC450E">
        <w:rPr>
          <w:rFonts w:ascii="Times New Roman" w:hAnsi="Times New Roman" w:cs="Times New Roman"/>
        </w:rPr>
        <w:t xml:space="preserve"> v </w:t>
      </w:r>
      <w:r w:rsidR="00053239">
        <w:rPr>
          <w:rFonts w:ascii="Times New Roman" w:hAnsi="Times New Roman" w:cs="Times New Roman"/>
        </w:rPr>
        <w:t>pr</w:t>
      </w:r>
      <w:r w:rsidR="00053239">
        <w:rPr>
          <w:rFonts w:ascii="Times New Roman" w:hAnsi="Times New Roman" w:cs="Times New Roman"/>
        </w:rPr>
        <w:t>e</w:t>
      </w:r>
      <w:r w:rsidR="00053239">
        <w:rPr>
          <w:rFonts w:ascii="Times New Roman" w:hAnsi="Times New Roman" w:cs="Times New Roman"/>
        </w:rPr>
        <w:t>chodnom období.</w:t>
      </w:r>
    </w:p>
    <w:p w:rsidR="00C04951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</w:p>
    <w:p w:rsidR="00C04951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</w:p>
    <w:p w:rsidR="00C04951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9F6B14">
        <w:rPr>
          <w:rFonts w:ascii="Times New Roman" w:hAnsi="Times New Roman" w:cs="Times New Roman"/>
          <w:b/>
        </w:rPr>
        <w:t>K bodu 32</w:t>
      </w:r>
    </w:p>
    <w:p w:rsidR="009F6B14" w:rsidRPr="00C04951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="00CA2026">
        <w:rPr>
          <w:rFonts w:ascii="Times New Roman" w:hAnsi="Times New Roman" w:cs="Times New Roman"/>
        </w:rPr>
        <w:t>Hlavným dôvodom, ktorý viedol k vypracovaniu návrhu zákona, je potreba z</w:t>
      </w:r>
      <w:r w:rsidR="00CA2026">
        <w:rPr>
          <w:rFonts w:ascii="Times New Roman" w:hAnsi="Times New Roman" w:cs="Times New Roman"/>
        </w:rPr>
        <w:t>o</w:t>
      </w:r>
      <w:r w:rsidR="00CA2026">
        <w:rPr>
          <w:rFonts w:ascii="Times New Roman" w:hAnsi="Times New Roman" w:cs="Times New Roman"/>
        </w:rPr>
        <w:t>súladenia platného právneho stavu so smernicou Rady 2003/96/ES o reštrukturalizácii rámcových pre</w:t>
      </w:r>
      <w:r w:rsidR="00CA2026">
        <w:rPr>
          <w:rFonts w:ascii="Times New Roman" w:hAnsi="Times New Roman" w:cs="Times New Roman"/>
        </w:rPr>
        <w:t>d</w:t>
      </w:r>
      <w:r w:rsidR="00CA2026">
        <w:rPr>
          <w:rFonts w:ascii="Times New Roman" w:hAnsi="Times New Roman" w:cs="Times New Roman"/>
        </w:rPr>
        <w:t>pisov spoločenstva k zdaneniu energetických produktov a elektrickej energie, ktorá nahradila smernicu Rady 92/81/EHS o zosúladení štruktúr spotrebných daní pre minerá</w:t>
      </w:r>
      <w:r w:rsidR="00CA2026">
        <w:rPr>
          <w:rFonts w:ascii="Times New Roman" w:hAnsi="Times New Roman" w:cs="Times New Roman"/>
        </w:rPr>
        <w:t>l</w:t>
      </w:r>
      <w:r w:rsidR="00CA2026">
        <w:rPr>
          <w:rFonts w:ascii="Times New Roman" w:hAnsi="Times New Roman" w:cs="Times New Roman"/>
        </w:rPr>
        <w:t>ne oleje v znení smernice Rady 92/108/EHS a 94/74/ES a smernicu Rady 92/82/EHS o približ</w:t>
      </w:r>
      <w:r w:rsidR="00CA2026">
        <w:rPr>
          <w:rFonts w:ascii="Times New Roman" w:hAnsi="Times New Roman" w:cs="Times New Roman"/>
        </w:rPr>
        <w:t>o</w:t>
      </w:r>
      <w:r w:rsidR="00CA2026">
        <w:rPr>
          <w:rFonts w:ascii="Times New Roman" w:hAnsi="Times New Roman" w:cs="Times New Roman"/>
        </w:rPr>
        <w:t>vaní sadzieb spotrebnej dane na minerálne oleje v znení smernice Rady 94/74/EHS. Táto zmena bola pr</w:t>
      </w:r>
      <w:r w:rsidR="00CA2026">
        <w:rPr>
          <w:rFonts w:ascii="Times New Roman" w:hAnsi="Times New Roman" w:cs="Times New Roman"/>
        </w:rPr>
        <w:t>e</w:t>
      </w:r>
      <w:r w:rsidR="00CA2026">
        <w:rPr>
          <w:rFonts w:ascii="Times New Roman" w:hAnsi="Times New Roman" w:cs="Times New Roman"/>
        </w:rPr>
        <w:t>mietnutá do Prílohy č. 1 k zákonu č. 98/2004 Z.z. o spotrebnej dani z minerálneho oleja.</w:t>
      </w:r>
    </w:p>
    <w:p w:rsidR="00416D8C" w:rsidP="009F6D40">
      <w:pPr>
        <w:spacing w:before="120"/>
        <w:ind w:firstLine="340"/>
        <w:jc w:val="both"/>
        <w:rPr>
          <w:rFonts w:ascii="Times New Roman" w:hAnsi="Times New Roman" w:cs="Times New Roman"/>
          <w:b/>
        </w:rPr>
      </w:pPr>
      <w:r w:rsidRPr="00416D8C">
        <w:rPr>
          <w:rFonts w:ascii="Times New Roman" w:hAnsi="Times New Roman" w:cs="Times New Roman"/>
          <w:b/>
        </w:rPr>
        <w:t>K Čl. II.</w:t>
      </w:r>
    </w:p>
    <w:p w:rsidR="00416D8C" w:rsidRPr="00416D8C" w:rsidP="009F6D40">
      <w:pPr>
        <w:spacing w:before="120"/>
        <w:ind w:firstLine="340"/>
        <w:jc w:val="both"/>
        <w:rPr>
          <w:rFonts w:ascii="Times New Roman" w:hAnsi="Times New Roman" w:cs="Times New Roman"/>
        </w:rPr>
      </w:pPr>
      <w:r w:rsidR="00066B83">
        <w:rPr>
          <w:rFonts w:ascii="Times New Roman" w:hAnsi="Times New Roman" w:cs="Times New Roman"/>
        </w:rPr>
        <w:t xml:space="preserve">Účinnosť sa navrhuje od 1. </w:t>
      </w:r>
      <w:r w:rsidR="00E20F00">
        <w:rPr>
          <w:rFonts w:ascii="Times New Roman" w:hAnsi="Times New Roman" w:cs="Times New Roman"/>
        </w:rPr>
        <w:t>novembra 2004</w:t>
      </w:r>
      <w:r w:rsidR="00A3295B">
        <w:rPr>
          <w:rFonts w:ascii="Times New Roman" w:hAnsi="Times New Roman" w:cs="Times New Roman"/>
        </w:rPr>
        <w:t xml:space="preserve"> s výnimkou Čl. I. bodov 1 až 30</w:t>
      </w:r>
      <w:r w:rsidR="00CA2026">
        <w:rPr>
          <w:rFonts w:ascii="Times New Roman" w:hAnsi="Times New Roman" w:cs="Times New Roman"/>
        </w:rPr>
        <w:t xml:space="preserve"> a 32</w:t>
      </w:r>
      <w:r w:rsidR="00E20F00">
        <w:rPr>
          <w:rFonts w:ascii="Times New Roman" w:hAnsi="Times New Roman" w:cs="Times New Roman"/>
        </w:rPr>
        <w:t>, kde sa navrhuje účinnosť od 1. januára 2005.</w:t>
      </w:r>
    </w:p>
    <w:p w:rsidR="00C04951" w:rsidP="009F6D40">
      <w:pPr>
        <w:spacing w:before="120"/>
        <w:ind w:firstLine="340"/>
        <w:jc w:val="center"/>
        <w:rPr>
          <w:rFonts w:ascii="Times New Roman" w:hAnsi="Times New Roman" w:cs="Times New Roman"/>
          <w:b/>
        </w:rPr>
      </w:pPr>
    </w:p>
    <w:p w:rsidR="00A56DAC" w:rsidP="009F6D40">
      <w:pPr>
        <w:spacing w:before="120"/>
        <w:ind w:firstLine="340"/>
        <w:jc w:val="center"/>
        <w:rPr>
          <w:rFonts w:ascii="Times New Roman" w:hAnsi="Times New Roman" w:cs="Times New Roman"/>
          <w:b/>
        </w:rPr>
      </w:pPr>
    </w:p>
    <w:p w:rsidR="00A56DAC" w:rsidP="009F6D40">
      <w:pPr>
        <w:spacing w:before="120"/>
        <w:ind w:firstLine="340"/>
        <w:jc w:val="center"/>
        <w:rPr>
          <w:rFonts w:ascii="Times New Roman" w:hAnsi="Times New Roman" w:cs="Times New Roman"/>
          <w:b/>
        </w:rPr>
      </w:pPr>
    </w:p>
    <w:p w:rsidR="00A3295B" w:rsidP="009F6D40">
      <w:pPr>
        <w:spacing w:before="120"/>
        <w:ind w:firstLine="3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Mikuláš Dzurinda</w:t>
      </w:r>
      <w:r w:rsidR="002C79B4">
        <w:rPr>
          <w:rFonts w:ascii="Times New Roman" w:hAnsi="Times New Roman" w:cs="Times New Roman"/>
          <w:b/>
        </w:rPr>
        <w:t xml:space="preserve">  v.r.</w:t>
      </w:r>
    </w:p>
    <w:p w:rsidR="00A3295B" w:rsidP="009F6D40">
      <w:pPr>
        <w:spacing w:before="120"/>
        <w:ind w:firstLine="3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vlády Slovenskej republiky</w:t>
      </w:r>
    </w:p>
    <w:p w:rsidR="00A3295B" w:rsidP="009F6D40">
      <w:pPr>
        <w:spacing w:before="120"/>
        <w:ind w:firstLine="340"/>
        <w:jc w:val="center"/>
        <w:rPr>
          <w:rFonts w:ascii="Times New Roman" w:hAnsi="Times New Roman" w:cs="Times New Roman"/>
          <w:b/>
        </w:rPr>
      </w:pPr>
    </w:p>
    <w:p w:rsidR="00A3295B" w:rsidP="009F6D40">
      <w:pPr>
        <w:spacing w:before="120"/>
        <w:ind w:firstLine="340"/>
        <w:jc w:val="center"/>
        <w:rPr>
          <w:rFonts w:ascii="Times New Roman" w:hAnsi="Times New Roman" w:cs="Times New Roman"/>
          <w:b/>
        </w:rPr>
      </w:pPr>
    </w:p>
    <w:p w:rsidR="002C79B4" w:rsidP="009F6D40">
      <w:pPr>
        <w:spacing w:before="120"/>
        <w:ind w:firstLine="340"/>
        <w:jc w:val="center"/>
        <w:rPr>
          <w:rFonts w:ascii="Times New Roman" w:hAnsi="Times New Roman" w:cs="Times New Roman"/>
          <w:b/>
        </w:rPr>
      </w:pPr>
    </w:p>
    <w:p w:rsidR="00A3295B" w:rsidP="009F6D40">
      <w:pPr>
        <w:spacing w:before="120"/>
        <w:ind w:firstLine="3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Ivan Mikloš</w:t>
      </w:r>
      <w:r w:rsidR="002C79B4">
        <w:rPr>
          <w:rFonts w:ascii="Times New Roman" w:hAnsi="Times New Roman" w:cs="Times New Roman"/>
          <w:b/>
        </w:rPr>
        <w:t xml:space="preserve">  v.r.</w:t>
      </w:r>
    </w:p>
    <w:p w:rsidR="00A3295B" w:rsidP="009F6D40">
      <w:pPr>
        <w:spacing w:before="120"/>
        <w:ind w:firstLine="3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podpredseda vlády a</w:t>
      </w:r>
    </w:p>
    <w:p w:rsidR="00A3295B" w:rsidRPr="00A3295B" w:rsidP="009F6D40">
      <w:pPr>
        <w:spacing w:before="120"/>
        <w:ind w:firstLine="3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minister financií Slovenskej republiky</w:t>
      </w:r>
    </w:p>
    <w:sectPr>
      <w:footerReference w:type="even" r:id="rId4"/>
      <w:footerReference w:type="default" r:id="rId5"/>
      <w:pgSz w:w="11906" w:h="16838" w:code="9"/>
      <w:pgMar w:top="1418" w:right="1418" w:bottom="1418" w:left="1418" w:header="567" w:footer="567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AC" w:rsidP="0046613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56DA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AC" w:rsidP="0046613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C79B4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A56DA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6AD"/>
    <w:multiLevelType w:val="hybridMultilevel"/>
    <w:tmpl w:val="55502DF8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20F3517B"/>
    <w:multiLevelType w:val="hybridMultilevel"/>
    <w:tmpl w:val="68A025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6656344D"/>
    <w:multiLevelType w:val="hybridMultilevel"/>
    <w:tmpl w:val="7FF6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87C23"/>
    <w:multiLevelType w:val="hybridMultilevel"/>
    <w:tmpl w:val="2DFC9130"/>
    <w:lvl w:ilvl="0">
      <w:start w:val="0"/>
      <w:numFmt w:val="bullet"/>
      <w:lvlText w:val="-"/>
      <w:lvlJc w:val="left"/>
      <w:pPr>
        <w:tabs>
          <w:tab w:val="num" w:pos="510"/>
        </w:tabs>
        <w:ind w:left="510" w:hanging="170"/>
      </w:p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/>
        <w:rtl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stylePaneFormatFilter w:val="3F01"/>
  <w:defaultTabStop w:val="340"/>
  <w:autoHyphenation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3239"/>
    <w:rsid w:val="00066B83"/>
    <w:rsid w:val="00096023"/>
    <w:rsid w:val="00183621"/>
    <w:rsid w:val="00280FF3"/>
    <w:rsid w:val="002A4C04"/>
    <w:rsid w:val="002C79B4"/>
    <w:rsid w:val="002D5196"/>
    <w:rsid w:val="002F18EB"/>
    <w:rsid w:val="00416D8C"/>
    <w:rsid w:val="00422B14"/>
    <w:rsid w:val="00455838"/>
    <w:rsid w:val="00466138"/>
    <w:rsid w:val="004A4C66"/>
    <w:rsid w:val="0056786C"/>
    <w:rsid w:val="0059575A"/>
    <w:rsid w:val="005C0522"/>
    <w:rsid w:val="00695D37"/>
    <w:rsid w:val="00730D0B"/>
    <w:rsid w:val="00755AC2"/>
    <w:rsid w:val="00797AF4"/>
    <w:rsid w:val="007F49A8"/>
    <w:rsid w:val="00845542"/>
    <w:rsid w:val="008500E2"/>
    <w:rsid w:val="008A5AD9"/>
    <w:rsid w:val="008E1C36"/>
    <w:rsid w:val="008F5BA7"/>
    <w:rsid w:val="00914C7C"/>
    <w:rsid w:val="009325AA"/>
    <w:rsid w:val="00991108"/>
    <w:rsid w:val="009D00F0"/>
    <w:rsid w:val="009D72DD"/>
    <w:rsid w:val="009F6B14"/>
    <w:rsid w:val="009F6D40"/>
    <w:rsid w:val="00A3295B"/>
    <w:rsid w:val="00A56DAC"/>
    <w:rsid w:val="00A81825"/>
    <w:rsid w:val="00AA7374"/>
    <w:rsid w:val="00B41453"/>
    <w:rsid w:val="00BB1DA6"/>
    <w:rsid w:val="00C04951"/>
    <w:rsid w:val="00C425E8"/>
    <w:rsid w:val="00C62E8E"/>
    <w:rsid w:val="00CA2026"/>
    <w:rsid w:val="00CE2058"/>
    <w:rsid w:val="00DA2D0B"/>
    <w:rsid w:val="00DC1844"/>
    <w:rsid w:val="00DC450E"/>
    <w:rsid w:val="00E20F00"/>
    <w:rsid w:val="00E24340"/>
    <w:rsid w:val="00F90F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46613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661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1676</Words>
  <Characters>9558</Characters>
  <Application>Microsoft Office Word</Application>
  <DocSecurity>0</DocSecurity>
  <Lines>0</Lines>
  <Paragraphs>0</Paragraphs>
  <ScaleCrop>false</ScaleCrop>
  <Company>MFSR</Company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mchromiakova</dc:creator>
  <cp:lastModifiedBy>mchromiakova</cp:lastModifiedBy>
  <cp:revision>2</cp:revision>
  <cp:lastPrinted>2004-08-20T05:52:00Z</cp:lastPrinted>
  <dcterms:created xsi:type="dcterms:W3CDTF">2004-08-20T05:56:00Z</dcterms:created>
  <dcterms:modified xsi:type="dcterms:W3CDTF">2004-08-20T05:56:00Z</dcterms:modified>
</cp:coreProperties>
</file>