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C531AE" w:rsidP="00C531AE">
      <w:pPr>
        <w:pStyle w:val="TABUKA-nadpis"/>
        <w:rPr>
          <w:rFonts w:ascii="Times New Roman" w:hAnsi="Times New Roman" w:cs="Times New Roman"/>
        </w:rPr>
      </w:pPr>
      <w:r>
        <w:rPr>
          <w:rFonts w:ascii="Times New Roman" w:hAnsi="Times New Roman" w:cs="Times New Roman"/>
        </w:rPr>
        <w:t>TABUĽKA  ZHODY</w:t>
      </w:r>
    </w:p>
    <w:p w:rsidR="00C531AE" w:rsidP="00C531AE">
      <w:pPr>
        <w:pStyle w:val="TABUKA-nadpis"/>
        <w:rPr>
          <w:rFonts w:ascii="Times New Roman" w:hAnsi="Times New Roman" w:cs="Times New Roman"/>
        </w:rPr>
      </w:pPr>
      <w:r>
        <w:rPr>
          <w:rFonts w:ascii="Times New Roman" w:hAnsi="Times New Roman" w:cs="Times New Roman"/>
        </w:rPr>
        <w:t>návrhu zákona, ktorým sa mení a dopĺňa zákon č. 222/2004 Z. z. o dani z pridanej hodnoty v znení zákona č. 350/2004 Z.z.</w:t>
      </w:r>
    </w:p>
    <w:p w:rsidR="00C531AE" w:rsidP="00C531AE">
      <w:pPr>
        <w:pStyle w:val="TABUKA-nadpis"/>
        <w:rPr>
          <w:rFonts w:ascii="Times New Roman" w:hAnsi="Times New Roman" w:cs="Times New Roman"/>
        </w:rPr>
      </w:pPr>
      <w:r>
        <w:rPr>
          <w:rFonts w:ascii="Times New Roman" w:hAnsi="Times New Roman" w:cs="Times New Roman"/>
        </w:rPr>
        <w:t>s právom Európskych spoločenstiev a právom Európskej únie</w:t>
      </w:r>
    </w:p>
    <w:p w:rsidR="00C531AE" w:rsidP="00C531AE">
      <w:pPr>
        <w:pStyle w:val="TABUKA-nadpis"/>
        <w:rPr>
          <w:rFonts w:ascii="Times New Roman" w:hAnsi="Times New Roman" w:cs="Times New Roman"/>
        </w:rPr>
      </w:pPr>
    </w:p>
    <w:tbl>
      <w:tblPr>
        <w:tblW w:w="15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Pr>
      <w:tblGrid>
        <w:gridCol w:w="539"/>
        <w:gridCol w:w="7229"/>
        <w:gridCol w:w="567"/>
        <w:gridCol w:w="426"/>
        <w:gridCol w:w="567"/>
        <w:gridCol w:w="2976"/>
        <w:gridCol w:w="567"/>
        <w:gridCol w:w="709"/>
        <w:gridCol w:w="851"/>
        <w:gridCol w:w="821"/>
      </w:tblGrid>
      <w:tr>
        <w:tblPrEx>
          <w:tblW w:w="15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PrEx>
        <w:trPr>
          <w:trHeight w:val="284"/>
          <w:jc w:val="center"/>
        </w:trPr>
        <w:tc>
          <w:tcPr>
            <w:tcW w:w="8335" w:type="dxa"/>
            <w:gridSpan w:val="3"/>
            <w:tcBorders>
              <w:top w:val="single" w:sz="4" w:space="0" w:color="auto"/>
              <w:left w:val="single" w:sz="4" w:space="0" w:color="auto"/>
              <w:bottom w:val="single" w:sz="4" w:space="0" w:color="auto"/>
              <w:right w:val="single" w:sz="4" w:space="0" w:color="auto"/>
              <w:tl2br w:val="nil"/>
              <w:tr2bl w:val="nil"/>
            </w:tcBorders>
            <w:textDirection w:val="lrTb"/>
            <w:vAlign w:val="top"/>
          </w:tcPr>
          <w:p w:rsidR="00C531AE" w:rsidRPr="00C531AE" w:rsidP="00C531AE">
            <w:pPr>
              <w:pStyle w:val="TABUKA-nadpismal"/>
              <w:rPr>
                <w:rFonts w:ascii="Times New Roman" w:hAnsi="Times New Roman" w:cs="Times New Roman"/>
                <w:u w:val="single"/>
              </w:rPr>
            </w:pPr>
            <w:r w:rsidRPr="00C531AE">
              <w:rPr>
                <w:rFonts w:ascii="Times New Roman" w:hAnsi="Times New Roman" w:cs="Times New Roman"/>
                <w:u w:val="single"/>
              </w:rPr>
              <w:t>Právny akt ES/EÚ</w:t>
            </w:r>
          </w:p>
          <w:p w:rsidR="00C531AE" w:rsidRPr="00C531AE" w:rsidP="00C531AE">
            <w:pPr>
              <w:pStyle w:val="TABUKA-nadpismal"/>
              <w:rPr>
                <w:rFonts w:ascii="Times New Roman" w:hAnsi="Times New Roman" w:cs="Times New Roman"/>
                <w:u w:val="single"/>
              </w:rPr>
            </w:pPr>
          </w:p>
          <w:p w:rsidR="00C531AE" w:rsidRPr="00C531AE" w:rsidP="004F1478">
            <w:pPr>
              <w:rPr>
                <w:rFonts w:ascii="Times New Roman" w:hAnsi="Times New Roman" w:cs="Times New Roman"/>
                <w:b/>
                <w:bCs/>
              </w:rPr>
            </w:pPr>
            <w:r w:rsidRPr="00C531AE">
              <w:rPr>
                <w:rFonts w:ascii="Times New Roman" w:hAnsi="Times New Roman" w:cs="Times New Roman"/>
                <w:b/>
              </w:rPr>
              <w:t xml:space="preserve">Smernica Rady 2004/7/ES </w:t>
            </w:r>
            <w:r w:rsidRPr="00C531AE">
              <w:rPr>
                <w:rFonts w:ascii="Times New Roman" w:hAnsi="Times New Roman" w:cs="Times New Roman"/>
                <w:b/>
                <w:bCs/>
              </w:rPr>
              <w:t>z 20. januára 2004, ktorou sa mení a dopĺňa smernica 77/388/EHS o spoločnom systéme dane z pridanej hodnoty, pokiaľ ide o udelenie vykonávacích právomocí a  postupov pre prijatie výnimiek</w:t>
            </w:r>
          </w:p>
        </w:tc>
        <w:tc>
          <w:tcPr>
            <w:tcW w:w="6917" w:type="dxa"/>
            <w:gridSpan w:val="7"/>
            <w:tcBorders>
              <w:top w:val="single" w:sz="4" w:space="0" w:color="auto"/>
              <w:left w:val="single" w:sz="4" w:space="0" w:color="auto"/>
              <w:bottom w:val="single" w:sz="4" w:space="0" w:color="auto"/>
              <w:right w:val="single" w:sz="4" w:space="0" w:color="auto"/>
              <w:tl2br w:val="nil"/>
              <w:tr2bl w:val="nil"/>
            </w:tcBorders>
            <w:textDirection w:val="lrTb"/>
            <w:vAlign w:val="top"/>
          </w:tcPr>
          <w:p w:rsidR="00C531AE" w:rsidRPr="00C531AE" w:rsidP="00C531AE">
            <w:pPr>
              <w:pStyle w:val="Footer"/>
              <w:rPr>
                <w:rFonts w:ascii="Times New Roman" w:hAnsi="Times New Roman" w:cs="Times New Roman"/>
                <w:b/>
                <w:u w:val="single"/>
              </w:rPr>
            </w:pPr>
            <w:r w:rsidRPr="00C531AE">
              <w:rPr>
                <w:rFonts w:ascii="Times New Roman" w:hAnsi="Times New Roman" w:cs="Times New Roman"/>
                <w:b/>
                <w:u w:val="single"/>
              </w:rPr>
              <w:t>Všeobecne záväzné právne predpisy SR</w:t>
            </w:r>
          </w:p>
          <w:p w:rsidR="00C531AE" w:rsidRPr="00C531AE" w:rsidP="00C531AE">
            <w:pPr>
              <w:pStyle w:val="Footer"/>
              <w:rPr>
                <w:rFonts w:ascii="Times New Roman" w:hAnsi="Times New Roman" w:cs="Times New Roman"/>
                <w:b/>
              </w:rPr>
            </w:pPr>
          </w:p>
          <w:p w:rsidR="00C531AE" w:rsidRPr="00C531AE" w:rsidP="00292507">
            <w:pPr>
              <w:pStyle w:val="BodyText"/>
              <w:spacing w:after="120"/>
              <w:rPr>
                <w:rFonts w:ascii="Times New Roman" w:hAnsi="Times New Roman" w:cs="Times New Roman"/>
                <w:b/>
              </w:rPr>
            </w:pPr>
          </w:p>
        </w:tc>
      </w:tr>
      <w:tr>
        <w:tblPrEx>
          <w:tblW w:w="15252" w:type="dxa"/>
          <w:jc w:val="center"/>
          <w:tblLayout w:type="fixed"/>
          <w:tblCellMar>
            <w:top w:w="28" w:type="dxa"/>
            <w:left w:w="28" w:type="dxa"/>
            <w:bottom w:w="28" w:type="dxa"/>
            <w:right w:w="28" w:type="dxa"/>
          </w:tblCellMar>
        </w:tblPrEx>
        <w:trPr>
          <w:trHeight w:val="284"/>
          <w:jc w:val="center"/>
        </w:trPr>
        <w:tc>
          <w:tcPr>
            <w:tcW w:w="53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622750">
            <w:pPr>
              <w:rPr>
                <w:rFonts w:ascii="Times New Roman" w:hAnsi="Times New Roman" w:cs="Times New Roman"/>
                <w:b/>
                <w:szCs w:val="24"/>
              </w:rPr>
            </w:pPr>
            <w:r w:rsidR="002A5890">
              <w:rPr>
                <w:rFonts w:ascii="Times New Roman" w:hAnsi="Times New Roman" w:cs="Times New Roman"/>
                <w:szCs w:val="24"/>
              </w:rPr>
              <w:t xml:space="preserve"> </w:t>
            </w:r>
            <w:r w:rsidRPr="00622750">
              <w:rPr>
                <w:rFonts w:ascii="Times New Roman" w:hAnsi="Times New Roman" w:cs="Times New Roman"/>
                <w:b/>
                <w:szCs w:val="24"/>
              </w:rPr>
              <w:t>č.</w:t>
            </w:r>
          </w:p>
        </w:tc>
        <w:tc>
          <w:tcPr>
            <w:tcW w:w="722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622750">
            <w:pPr>
              <w:pStyle w:val="Heading2"/>
              <w:rPr>
                <w:rFonts w:ascii="Times New Roman" w:hAnsi="Times New Roman" w:cs="Times New Roman"/>
                <w:szCs w:val="24"/>
              </w:rPr>
            </w:pPr>
            <w:r w:rsidRPr="00622750">
              <w:rPr>
                <w:rFonts w:ascii="Times New Roman" w:hAnsi="Times New Roman" w:cs="Times New Roman"/>
                <w:szCs w:val="24"/>
              </w:rPr>
              <w:t>Text</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622750">
            <w:pPr>
              <w:rPr>
                <w:rFonts w:ascii="Times New Roman" w:hAnsi="Times New Roman" w:cs="Times New Roman"/>
                <w:b/>
                <w:szCs w:val="24"/>
              </w:rPr>
            </w:pPr>
            <w:r w:rsidR="00CF1893">
              <w:rPr>
                <w:rFonts w:ascii="Times New Roman" w:hAnsi="Times New Roman" w:cs="Times New Roman"/>
                <w:b/>
                <w:szCs w:val="24"/>
              </w:rPr>
              <w:t>Spô sob trans</w:t>
            </w:r>
            <w:r w:rsidRPr="00622750">
              <w:rPr>
                <w:rFonts w:ascii="Times New Roman" w:hAnsi="Times New Roman" w:cs="Times New Roman"/>
                <w:b/>
                <w:szCs w:val="24"/>
              </w:rPr>
              <w:t>pozície</w:t>
            </w:r>
          </w:p>
        </w:tc>
        <w:tc>
          <w:tcPr>
            <w:tcW w:w="4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622750">
            <w:pPr>
              <w:rPr>
                <w:rFonts w:ascii="Times New Roman" w:hAnsi="Times New Roman" w:cs="Times New Roman"/>
                <w:b/>
                <w:szCs w:val="24"/>
              </w:rPr>
            </w:pPr>
            <w:r w:rsidRPr="00622750">
              <w:rPr>
                <w:rFonts w:ascii="Times New Roman" w:hAnsi="Times New Roman" w:cs="Times New Roman"/>
                <w:b/>
                <w:szCs w:val="24"/>
              </w:rPr>
              <w:t>Číslo</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622750">
            <w:pPr>
              <w:rPr>
                <w:rFonts w:ascii="Times New Roman" w:hAnsi="Times New Roman" w:cs="Times New Roman"/>
                <w:b/>
                <w:szCs w:val="24"/>
              </w:rPr>
            </w:pPr>
            <w:r w:rsidRPr="00622750">
              <w:rPr>
                <w:rFonts w:ascii="Times New Roman" w:hAnsi="Times New Roman" w:cs="Times New Roman"/>
                <w:b/>
                <w:szCs w:val="24"/>
              </w:rPr>
              <w:t>Článok</w:t>
            </w:r>
          </w:p>
        </w:tc>
        <w:tc>
          <w:tcPr>
            <w:tcW w:w="297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622750">
            <w:pPr>
              <w:rPr>
                <w:rFonts w:ascii="Times New Roman" w:hAnsi="Times New Roman" w:cs="Times New Roman"/>
                <w:b/>
                <w:szCs w:val="24"/>
              </w:rPr>
            </w:pPr>
            <w:r w:rsidRPr="00622750">
              <w:rPr>
                <w:rFonts w:ascii="Times New Roman" w:hAnsi="Times New Roman" w:cs="Times New Roman"/>
                <w:b/>
                <w:szCs w:val="24"/>
              </w:rPr>
              <w:t>Text</w:t>
            </w:r>
          </w:p>
          <w:p w:rsidR="005F497C" w:rsidRPr="00622750">
            <w:pPr>
              <w:rPr>
                <w:rFonts w:ascii="Times New Roman" w:hAnsi="Times New Roman" w:cs="Times New Roman"/>
                <w:b/>
                <w:szCs w:val="24"/>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622750">
            <w:pPr>
              <w:rPr>
                <w:rFonts w:ascii="Times New Roman" w:hAnsi="Times New Roman" w:cs="Times New Roman"/>
                <w:b/>
                <w:szCs w:val="24"/>
              </w:rPr>
            </w:pPr>
            <w:r w:rsidRPr="00622750">
              <w:rPr>
                <w:rFonts w:ascii="Times New Roman" w:hAnsi="Times New Roman" w:cs="Times New Roman"/>
                <w:b/>
                <w:szCs w:val="24"/>
              </w:rPr>
              <w:t>Zhoda</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622750">
            <w:pPr>
              <w:rPr>
                <w:rFonts w:ascii="Times New Roman" w:hAnsi="Times New Roman" w:cs="Times New Roman"/>
                <w:b/>
                <w:szCs w:val="24"/>
              </w:rPr>
            </w:pPr>
            <w:r w:rsidRPr="00622750">
              <w:rPr>
                <w:rFonts w:ascii="Times New Roman" w:hAnsi="Times New Roman" w:cs="Times New Roman"/>
                <w:b/>
                <w:szCs w:val="24"/>
              </w:rPr>
              <w:t>Administratívna infraštruktúra</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622750">
            <w:pPr>
              <w:rPr>
                <w:rFonts w:ascii="Times New Roman" w:hAnsi="Times New Roman" w:cs="Times New Roman"/>
                <w:b/>
                <w:szCs w:val="24"/>
              </w:rPr>
            </w:pPr>
            <w:r w:rsidRPr="00622750">
              <w:rPr>
                <w:rFonts w:ascii="Times New Roman" w:hAnsi="Times New Roman" w:cs="Times New Roman"/>
                <w:b/>
                <w:szCs w:val="24"/>
              </w:rPr>
              <w:t>Poznámky</w:t>
            </w:r>
          </w:p>
        </w:tc>
        <w:tc>
          <w:tcPr>
            <w:tcW w:w="8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F497C" w:rsidRPr="00622750">
            <w:pPr>
              <w:rPr>
                <w:rFonts w:ascii="Times New Roman" w:hAnsi="Times New Roman" w:cs="Times New Roman"/>
                <w:b/>
                <w:szCs w:val="24"/>
              </w:rPr>
            </w:pPr>
            <w:r w:rsidRPr="00622750">
              <w:rPr>
                <w:rFonts w:ascii="Times New Roman" w:hAnsi="Times New Roman" w:cs="Times New Roman"/>
                <w:b/>
                <w:szCs w:val="24"/>
              </w:rPr>
              <w:t xml:space="preserve">Štádium legislatívneho procesu </w:t>
            </w:r>
          </w:p>
        </w:tc>
      </w:tr>
      <w:tr>
        <w:tblPrEx>
          <w:tblW w:w="15252" w:type="dxa"/>
          <w:jc w:val="center"/>
          <w:tblLayout w:type="fixed"/>
          <w:tblCellMar>
            <w:top w:w="28" w:type="dxa"/>
            <w:left w:w="28" w:type="dxa"/>
            <w:bottom w:w="28" w:type="dxa"/>
            <w:right w:w="28" w:type="dxa"/>
          </w:tblCellMar>
        </w:tblPrEx>
        <w:trPr>
          <w:trHeight w:val="284"/>
          <w:jc w:val="center"/>
        </w:trPr>
        <w:tc>
          <w:tcPr>
            <w:tcW w:w="53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F30A3" w:rsidRPr="00A62E61">
            <w:pPr>
              <w:rPr>
                <w:rFonts w:ascii="Times New Roman" w:hAnsi="Times New Roman" w:cs="Times New Roman"/>
                <w:sz w:val="20"/>
              </w:rPr>
            </w:pPr>
            <w:r w:rsidRPr="00A62E61">
              <w:rPr>
                <w:rFonts w:ascii="Times New Roman" w:hAnsi="Times New Roman" w:cs="Times New Roman"/>
                <w:sz w:val="20"/>
              </w:rPr>
              <w:t>Čl.1</w:t>
            </w:r>
          </w:p>
        </w:tc>
        <w:tc>
          <w:tcPr>
            <w:tcW w:w="722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82F6E" w:rsidRPr="00A62E61" w:rsidP="00A62E61">
            <w:pPr>
              <w:tabs>
                <w:tab w:val="right" w:pos="5723"/>
              </w:tabs>
              <w:spacing w:after="60"/>
              <w:jc w:val="both"/>
              <w:rPr>
                <w:rFonts w:ascii="Times New Roman" w:hAnsi="Times New Roman" w:cs="Times New Roman"/>
                <w:sz w:val="20"/>
              </w:rPr>
            </w:pPr>
            <w:r w:rsidRPr="00A62E61">
              <w:rPr>
                <w:rFonts w:ascii="Times New Roman" w:hAnsi="Times New Roman" w:cs="Times New Roman"/>
                <w:sz w:val="20"/>
              </w:rPr>
              <w:t>Smernica 77/388/EHS sa mení a dopĺňa takto:</w:t>
            </w:r>
          </w:p>
          <w:p w:rsidR="00382F6E" w:rsidRPr="00A62E61" w:rsidP="00A62E61">
            <w:pPr>
              <w:numPr>
                <w:ilvl w:val="0"/>
                <w:numId w:val="37"/>
              </w:numPr>
              <w:tabs>
                <w:tab w:val="left" w:pos="114"/>
                <w:tab w:val="clear" w:pos="720"/>
              </w:tabs>
              <w:spacing w:after="60"/>
              <w:ind w:left="0" w:firstLine="0"/>
              <w:jc w:val="both"/>
              <w:rPr>
                <w:rFonts w:ascii="Times New Roman" w:hAnsi="Times New Roman" w:cs="Times New Roman"/>
                <w:sz w:val="20"/>
              </w:rPr>
            </w:pPr>
            <w:r w:rsidRPr="00A62E61">
              <w:rPr>
                <w:rFonts w:ascii="Times New Roman" w:hAnsi="Times New Roman" w:cs="Times New Roman"/>
                <w:sz w:val="20"/>
              </w:rPr>
              <w:t>V článku 27, ods. 1, 2, 3, a 4 sa nahrádza takto:</w:t>
            </w:r>
          </w:p>
          <w:p w:rsidR="00382F6E" w:rsidRPr="00A62E61" w:rsidP="00A62E61">
            <w:pPr>
              <w:pStyle w:val="BodyTextIndent"/>
              <w:spacing w:after="60"/>
              <w:ind w:left="0" w:firstLine="0"/>
              <w:rPr>
                <w:rFonts w:ascii="Times New Roman" w:hAnsi="Times New Roman" w:cs="Times New Roman"/>
                <w:sz w:val="20"/>
              </w:rPr>
            </w:pPr>
            <w:r w:rsidRPr="00A62E61">
              <w:rPr>
                <w:rFonts w:ascii="Times New Roman" w:hAnsi="Times New Roman" w:cs="Times New Roman"/>
                <w:sz w:val="20"/>
              </w:rPr>
              <w:t>„1. Rada konajúc jednomyseľne na návrh Komisie, môže povoliť každému členskému štátu zaviesť osobitné opatrenia pre výnimku z ustanovení tejto smernice, aby zjednodušila postup účtovania dane alebo zabránila určitým typom daňového úniku alebo vyhýbaniu sa daniam. Opatrenia na zjednodušenie postupu pre vyberanie dane, výnimkou zanedbateľného rozsahu, nemôžu ovplyvniť celkové množstvo zisku z dane členského štátu vybratého na stupni konečnej spotreby.</w:t>
            </w:r>
          </w:p>
          <w:p w:rsidR="00382F6E" w:rsidRPr="00A62E61" w:rsidP="00A62E61">
            <w:pPr>
              <w:numPr>
                <w:ilvl w:val="0"/>
                <w:numId w:val="37"/>
              </w:numPr>
              <w:tabs>
                <w:tab w:val="left" w:pos="114"/>
                <w:tab w:val="right" w:pos="397"/>
                <w:tab w:val="left" w:pos="426"/>
                <w:tab w:val="clear" w:pos="720"/>
              </w:tabs>
              <w:spacing w:after="60"/>
              <w:ind w:left="0" w:firstLine="0"/>
              <w:jc w:val="both"/>
              <w:rPr>
                <w:rFonts w:ascii="Times New Roman" w:hAnsi="Times New Roman" w:cs="Times New Roman"/>
                <w:b w:val="0"/>
                <w:noProof/>
                <w:sz w:val="20"/>
              </w:rPr>
            </w:pPr>
            <w:r w:rsidRPr="00A62E61">
              <w:rPr>
                <w:rFonts w:ascii="Times New Roman" w:hAnsi="Times New Roman" w:cs="Times New Roman"/>
                <w:b w:val="0"/>
                <w:noProof/>
                <w:sz w:val="20"/>
              </w:rPr>
              <w:t xml:space="preserve">Členský štát , ktorý si želá zaviesť opatrenie uvedené v odseku 1, pošle žiadosť Komisii a poskytne jej všetky nevyhnutné informácie. Ak Komisia uzná, že nemá všetky potrebné informácie, kontaktuje dotknutý členský štát do dvoch mesiacov od doručenia žiadosti a špecifikuje, aké dodatočné informácie sa vyžadujú. Ak Komisia má všetky požadované informácie na vznesenie žiadosti, informuje následne do jedného mesiaca žiadajúci členský štát a doručí ostatným členským štátom žiadosť v  pôvodnom jazyku. </w:t>
            </w:r>
          </w:p>
          <w:p w:rsidR="00382F6E" w:rsidRPr="00A62E61" w:rsidP="00A62E61">
            <w:pPr>
              <w:numPr>
                <w:ilvl w:val="0"/>
                <w:numId w:val="37"/>
              </w:numPr>
              <w:tabs>
                <w:tab w:val="left" w:pos="114"/>
                <w:tab w:val="left" w:pos="255"/>
                <w:tab w:val="clear" w:pos="720"/>
              </w:tabs>
              <w:spacing w:after="60"/>
              <w:ind w:left="0" w:firstLine="0"/>
              <w:jc w:val="both"/>
              <w:rPr>
                <w:rFonts w:ascii="Times New Roman" w:hAnsi="Times New Roman" w:cs="Times New Roman"/>
                <w:b w:val="0"/>
                <w:noProof/>
                <w:sz w:val="20"/>
              </w:rPr>
            </w:pPr>
            <w:r w:rsidRPr="00A62E61">
              <w:rPr>
                <w:rFonts w:ascii="Times New Roman" w:hAnsi="Times New Roman" w:cs="Times New Roman"/>
                <w:b w:val="0"/>
                <w:noProof/>
                <w:sz w:val="20"/>
              </w:rPr>
              <w:t>Do troch mesiacov od oz</w:t>
            </w:r>
            <w:r w:rsidRPr="00A62E61">
              <w:rPr>
                <w:rFonts w:ascii="Times New Roman" w:hAnsi="Times New Roman" w:cs="Times New Roman"/>
                <w:b w:val="0"/>
                <w:noProof/>
                <w:sz w:val="20"/>
              </w:rPr>
              <w:t>námenia uvedeného v poslednej vete odseku 2, Komisia predloží Rade buď vhodný návrh alebo  v prípade, že má námietky voči požadovanej výnimke, oznámenie s vytknutými námietkami.</w:t>
            </w:r>
          </w:p>
          <w:p w:rsidR="00382F6E" w:rsidRPr="00A62E61" w:rsidP="00A62E61">
            <w:pPr>
              <w:numPr>
                <w:ilvl w:val="0"/>
                <w:numId w:val="37"/>
              </w:numPr>
              <w:tabs>
                <w:tab w:val="left" w:pos="426"/>
                <w:tab w:val="clear" w:pos="720"/>
              </w:tabs>
              <w:spacing w:after="60"/>
              <w:ind w:left="0" w:firstLine="0"/>
              <w:jc w:val="both"/>
              <w:rPr>
                <w:rFonts w:ascii="Times New Roman" w:hAnsi="Times New Roman" w:cs="Times New Roman"/>
                <w:b w:val="0"/>
                <w:noProof/>
                <w:sz w:val="20"/>
              </w:rPr>
            </w:pPr>
            <w:r w:rsidRPr="00A62E61">
              <w:rPr>
                <w:rFonts w:ascii="Times New Roman" w:hAnsi="Times New Roman" w:cs="Times New Roman"/>
                <w:b w:val="0"/>
                <w:noProof/>
                <w:sz w:val="20"/>
              </w:rPr>
              <w:t>V každom prípade postup stanovený v odseku 2 a 3 sa uskutoční do ôsmich mesiacov od doručenia žiadosti  Komisii.“</w:t>
            </w:r>
          </w:p>
          <w:p w:rsidR="00382F6E" w:rsidRPr="00A62E61" w:rsidP="00A62E61">
            <w:pPr>
              <w:tabs>
                <w:tab w:val="left" w:pos="426"/>
              </w:tabs>
              <w:spacing w:after="60"/>
              <w:jc w:val="both"/>
              <w:rPr>
                <w:rFonts w:ascii="Times New Roman" w:hAnsi="Times New Roman" w:cs="Times New Roman"/>
                <w:b w:val="0"/>
                <w:noProof/>
                <w:sz w:val="20"/>
              </w:rPr>
            </w:pPr>
            <w:r w:rsidRPr="00A62E61">
              <w:rPr>
                <w:rFonts w:ascii="Times New Roman" w:hAnsi="Times New Roman" w:cs="Times New Roman"/>
                <w:b w:val="0"/>
                <w:noProof/>
                <w:sz w:val="20"/>
              </w:rPr>
              <w:t>2. Do hlavy XVII sa vkladá tento článok 29a:</w:t>
            </w:r>
          </w:p>
          <w:p w:rsidR="00382F6E" w:rsidRPr="00A62E61" w:rsidP="00A62E61">
            <w:pPr>
              <w:tabs>
                <w:tab w:val="left" w:pos="426"/>
              </w:tabs>
              <w:spacing w:after="60"/>
              <w:jc w:val="both"/>
              <w:rPr>
                <w:rFonts w:ascii="Times New Roman" w:hAnsi="Times New Roman" w:cs="Times New Roman"/>
                <w:b w:val="0"/>
                <w:i/>
                <w:iCs/>
                <w:noProof/>
                <w:sz w:val="20"/>
              </w:rPr>
            </w:pPr>
            <w:r w:rsidRPr="00A62E61">
              <w:rPr>
                <w:rFonts w:ascii="Times New Roman" w:hAnsi="Times New Roman" w:cs="Times New Roman"/>
                <w:b w:val="0"/>
                <w:i/>
                <w:iCs/>
                <w:noProof/>
                <w:sz w:val="20"/>
              </w:rPr>
              <w:t xml:space="preserve">  „Článok 29a </w:t>
            </w:r>
          </w:p>
          <w:p w:rsidR="00382F6E" w:rsidRPr="00A62E61" w:rsidP="00A62E61">
            <w:pPr>
              <w:tabs>
                <w:tab w:val="left" w:pos="426"/>
              </w:tabs>
              <w:spacing w:after="60"/>
              <w:jc w:val="both"/>
              <w:rPr>
                <w:rFonts w:ascii="Times New Roman" w:hAnsi="Times New Roman" w:cs="Times New Roman"/>
                <w:b w:val="0"/>
                <w:bCs/>
                <w:noProof/>
                <w:sz w:val="20"/>
              </w:rPr>
            </w:pPr>
            <w:r w:rsidRPr="00A62E61">
              <w:rPr>
                <w:rFonts w:ascii="Times New Roman" w:hAnsi="Times New Roman" w:cs="Times New Roman"/>
                <w:b w:val="0"/>
                <w:bCs/>
                <w:noProof/>
                <w:sz w:val="20"/>
              </w:rPr>
              <w:t>Vykonávacie opatrenia</w:t>
            </w:r>
          </w:p>
          <w:p w:rsidR="00382F6E" w:rsidRPr="00A62E61" w:rsidP="00A62E61">
            <w:pPr>
              <w:tabs>
                <w:tab w:val="left" w:pos="426"/>
              </w:tabs>
              <w:spacing w:after="60"/>
              <w:jc w:val="both"/>
              <w:rPr>
                <w:rFonts w:ascii="Times New Roman" w:hAnsi="Times New Roman" w:cs="Times New Roman"/>
                <w:b w:val="0"/>
                <w:noProof/>
                <w:sz w:val="20"/>
              </w:rPr>
            </w:pPr>
            <w:r w:rsidRPr="00A62E61">
              <w:rPr>
                <w:rFonts w:ascii="Times New Roman" w:hAnsi="Times New Roman" w:cs="Times New Roman"/>
                <w:b w:val="0"/>
                <w:noProof/>
                <w:sz w:val="20"/>
              </w:rPr>
              <w:t>Rada konajúc jednomyseľne na návrh Komisie prijme opatrenia nevyhnutné na vykonanie tejto smernice.“</w:t>
            </w:r>
          </w:p>
          <w:p w:rsidR="00382F6E" w:rsidRPr="00A62E61" w:rsidP="00A62E61">
            <w:pPr>
              <w:tabs>
                <w:tab w:val="left" w:pos="426"/>
              </w:tabs>
              <w:spacing w:after="60"/>
              <w:jc w:val="both"/>
              <w:rPr>
                <w:rFonts w:ascii="Times New Roman" w:hAnsi="Times New Roman" w:cs="Times New Roman"/>
                <w:b w:val="0"/>
                <w:noProof/>
                <w:sz w:val="20"/>
              </w:rPr>
            </w:pPr>
            <w:r w:rsidRPr="00A62E61">
              <w:rPr>
                <w:rFonts w:ascii="Times New Roman" w:hAnsi="Times New Roman" w:cs="Times New Roman"/>
                <w:b w:val="0"/>
                <w:noProof/>
                <w:sz w:val="20"/>
              </w:rPr>
              <w:t>3. Článok 30 sa nahrádza takto:</w:t>
            </w:r>
          </w:p>
          <w:p w:rsidR="00382F6E" w:rsidRPr="00A62E61" w:rsidP="00A62E61">
            <w:pPr>
              <w:tabs>
                <w:tab w:val="left" w:pos="426"/>
              </w:tabs>
              <w:spacing w:after="60"/>
              <w:jc w:val="both"/>
              <w:rPr>
                <w:rFonts w:ascii="Times New Roman" w:hAnsi="Times New Roman" w:cs="Times New Roman"/>
                <w:b w:val="0"/>
                <w:i/>
                <w:iCs/>
                <w:noProof/>
                <w:sz w:val="20"/>
              </w:rPr>
            </w:pPr>
            <w:r w:rsidRPr="00A62E61">
              <w:rPr>
                <w:rFonts w:ascii="Times New Roman" w:hAnsi="Times New Roman" w:cs="Times New Roman"/>
                <w:b w:val="0"/>
                <w:i/>
                <w:iCs/>
                <w:noProof/>
                <w:sz w:val="20"/>
              </w:rPr>
              <w:t>„Článok 30</w:t>
            </w:r>
          </w:p>
          <w:p w:rsidR="00382F6E" w:rsidRPr="00A62E61" w:rsidP="00A62E61">
            <w:pPr>
              <w:tabs>
                <w:tab w:val="left" w:pos="426"/>
              </w:tabs>
              <w:spacing w:after="60"/>
              <w:jc w:val="both"/>
              <w:rPr>
                <w:rFonts w:ascii="Times New Roman" w:hAnsi="Times New Roman" w:cs="Times New Roman"/>
                <w:b w:val="0"/>
                <w:bCs/>
                <w:noProof/>
                <w:sz w:val="20"/>
              </w:rPr>
            </w:pPr>
            <w:r w:rsidRPr="00A62E61">
              <w:rPr>
                <w:rFonts w:ascii="Times New Roman" w:hAnsi="Times New Roman" w:cs="Times New Roman"/>
                <w:b w:val="0"/>
                <w:bCs/>
                <w:noProof/>
                <w:sz w:val="20"/>
              </w:rPr>
              <w:t>Medzinárodné dohody</w:t>
            </w:r>
          </w:p>
          <w:p w:rsidR="00382F6E" w:rsidRPr="00A62E61" w:rsidP="00A62E61">
            <w:pPr>
              <w:numPr>
                <w:ilvl w:val="0"/>
                <w:numId w:val="38"/>
              </w:numPr>
              <w:tabs>
                <w:tab w:val="right" w:pos="114"/>
                <w:tab w:val="left" w:pos="255"/>
                <w:tab w:val="clear" w:pos="720"/>
              </w:tabs>
              <w:spacing w:after="60"/>
              <w:ind w:left="0" w:firstLine="0"/>
              <w:jc w:val="both"/>
              <w:rPr>
                <w:rFonts w:ascii="Times New Roman" w:hAnsi="Times New Roman" w:cs="Times New Roman"/>
                <w:b w:val="0"/>
                <w:noProof/>
                <w:sz w:val="20"/>
              </w:rPr>
            </w:pPr>
            <w:r w:rsidRPr="00A62E61">
              <w:rPr>
                <w:rFonts w:ascii="Times New Roman" w:hAnsi="Times New Roman" w:cs="Times New Roman"/>
                <w:b w:val="0"/>
                <w:noProof/>
                <w:sz w:val="20"/>
              </w:rPr>
              <w:t>Rada konajúc jednomyseľne na návrh Komisie môže povoliť členskému štátu uzavrieť s treťou krajinou alebo medzinárodnou organizáciou dohodu, ktorá môže obsahovať výnimky z tejto smernice.</w:t>
            </w:r>
          </w:p>
          <w:p w:rsidR="00382F6E" w:rsidRPr="00A62E61" w:rsidP="00A62E61">
            <w:pPr>
              <w:numPr>
                <w:ilvl w:val="0"/>
                <w:numId w:val="38"/>
              </w:numPr>
              <w:tabs>
                <w:tab w:val="left" w:pos="-28"/>
                <w:tab w:val="clear" w:pos="720"/>
              </w:tabs>
              <w:spacing w:after="60"/>
              <w:ind w:left="0" w:firstLine="0"/>
              <w:jc w:val="both"/>
              <w:rPr>
                <w:rFonts w:ascii="Times New Roman" w:hAnsi="Times New Roman" w:cs="Times New Roman"/>
                <w:b w:val="0"/>
                <w:noProof/>
                <w:sz w:val="20"/>
              </w:rPr>
            </w:pPr>
            <w:r w:rsidRPr="00A62E61">
              <w:rPr>
                <w:rFonts w:ascii="Times New Roman" w:hAnsi="Times New Roman" w:cs="Times New Roman"/>
                <w:b w:val="0"/>
                <w:noProof/>
                <w:sz w:val="20"/>
              </w:rPr>
              <w:t>Členský štát, ktorý si želá uzavrieť takúto dohodu, pošle žiadosť Komisii a poskytne jej všetky nevyhnutné informácie. Ak Komisia zváži, že nemá všetky potrebné informácie, kontaktuje dotknutý členský štát do dvoch mesiacov od doručenia žiadosti  a špecifikuje,  aké dodatočné  informácie sa vyžadujú. Ak Komisia už má všetky informácie, ktoré považuje za nevyhnutné pre vznesenie žiadosti, informuje následne do jedného mesiaca dotknutý žiadajúci členský štát a doručí ostatným členským štátom žiadosť v pôvodnom jazyku.</w:t>
            </w:r>
          </w:p>
          <w:p w:rsidR="00382F6E" w:rsidRPr="00A62E61" w:rsidP="00A62E61">
            <w:pPr>
              <w:numPr>
                <w:ilvl w:val="0"/>
                <w:numId w:val="38"/>
              </w:numPr>
              <w:tabs>
                <w:tab w:val="left" w:pos="255"/>
                <w:tab w:val="left" w:pos="397"/>
                <w:tab w:val="clear" w:pos="720"/>
              </w:tabs>
              <w:spacing w:after="60"/>
              <w:ind w:left="0" w:firstLine="0"/>
              <w:jc w:val="both"/>
              <w:rPr>
                <w:rFonts w:ascii="Times New Roman" w:hAnsi="Times New Roman" w:cs="Times New Roman"/>
                <w:b w:val="0"/>
                <w:noProof/>
                <w:sz w:val="20"/>
              </w:rPr>
            </w:pPr>
            <w:r w:rsidRPr="00A62E61">
              <w:rPr>
                <w:rFonts w:ascii="Times New Roman" w:hAnsi="Times New Roman" w:cs="Times New Roman"/>
                <w:b w:val="0"/>
                <w:noProof/>
                <w:sz w:val="20"/>
              </w:rPr>
              <w:t>Do troch mesiacov od oznámenia uvedeného v poslednej vete odseku 2, Komisia predloží Rade  buď vhodný návrh alebo v prípade námietok voči požadovanej výnimke oznámenie s vytknutými námietkami.</w:t>
            </w:r>
          </w:p>
          <w:p w:rsidR="00B74452" w:rsidRPr="00A62E61" w:rsidP="00A62E61">
            <w:pPr>
              <w:numPr>
                <w:ilvl w:val="0"/>
                <w:numId w:val="38"/>
              </w:numPr>
              <w:tabs>
                <w:tab w:val="left" w:pos="-28"/>
                <w:tab w:val="right" w:pos="114"/>
                <w:tab w:val="clear" w:pos="720"/>
              </w:tabs>
              <w:spacing w:after="60"/>
              <w:ind w:left="0" w:firstLine="0"/>
              <w:jc w:val="both"/>
              <w:rPr>
                <w:rFonts w:ascii="Times New Roman" w:hAnsi="Times New Roman" w:cs="Times New Roman"/>
                <w:b w:val="0"/>
                <w:noProof/>
                <w:sz w:val="20"/>
              </w:rPr>
            </w:pPr>
            <w:r w:rsidRPr="00A62E61" w:rsidR="00382F6E">
              <w:rPr>
                <w:rFonts w:ascii="Times New Roman" w:hAnsi="Times New Roman" w:cs="Times New Roman"/>
                <w:b w:val="0"/>
                <w:noProof/>
                <w:sz w:val="20"/>
              </w:rPr>
              <w:t>V každom prípade postup stanovený v odseku 2 a 3 sa uskutoční do ôsmich mesiacov od doručenia žiadosti Komisii.“</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F30A3" w:rsidRPr="00A62E61">
            <w:pPr>
              <w:pStyle w:val="FootnoteText"/>
              <w:overflowPunct/>
              <w:adjustRightInd/>
              <w:textAlignment w:val="auto"/>
              <w:rPr>
                <w:rFonts w:ascii="Times New Roman" w:hAnsi="Times New Roman" w:cs="Times New Roman"/>
                <w:lang w:val="sk-SK"/>
              </w:rPr>
            </w:pPr>
          </w:p>
          <w:p w:rsidR="004520D6" w:rsidRPr="00A62E61">
            <w:pPr>
              <w:pStyle w:val="FootnoteText"/>
              <w:overflowPunct/>
              <w:adjustRightInd/>
              <w:textAlignment w:val="auto"/>
              <w:rPr>
                <w:rFonts w:ascii="Times New Roman" w:hAnsi="Times New Roman" w:cs="Times New Roman"/>
                <w:lang w:val="sk-SK"/>
              </w:rPr>
            </w:pPr>
            <w:r w:rsidRPr="00A62E61">
              <w:rPr>
                <w:rFonts w:ascii="Times New Roman" w:hAnsi="Times New Roman" w:cs="Times New Roman"/>
                <w:lang w:val="sk-SK"/>
              </w:rPr>
              <w:t>n.a.</w:t>
            </w:r>
          </w:p>
        </w:tc>
        <w:tc>
          <w:tcPr>
            <w:tcW w:w="4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B3954" w:rsidRPr="00A62E61" w:rsidP="005F390D">
            <w:pPr>
              <w:rPr>
                <w:rFonts w:ascii="Times New Roman" w:hAnsi="Times New Roman"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F30A3" w:rsidRPr="00A62E61" w:rsidP="00B05CB6">
            <w:pPr>
              <w:rPr>
                <w:rFonts w:ascii="Times New Roman" w:hAnsi="Times New Roman" w:cs="Times New Roman"/>
                <w:sz w:val="20"/>
              </w:rPr>
            </w:pPr>
          </w:p>
        </w:tc>
        <w:tc>
          <w:tcPr>
            <w:tcW w:w="297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F30A3" w:rsidRPr="00A62E61" w:rsidP="0004140F">
            <w:pPr>
              <w:jc w:val="both"/>
              <w:rPr>
                <w:rFonts w:ascii="Times New Roman" w:hAnsi="Times New Roman"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F30A3" w:rsidRPr="00A62E61">
            <w:pPr>
              <w:rPr>
                <w:rFonts w:ascii="Times New Roman" w:hAnsi="Times New Roman" w:cs="Times New Roman"/>
                <w:sz w:val="20"/>
              </w:rPr>
            </w:pPr>
            <w:r w:rsidRPr="00A62E61">
              <w:rPr>
                <w:rFonts w:ascii="Times New Roman" w:hAnsi="Times New Roman" w:cs="Times New Roman"/>
                <w:sz w:val="20"/>
              </w:rPr>
              <w:t xml:space="preserve"> </w:t>
            </w:r>
          </w:p>
          <w:p w:rsidR="004520D6" w:rsidRPr="00A62E61">
            <w:pPr>
              <w:rPr>
                <w:rFonts w:ascii="Times New Roman" w:hAnsi="Times New Roman" w:cs="Times New Roman"/>
                <w:sz w:val="20"/>
              </w:rPr>
            </w:pPr>
            <w:r w:rsidRPr="00A62E61">
              <w:rPr>
                <w:rFonts w:ascii="Times New Roman" w:hAnsi="Times New Roman" w:cs="Times New Roman"/>
                <w:sz w:val="20"/>
              </w:rPr>
              <w:t>N</w:t>
            </w:r>
          </w:p>
          <w:p w:rsidR="004520D6" w:rsidRPr="00A62E61">
            <w:pPr>
              <w:rPr>
                <w:rFonts w:ascii="Times New Roman" w:hAnsi="Times New Roman" w:cs="Times New Roman"/>
                <w:sz w:val="20"/>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F30A3" w:rsidRPr="00A62E61">
            <w:pPr>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6376C" w:rsidRPr="00A62E61">
            <w:pPr>
              <w:rPr>
                <w:rFonts w:ascii="Times New Roman" w:hAnsi="Times New Roman" w:cs="Times New Roman"/>
                <w:sz w:val="20"/>
              </w:rPr>
            </w:pPr>
          </w:p>
        </w:tc>
        <w:tc>
          <w:tcPr>
            <w:tcW w:w="8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F30A3" w:rsidRPr="00A62E61">
            <w:pPr>
              <w:rPr>
                <w:rFonts w:ascii="Times New Roman" w:hAnsi="Times New Roman" w:cs="Times New Roman"/>
                <w:sz w:val="20"/>
              </w:rPr>
            </w:pPr>
          </w:p>
        </w:tc>
      </w:tr>
      <w:tr>
        <w:tblPrEx>
          <w:tblW w:w="15252" w:type="dxa"/>
          <w:jc w:val="center"/>
          <w:tblLayout w:type="fixed"/>
          <w:tblCellMar>
            <w:top w:w="28" w:type="dxa"/>
            <w:left w:w="28" w:type="dxa"/>
            <w:bottom w:w="28" w:type="dxa"/>
            <w:right w:w="28" w:type="dxa"/>
          </w:tblCellMar>
        </w:tblPrEx>
        <w:trPr>
          <w:trHeight w:val="284"/>
          <w:jc w:val="center"/>
        </w:trPr>
        <w:tc>
          <w:tcPr>
            <w:tcW w:w="53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A62E61">
            <w:pPr>
              <w:rPr>
                <w:rFonts w:ascii="Times New Roman" w:hAnsi="Times New Roman" w:cs="Times New Roman"/>
                <w:sz w:val="20"/>
              </w:rPr>
            </w:pPr>
            <w:r w:rsidRPr="00A62E61">
              <w:rPr>
                <w:rFonts w:ascii="Times New Roman" w:hAnsi="Times New Roman" w:cs="Times New Roman"/>
                <w:sz w:val="20"/>
              </w:rPr>
              <w:t>Čl.2</w:t>
            </w:r>
          </w:p>
        </w:tc>
        <w:tc>
          <w:tcPr>
            <w:tcW w:w="722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74452" w:rsidRPr="00A62E61">
            <w:pPr>
              <w:jc w:val="both"/>
              <w:rPr>
                <w:rFonts w:ascii="Times New Roman" w:hAnsi="Times New Roman" w:cs="Times New Roman"/>
                <w:sz w:val="20"/>
              </w:rPr>
            </w:pPr>
            <w:r w:rsidRPr="00A62E61" w:rsidR="00382F6E">
              <w:rPr>
                <w:rFonts w:ascii="Times New Roman" w:hAnsi="Times New Roman" w:cs="Times New Roman"/>
                <w:sz w:val="20"/>
              </w:rPr>
              <w:t xml:space="preserve">Táto smernica nadobúda účinnosť v dvadsiaty deň po jeho uverejnení v </w:t>
            </w:r>
            <w:r w:rsidRPr="00A62E61" w:rsidR="00382F6E">
              <w:rPr>
                <w:rFonts w:ascii="Times New Roman" w:hAnsi="Times New Roman" w:cs="Times New Roman"/>
                <w:i/>
                <w:iCs/>
                <w:sz w:val="20"/>
              </w:rPr>
              <w:t>Úradnom vestníku Európske únie.</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A62E61">
            <w:pPr>
              <w:rPr>
                <w:rFonts w:ascii="Times New Roman" w:hAnsi="Times New Roman" w:cs="Times New Roman"/>
                <w:sz w:val="20"/>
              </w:rPr>
            </w:pPr>
            <w:r w:rsidRPr="00A62E61" w:rsidR="007D2218">
              <w:rPr>
                <w:rFonts w:ascii="Times New Roman" w:hAnsi="Times New Roman" w:cs="Times New Roman"/>
                <w:sz w:val="20"/>
              </w:rPr>
              <w:t>n.a.</w:t>
            </w:r>
          </w:p>
        </w:tc>
        <w:tc>
          <w:tcPr>
            <w:tcW w:w="4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A62E61" w:rsidP="00BC06EF">
            <w:pPr>
              <w:rPr>
                <w:rFonts w:ascii="Times New Roman" w:hAnsi="Times New Roman"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A62E61">
            <w:pPr>
              <w:rPr>
                <w:rFonts w:ascii="Times New Roman" w:hAnsi="Times New Roman" w:cs="Times New Roman"/>
                <w:sz w:val="20"/>
              </w:rPr>
            </w:pPr>
          </w:p>
        </w:tc>
        <w:tc>
          <w:tcPr>
            <w:tcW w:w="297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A62E61" w:rsidP="00E36C75">
            <w:pPr>
              <w:pStyle w:val="BodyText"/>
              <w:rPr>
                <w:rFonts w:ascii="Times New Roman" w:hAnsi="Times New Roman"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A62E61">
            <w:pPr>
              <w:rPr>
                <w:rFonts w:ascii="Times New Roman" w:hAnsi="Times New Roman" w:cs="Times New Roman"/>
                <w:sz w:val="20"/>
              </w:rPr>
            </w:pPr>
            <w:r w:rsidRPr="00A62E61" w:rsidR="007D2218">
              <w:rPr>
                <w:rFonts w:ascii="Times New Roman" w:hAnsi="Times New Roman" w:cs="Times New Roman"/>
                <w:sz w:val="20"/>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A62E61">
            <w:pPr>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A62E61">
            <w:pPr>
              <w:rPr>
                <w:rFonts w:ascii="Times New Roman" w:hAnsi="Times New Roman" w:cs="Times New Roman"/>
                <w:sz w:val="20"/>
              </w:rPr>
            </w:pPr>
          </w:p>
        </w:tc>
        <w:tc>
          <w:tcPr>
            <w:tcW w:w="8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A62E61">
            <w:pPr>
              <w:rPr>
                <w:rFonts w:ascii="Times New Roman" w:hAnsi="Times New Roman" w:cs="Times New Roman"/>
                <w:sz w:val="20"/>
              </w:rPr>
            </w:pPr>
          </w:p>
        </w:tc>
      </w:tr>
      <w:tr>
        <w:tblPrEx>
          <w:tblW w:w="15252" w:type="dxa"/>
          <w:jc w:val="center"/>
          <w:tblLayout w:type="fixed"/>
          <w:tblCellMar>
            <w:top w:w="28" w:type="dxa"/>
            <w:left w:w="28" w:type="dxa"/>
            <w:bottom w:w="28" w:type="dxa"/>
            <w:right w:w="28" w:type="dxa"/>
          </w:tblCellMar>
        </w:tblPrEx>
        <w:trPr>
          <w:trHeight w:val="284"/>
          <w:jc w:val="center"/>
        </w:trPr>
        <w:tc>
          <w:tcPr>
            <w:tcW w:w="53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A62E61">
            <w:pPr>
              <w:rPr>
                <w:rFonts w:ascii="Times New Roman" w:hAnsi="Times New Roman" w:cs="Times New Roman"/>
                <w:sz w:val="20"/>
              </w:rPr>
            </w:pPr>
            <w:r w:rsidRPr="00A62E61">
              <w:rPr>
                <w:rFonts w:ascii="Times New Roman" w:hAnsi="Times New Roman" w:cs="Times New Roman"/>
                <w:sz w:val="20"/>
              </w:rPr>
              <w:t>Čl.3</w:t>
            </w:r>
          </w:p>
        </w:tc>
        <w:tc>
          <w:tcPr>
            <w:tcW w:w="722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82F6E" w:rsidRPr="00A62E61" w:rsidP="00382F6E">
            <w:pPr>
              <w:tabs>
                <w:tab w:val="left" w:pos="426"/>
              </w:tabs>
              <w:ind w:left="360"/>
              <w:jc w:val="both"/>
              <w:rPr>
                <w:rFonts w:ascii="Times New Roman" w:hAnsi="Times New Roman" w:cs="Times New Roman"/>
                <w:b w:val="0"/>
                <w:noProof/>
                <w:sz w:val="20"/>
              </w:rPr>
            </w:pPr>
            <w:r w:rsidRPr="00A62E61">
              <w:rPr>
                <w:rFonts w:ascii="Times New Roman" w:hAnsi="Times New Roman" w:cs="Times New Roman"/>
                <w:b w:val="0"/>
                <w:noProof/>
                <w:sz w:val="20"/>
              </w:rPr>
              <w:t>Táto smernica je adresovaná členským štátom.</w:t>
            </w:r>
          </w:p>
          <w:p w:rsidR="00B74452" w:rsidRPr="00A62E61" w:rsidP="00382F6E">
            <w:pPr>
              <w:tabs>
                <w:tab w:val="left" w:pos="426"/>
              </w:tabs>
              <w:ind w:left="360"/>
              <w:jc w:val="both"/>
              <w:rPr>
                <w:rFonts w:ascii="Times New Roman" w:hAnsi="Times New Roman" w:cs="Times New Roman"/>
                <w:b w:val="0"/>
                <w:noProof/>
                <w:sz w:val="20"/>
              </w:rPr>
            </w:pPr>
            <w:r w:rsidRPr="00A62E61" w:rsidR="00382F6E">
              <w:rPr>
                <w:rFonts w:ascii="Times New Roman" w:hAnsi="Times New Roman" w:cs="Times New Roman"/>
                <w:b w:val="0"/>
                <w:noProof/>
                <w:sz w:val="20"/>
              </w:rPr>
              <w:t>V Bruseli 20. januára 2004</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A62E61">
            <w:pPr>
              <w:rPr>
                <w:rFonts w:ascii="Times New Roman" w:hAnsi="Times New Roman" w:cs="Times New Roman"/>
                <w:sz w:val="20"/>
              </w:rPr>
            </w:pPr>
            <w:r w:rsidRPr="00A62E61" w:rsidR="007D2218">
              <w:rPr>
                <w:rFonts w:ascii="Times New Roman" w:hAnsi="Times New Roman" w:cs="Times New Roman"/>
                <w:sz w:val="20"/>
              </w:rPr>
              <w:t>n.a.</w:t>
            </w:r>
          </w:p>
        </w:tc>
        <w:tc>
          <w:tcPr>
            <w:tcW w:w="42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A62E61">
            <w:pPr>
              <w:pStyle w:val="Footer"/>
              <w:tabs>
                <w:tab w:val="clear" w:pos="4536"/>
                <w:tab w:val="clear" w:pos="9072"/>
              </w:tabs>
              <w:rPr>
                <w:rFonts w:ascii="Times New Roman" w:hAnsi="Times New Roman"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A62E61">
            <w:pPr>
              <w:rPr>
                <w:rFonts w:ascii="Times New Roman" w:hAnsi="Times New Roman" w:cs="Times New Roman"/>
                <w:sz w:val="20"/>
              </w:rPr>
            </w:pPr>
          </w:p>
        </w:tc>
        <w:tc>
          <w:tcPr>
            <w:tcW w:w="297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A62E61" w:rsidP="00E36C75">
            <w:pPr>
              <w:pStyle w:val="BodyText"/>
              <w:rPr>
                <w:rFonts w:ascii="Times New Roman" w:hAnsi="Times New Roman" w:cs="Times New Roman"/>
                <w:sz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A62E61">
            <w:pPr>
              <w:rPr>
                <w:rFonts w:ascii="Times New Roman" w:hAnsi="Times New Roman" w:cs="Times New Roman"/>
                <w:sz w:val="20"/>
              </w:rPr>
            </w:pPr>
            <w:r w:rsidRPr="00A62E61" w:rsidR="007D2218">
              <w:rPr>
                <w:rFonts w:ascii="Times New Roman" w:hAnsi="Times New Roman" w:cs="Times New Roman"/>
                <w:sz w:val="20"/>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A62E61">
            <w:pPr>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A62E61">
            <w:pPr>
              <w:rPr>
                <w:rFonts w:ascii="Times New Roman" w:hAnsi="Times New Roman" w:cs="Times New Roman"/>
                <w:sz w:val="20"/>
              </w:rPr>
            </w:pPr>
          </w:p>
        </w:tc>
        <w:tc>
          <w:tcPr>
            <w:tcW w:w="8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06EF" w:rsidRPr="00A62E61">
            <w:pPr>
              <w:rPr>
                <w:rFonts w:ascii="Times New Roman" w:hAnsi="Times New Roman" w:cs="Times New Roman"/>
                <w:sz w:val="20"/>
              </w:rPr>
            </w:pPr>
          </w:p>
        </w:tc>
      </w:tr>
    </w:tbl>
    <w:p w:rsidR="005F497C" w:rsidRPr="00A62E61" w:rsidP="005E44FD">
      <w:pPr>
        <w:rPr>
          <w:rFonts w:ascii="Times New Roman" w:hAnsi="Times New Roman" w:cs="Times New Roman"/>
          <w:sz w:val="20"/>
        </w:rPr>
      </w:pPr>
    </w:p>
    <w:sectPr>
      <w:footerReference w:type="even" r:id="rId4"/>
      <w:footerReference w:type="default" r:id="rId5"/>
      <w:pgSz w:w="16840" w:h="11907" w:orient="landscape" w:code="9"/>
      <w:pgMar w:top="1191" w:right="1191" w:bottom="1191" w:left="1191" w:header="397" w:footer="397" w:gutter="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507">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noProof/>
      </w:rPr>
      <w:t>1</w:t>
    </w:r>
    <w:r>
      <w:rPr>
        <w:rStyle w:val="PageNumber"/>
        <w:rFonts w:ascii="Times New Roman" w:hAnsi="Times New Roman" w:cs="Times New Roman"/>
      </w:rPr>
      <w:fldChar w:fldCharType="end"/>
    </w:r>
  </w:p>
  <w:p w:rsidR="00292507">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507">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390311">
      <w:rPr>
        <w:rStyle w:val="PageNumber"/>
        <w:rFonts w:ascii="Times New Roman" w:hAnsi="Times New Roman" w:cs="Times New Roman"/>
        <w:noProof/>
      </w:rPr>
      <w:t>2</w:t>
    </w:r>
    <w:r>
      <w:rPr>
        <w:rStyle w:val="PageNumber"/>
        <w:rFonts w:ascii="Times New Roman" w:hAnsi="Times New Roman" w:cs="Times New Roman"/>
      </w:rPr>
      <w:fldChar w:fldCharType="end"/>
    </w:r>
  </w:p>
  <w:p w:rsidR="00292507">
    <w:pPr>
      <w:pStyle w:val="Footer"/>
      <w:ind w:right="360"/>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50474"/>
    <w:multiLevelType w:val="hybridMultilevel"/>
    <w:tmpl w:val="12989218"/>
    <w:lvl w:ilvl="0">
      <w:start w:val="2"/>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50D02A9"/>
    <w:multiLevelType w:val="singleLevel"/>
    <w:tmpl w:val="0405000F"/>
    <w:lvl w:ilvl="0">
      <w:start w:val="1"/>
      <w:numFmt w:val="decimal"/>
      <w:lvlText w:val="%1."/>
      <w:lvlJc w:val="left"/>
      <w:pPr>
        <w:tabs>
          <w:tab w:val="num" w:pos="360"/>
        </w:tabs>
        <w:ind w:left="360" w:hanging="360"/>
      </w:pPr>
    </w:lvl>
  </w:abstractNum>
  <w:abstractNum w:abstractNumId="2">
    <w:nsid w:val="0B805511"/>
    <w:multiLevelType w:val="multilevel"/>
    <w:tmpl w:val="5D90EFC2"/>
    <w:lvl w:ilvl="0">
      <w:start w:val="1"/>
      <w:numFmt w:val="lowerLetter"/>
      <w:lvlText w:val="(%1)"/>
      <w:lvlJc w:val="left"/>
      <w:pPr>
        <w:tabs>
          <w:tab w:val="num" w:pos="360"/>
        </w:tabs>
        <w:ind w:left="360" w:hanging="360"/>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3">
    <w:nsid w:val="0B92085E"/>
    <w:multiLevelType w:val="singleLevel"/>
    <w:tmpl w:val="74347696"/>
    <w:lvl w:ilvl="0">
      <w:start w:val="1"/>
      <w:numFmt w:val="lowerLetter"/>
      <w:lvlText w:val="(%1)"/>
      <w:lvlJc w:val="left"/>
      <w:pPr>
        <w:tabs>
          <w:tab w:val="num" w:pos="360"/>
        </w:tabs>
        <w:ind w:left="360" w:hanging="360"/>
      </w:pPr>
      <w:rPr>
        <w:b w:val="0"/>
        <w:i w:val="0"/>
        <w:rtl w:val="0"/>
      </w:rPr>
    </w:lvl>
  </w:abstractNum>
  <w:abstractNum w:abstractNumId="4">
    <w:nsid w:val="0F7F27E1"/>
    <w:multiLevelType w:val="hybridMultilevel"/>
    <w:tmpl w:val="3E9AF25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45D7870"/>
    <w:multiLevelType w:val="hybridMultilevel"/>
    <w:tmpl w:val="1726718C"/>
    <w:lvl w:ilvl="0">
      <w:start w:val="2"/>
      <w:numFmt w:val="lowerLetter"/>
      <w:lvlText w:val="%1)"/>
      <w:lvlJc w:val="left"/>
      <w:pPr>
        <w:tabs>
          <w:tab w:val="num" w:pos="1818"/>
        </w:tabs>
        <w:ind w:left="1818" w:hanging="1110"/>
      </w:pPr>
    </w:lvl>
    <w:lvl w:ilvl="1">
      <w:start w:val="1"/>
      <w:numFmt w:val="lowerLetter"/>
      <w:lvlText w:val="%2)"/>
      <w:lvlJc w:val="left"/>
      <w:pPr>
        <w:tabs>
          <w:tab w:val="num" w:pos="1788"/>
        </w:tabs>
        <w:ind w:left="1788" w:hanging="360"/>
      </w:pPr>
      <w:rPr>
        <w:i w:val="0"/>
        <w:rtl w:val="0"/>
      </w:r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6">
    <w:nsid w:val="155B7714"/>
    <w:multiLevelType w:val="singleLevel"/>
    <w:tmpl w:val="60C0363A"/>
    <w:lvl w:ilvl="0">
      <w:start w:val="1"/>
      <w:numFmt w:val="decimal"/>
      <w:lvlText w:val="%1."/>
      <w:lvlJc w:val="left"/>
      <w:pPr>
        <w:tabs>
          <w:tab w:val="num" w:pos="360"/>
        </w:tabs>
        <w:ind w:left="360" w:hanging="360"/>
      </w:pPr>
    </w:lvl>
  </w:abstractNum>
  <w:abstractNum w:abstractNumId="7">
    <w:nsid w:val="15E80A51"/>
    <w:multiLevelType w:val="hybridMultilevel"/>
    <w:tmpl w:val="7568875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7887393"/>
    <w:multiLevelType w:val="singleLevel"/>
    <w:tmpl w:val="74347696"/>
    <w:lvl w:ilvl="0">
      <w:start w:val="1"/>
      <w:numFmt w:val="lowerLetter"/>
      <w:lvlText w:val="(%1)"/>
      <w:lvlJc w:val="left"/>
      <w:pPr>
        <w:tabs>
          <w:tab w:val="num" w:pos="360"/>
        </w:tabs>
        <w:ind w:left="360" w:hanging="360"/>
      </w:pPr>
    </w:lvl>
  </w:abstractNum>
  <w:abstractNum w:abstractNumId="9">
    <w:nsid w:val="24481AC7"/>
    <w:multiLevelType w:val="singleLevel"/>
    <w:tmpl w:val="DCE874A2"/>
    <w:lvl w:ilvl="0">
      <w:start w:val="1"/>
      <w:numFmt w:val="lowerLetter"/>
      <w:lvlText w:val="(%1)"/>
      <w:lvlJc w:val="left"/>
      <w:pPr>
        <w:tabs>
          <w:tab w:val="num" w:pos="405"/>
        </w:tabs>
        <w:ind w:left="405" w:hanging="405"/>
      </w:pPr>
    </w:lvl>
  </w:abstractNum>
  <w:abstractNum w:abstractNumId="10">
    <w:nsid w:val="25C11713"/>
    <w:multiLevelType w:val="multilevel"/>
    <w:tmpl w:val="E43689B0"/>
    <w:lvl w:ilvl="0">
      <w:start w:val="1"/>
      <w:numFmt w:val="lowerLetter"/>
      <w:lvlText w:val="(%1)"/>
      <w:lvlJc w:val="left"/>
      <w:pPr>
        <w:tabs>
          <w:tab w:val="num" w:pos="360"/>
        </w:tabs>
        <w:ind w:left="360" w:hanging="360"/>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11">
    <w:nsid w:val="298B621F"/>
    <w:multiLevelType w:val="hybridMultilevel"/>
    <w:tmpl w:val="57E8EC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C642803"/>
    <w:multiLevelType w:val="singleLevel"/>
    <w:tmpl w:val="74347696"/>
    <w:lvl w:ilvl="0">
      <w:start w:val="1"/>
      <w:numFmt w:val="lowerLetter"/>
      <w:lvlText w:val="(%1)"/>
      <w:lvlJc w:val="left"/>
      <w:pPr>
        <w:tabs>
          <w:tab w:val="num" w:pos="360"/>
        </w:tabs>
        <w:ind w:left="360" w:hanging="360"/>
      </w:pPr>
      <w:rPr>
        <w:b w:val="0"/>
        <w:i w:val="0"/>
        <w:rtl w:val="0"/>
      </w:rPr>
    </w:lvl>
  </w:abstractNum>
  <w:abstractNum w:abstractNumId="13">
    <w:nsid w:val="2CAA277A"/>
    <w:multiLevelType w:val="multilevel"/>
    <w:tmpl w:val="5D90EFC2"/>
    <w:lvl w:ilvl="0">
      <w:start w:val="1"/>
      <w:numFmt w:val="lowerLetter"/>
      <w:lvlText w:val="(%1)"/>
      <w:lvlJc w:val="left"/>
      <w:pPr>
        <w:tabs>
          <w:tab w:val="num" w:pos="360"/>
        </w:tabs>
        <w:ind w:left="360" w:hanging="360"/>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14">
    <w:nsid w:val="335E528E"/>
    <w:multiLevelType w:val="singleLevel"/>
    <w:tmpl w:val="04050017"/>
    <w:lvl w:ilvl="0">
      <w:start w:val="1"/>
      <w:numFmt w:val="lowerLetter"/>
      <w:lvlText w:val="%1)"/>
      <w:lvlJc w:val="left"/>
      <w:pPr>
        <w:tabs>
          <w:tab w:val="num" w:pos="360"/>
        </w:tabs>
        <w:ind w:left="360" w:hanging="360"/>
      </w:pPr>
    </w:lvl>
  </w:abstractNum>
  <w:abstractNum w:abstractNumId="15">
    <w:nsid w:val="368E2080"/>
    <w:multiLevelType w:val="multilevel"/>
    <w:tmpl w:val="7568875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8D21F84"/>
    <w:multiLevelType w:val="multilevel"/>
    <w:tmpl w:val="6EE6C6D4"/>
    <w:lvl w:ilvl="0">
      <w:start w:val="4"/>
      <w:numFmt w:val="decimal"/>
      <w:lvlText w:val="%1."/>
      <w:lvlJc w:val="left"/>
      <w:pPr>
        <w:tabs>
          <w:tab w:val="num" w:pos="360"/>
        </w:tabs>
        <w:ind w:left="360" w:hanging="360"/>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17">
    <w:nsid w:val="39621A1C"/>
    <w:multiLevelType w:val="singleLevel"/>
    <w:tmpl w:val="60C0363A"/>
    <w:lvl w:ilvl="0">
      <w:start w:val="1"/>
      <w:numFmt w:val="decimal"/>
      <w:lvlText w:val="%1."/>
      <w:lvlJc w:val="left"/>
      <w:pPr>
        <w:tabs>
          <w:tab w:val="num" w:pos="360"/>
        </w:tabs>
        <w:ind w:left="360" w:hanging="360"/>
      </w:pPr>
    </w:lvl>
  </w:abstractNum>
  <w:abstractNum w:abstractNumId="18">
    <w:nsid w:val="397C1365"/>
    <w:multiLevelType w:val="singleLevel"/>
    <w:tmpl w:val="8CA86D90"/>
    <w:lvl w:ilvl="0">
      <w:start w:val="1"/>
      <w:numFmt w:val="lowerLetter"/>
      <w:lvlText w:val="%1)"/>
      <w:legacy w:legacy="1" w:legacySpace="0" w:legacyIndent="360"/>
      <w:lvlJc w:val="left"/>
      <w:pPr>
        <w:ind w:left="360" w:hanging="360"/>
      </w:pPr>
    </w:lvl>
  </w:abstractNum>
  <w:abstractNum w:abstractNumId="19">
    <w:nsid w:val="42AF7427"/>
    <w:multiLevelType w:val="multilevel"/>
    <w:tmpl w:val="E43689B0"/>
    <w:lvl w:ilvl="0">
      <w:start w:val="1"/>
      <w:numFmt w:val="lowerLetter"/>
      <w:lvlText w:val="(%1)"/>
      <w:lvlJc w:val="left"/>
      <w:pPr>
        <w:tabs>
          <w:tab w:val="num" w:pos="360"/>
        </w:tabs>
        <w:ind w:left="360" w:hanging="360"/>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20">
    <w:nsid w:val="4A8B6F0E"/>
    <w:multiLevelType w:val="multilevel"/>
    <w:tmpl w:val="9B9C1872"/>
    <w:lvl w:ilvl="0">
      <w:start w:val="43"/>
      <w:numFmt w:val="bullet"/>
      <w:lvlText w:val="-"/>
      <w:lvlJc w:val="left"/>
      <w:pPr>
        <w:tabs>
          <w:tab w:val="num" w:pos="360"/>
        </w:tabs>
        <w:ind w:left="360" w:hanging="360"/>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21">
    <w:nsid w:val="4AB53BF8"/>
    <w:multiLevelType w:val="singleLevel"/>
    <w:tmpl w:val="74347696"/>
    <w:lvl w:ilvl="0">
      <w:start w:val="1"/>
      <w:numFmt w:val="lowerLetter"/>
      <w:lvlText w:val="(%1)"/>
      <w:lvlJc w:val="left"/>
      <w:pPr>
        <w:tabs>
          <w:tab w:val="num" w:pos="360"/>
        </w:tabs>
        <w:ind w:left="360" w:hanging="360"/>
      </w:pPr>
    </w:lvl>
  </w:abstractNum>
  <w:abstractNum w:abstractNumId="22">
    <w:nsid w:val="4D6315C5"/>
    <w:multiLevelType w:val="singleLevel"/>
    <w:tmpl w:val="D4147E0A"/>
    <w:lvl w:ilvl="0">
      <w:start w:val="1"/>
      <w:numFmt w:val="decimal"/>
      <w:lvlText w:val="%1."/>
      <w:lvlJc w:val="left"/>
      <w:pPr>
        <w:tabs>
          <w:tab w:val="num" w:pos="360"/>
        </w:tabs>
        <w:ind w:left="360" w:hanging="360"/>
      </w:pPr>
    </w:lvl>
  </w:abstractNum>
  <w:abstractNum w:abstractNumId="23">
    <w:nsid w:val="4EF73014"/>
    <w:multiLevelType w:val="hybridMultilevel"/>
    <w:tmpl w:val="0DA82A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034204E"/>
    <w:multiLevelType w:val="multilevel"/>
    <w:tmpl w:val="CD7474E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2A306F0"/>
    <w:multiLevelType w:val="singleLevel"/>
    <w:tmpl w:val="D25EFEA4"/>
    <w:lvl w:ilvl="0">
      <w:start w:val="2"/>
      <w:numFmt w:val="decimal"/>
      <w:lvlText w:val="%1."/>
      <w:lvlJc w:val="left"/>
      <w:pPr>
        <w:tabs>
          <w:tab w:val="num" w:pos="360"/>
        </w:tabs>
        <w:ind w:left="360" w:hanging="360"/>
      </w:pPr>
    </w:lvl>
  </w:abstractNum>
  <w:abstractNum w:abstractNumId="26">
    <w:nsid w:val="577735DD"/>
    <w:multiLevelType w:val="hybridMultilevel"/>
    <w:tmpl w:val="0AD858C6"/>
    <w:lvl w:ilvl="0">
      <w:start w:val="1"/>
      <w:numFmt w:val="lowerLetter"/>
      <w:lvlText w:val="%1)"/>
      <w:lvlJc w:val="left"/>
      <w:pPr>
        <w:tabs>
          <w:tab w:val="num" w:pos="1110"/>
        </w:tabs>
        <w:ind w:left="1110" w:hanging="690"/>
      </w:pPr>
    </w:lvl>
    <w:lvl w:ilvl="1">
      <w:start w:val="1"/>
      <w:numFmt w:val="lowerLetter"/>
      <w:lvlText w:val="(%2)"/>
      <w:lvlJc w:val="left"/>
      <w:pPr>
        <w:tabs>
          <w:tab w:val="num" w:pos="1500"/>
        </w:tabs>
        <w:ind w:left="1500" w:hanging="360"/>
      </w:pPr>
    </w:lvl>
    <w:lvl w:ilvl="2">
      <w:start w:val="1"/>
      <w:numFmt w:val="lowerLetter"/>
      <w:lvlText w:val="(%3)"/>
      <w:lvlJc w:val="left"/>
      <w:pPr>
        <w:tabs>
          <w:tab w:val="num" w:pos="3300"/>
        </w:tabs>
        <w:ind w:left="3300" w:hanging="1260"/>
      </w:pPr>
    </w:lvl>
    <w:lvl w:ilvl="3">
      <w:start w:val="4"/>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27">
    <w:nsid w:val="59000DA0"/>
    <w:multiLevelType w:val="multilevel"/>
    <w:tmpl w:val="CFB02E7E"/>
    <w:lvl w:ilvl="0">
      <w:start w:val="1"/>
      <w:numFmt w:val="lowerLetter"/>
      <w:lvlText w:val="%1)"/>
      <w:legacy w:legacy="1" w:legacySpace="0" w:legacyIndent="360"/>
      <w:lvlJc w:val="left"/>
      <w:pPr>
        <w:ind w:left="36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9886CB8"/>
    <w:multiLevelType w:val="singleLevel"/>
    <w:tmpl w:val="47F2A718"/>
    <w:lvl w:ilvl="0">
      <w:start w:val="1"/>
      <w:numFmt w:val="decimal"/>
      <w:lvlText w:val="(%1)"/>
      <w:lvlJc w:val="left"/>
      <w:pPr>
        <w:tabs>
          <w:tab w:val="num" w:pos="941"/>
        </w:tabs>
        <w:ind w:left="941" w:hanging="375"/>
      </w:pPr>
    </w:lvl>
  </w:abstractNum>
  <w:abstractNum w:abstractNumId="29">
    <w:nsid w:val="5FDF2804"/>
    <w:multiLevelType w:val="hybridMultilevel"/>
    <w:tmpl w:val="2A6844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06B44F4"/>
    <w:multiLevelType w:val="hybridMultilevel"/>
    <w:tmpl w:val="D33EAA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1AA1045"/>
    <w:multiLevelType w:val="singleLevel"/>
    <w:tmpl w:val="D4147E0A"/>
    <w:lvl w:ilvl="0">
      <w:start w:val="1"/>
      <w:numFmt w:val="decimal"/>
      <w:lvlText w:val="%1."/>
      <w:lvlJc w:val="left"/>
      <w:pPr>
        <w:tabs>
          <w:tab w:val="num" w:pos="360"/>
        </w:tabs>
        <w:ind w:left="360" w:hanging="360"/>
      </w:pPr>
    </w:lvl>
  </w:abstractNum>
  <w:abstractNum w:abstractNumId="32">
    <w:nsid w:val="6426614B"/>
    <w:multiLevelType w:val="singleLevel"/>
    <w:tmpl w:val="002E4AC0"/>
    <w:lvl w:ilvl="0">
      <w:start w:val="2"/>
      <w:numFmt w:val="bullet"/>
      <w:lvlText w:val="-"/>
      <w:lvlJc w:val="left"/>
      <w:pPr>
        <w:tabs>
          <w:tab w:val="num" w:pos="360"/>
        </w:tabs>
        <w:ind w:left="360" w:hanging="360"/>
      </w:pPr>
    </w:lvl>
  </w:abstractNum>
  <w:abstractNum w:abstractNumId="33">
    <w:nsid w:val="675867A1"/>
    <w:multiLevelType w:val="multilevel"/>
    <w:tmpl w:val="ACA22E7C"/>
    <w:lvl w:ilvl="0">
      <w:start w:val="1"/>
      <w:numFmt w:val="lowerLetter"/>
      <w:lvlText w:val="(%1)"/>
      <w:lvlJc w:val="left"/>
      <w:pPr>
        <w:tabs>
          <w:tab w:val="num" w:pos="360"/>
        </w:tabs>
        <w:ind w:left="360" w:hanging="360"/>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34">
    <w:nsid w:val="68641F44"/>
    <w:multiLevelType w:val="singleLevel"/>
    <w:tmpl w:val="04050017"/>
    <w:lvl w:ilvl="0">
      <w:start w:val="1"/>
      <w:numFmt w:val="lowerLetter"/>
      <w:lvlText w:val="%1)"/>
      <w:lvlJc w:val="left"/>
      <w:pPr>
        <w:tabs>
          <w:tab w:val="num" w:pos="360"/>
        </w:tabs>
        <w:ind w:left="360" w:hanging="360"/>
      </w:pPr>
    </w:lvl>
  </w:abstractNum>
  <w:abstractNum w:abstractNumId="35">
    <w:nsid w:val="69AF219D"/>
    <w:multiLevelType w:val="singleLevel"/>
    <w:tmpl w:val="74347696"/>
    <w:lvl w:ilvl="0">
      <w:start w:val="1"/>
      <w:numFmt w:val="lowerLetter"/>
      <w:lvlText w:val="(%1)"/>
      <w:lvlJc w:val="left"/>
      <w:pPr>
        <w:tabs>
          <w:tab w:val="num" w:pos="360"/>
        </w:tabs>
        <w:ind w:left="360" w:hanging="360"/>
      </w:pPr>
      <w:rPr>
        <w:b w:val="0"/>
        <w:i w:val="0"/>
        <w:rtl w:val="0"/>
      </w:rPr>
    </w:lvl>
  </w:abstractNum>
  <w:abstractNum w:abstractNumId="36">
    <w:nsid w:val="6F817ED8"/>
    <w:multiLevelType w:val="singleLevel"/>
    <w:tmpl w:val="60C0363A"/>
    <w:lvl w:ilvl="0">
      <w:start w:val="1"/>
      <w:numFmt w:val="decimal"/>
      <w:lvlText w:val="%1."/>
      <w:lvlJc w:val="left"/>
      <w:pPr>
        <w:tabs>
          <w:tab w:val="num" w:pos="360"/>
        </w:tabs>
        <w:ind w:left="360" w:hanging="360"/>
      </w:pPr>
    </w:lvl>
  </w:abstractNum>
  <w:abstractNum w:abstractNumId="37">
    <w:nsid w:val="72A50422"/>
    <w:multiLevelType w:val="multilevel"/>
    <w:tmpl w:val="64D228CE"/>
    <w:lvl w:ilvl="0">
      <w:start w:val="1"/>
      <w:numFmt w:val="lowerLetter"/>
      <w:lvlText w:val="(%1)"/>
      <w:lvlJc w:val="left"/>
      <w:pPr>
        <w:tabs>
          <w:tab w:val="num" w:pos="375"/>
        </w:tabs>
        <w:ind w:left="375" w:hanging="375"/>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num w:numId="1">
    <w:abstractNumId w:val="18"/>
  </w:num>
  <w:num w:numId="2">
    <w:abstractNumId w:val="1"/>
  </w:num>
  <w:num w:numId="3">
    <w:abstractNumId w:val="17"/>
  </w:num>
  <w:num w:numId="4">
    <w:abstractNumId w:val="9"/>
  </w:num>
  <w:num w:numId="5">
    <w:abstractNumId w:val="32"/>
  </w:num>
  <w:num w:numId="6">
    <w:abstractNumId w:val="21"/>
  </w:num>
  <w:num w:numId="7">
    <w:abstractNumId w:val="8"/>
  </w:num>
  <w:num w:numId="8">
    <w:abstractNumId w:val="31"/>
  </w:num>
  <w:num w:numId="9">
    <w:abstractNumId w:val="12"/>
  </w:num>
  <w:num w:numId="10">
    <w:abstractNumId w:val="35"/>
  </w:num>
  <w:num w:numId="11">
    <w:abstractNumId w:val="36"/>
  </w:num>
  <w:num w:numId="12">
    <w:abstractNumId w:val="3"/>
  </w:num>
  <w:num w:numId="13">
    <w:abstractNumId w:val="25"/>
  </w:num>
  <w:num w:numId="14">
    <w:abstractNumId w:val="22"/>
  </w:num>
  <w:num w:numId="15">
    <w:abstractNumId w:val="6"/>
  </w:num>
  <w:num w:numId="16">
    <w:abstractNumId w:val="24"/>
  </w:num>
  <w:num w:numId="17">
    <w:abstractNumId w:val="33"/>
  </w:num>
  <w:num w:numId="18">
    <w:abstractNumId w:val="20"/>
  </w:num>
  <w:num w:numId="19">
    <w:abstractNumId w:val="16"/>
  </w:num>
  <w:num w:numId="20">
    <w:abstractNumId w:val="13"/>
  </w:num>
  <w:num w:numId="21">
    <w:abstractNumId w:val="2"/>
  </w:num>
  <w:num w:numId="22">
    <w:abstractNumId w:val="37"/>
  </w:num>
  <w:num w:numId="23">
    <w:abstractNumId w:val="10"/>
  </w:num>
  <w:num w:numId="24">
    <w:abstractNumId w:val="19"/>
  </w:num>
  <w:num w:numId="25">
    <w:abstractNumId w:val="23"/>
  </w:num>
  <w:num w:numId="26">
    <w:abstractNumId w:val="5"/>
  </w:num>
  <w:num w:numId="27">
    <w:abstractNumId w:val="29"/>
  </w:num>
  <w:num w:numId="28">
    <w:abstractNumId w:val="34"/>
  </w:num>
  <w:num w:numId="29">
    <w:abstractNumId w:val="7"/>
  </w:num>
  <w:num w:numId="30">
    <w:abstractNumId w:val="14"/>
  </w:num>
  <w:num w:numId="31">
    <w:abstractNumId w:val="4"/>
  </w:num>
  <w:num w:numId="32">
    <w:abstractNumId w:val="26"/>
  </w:num>
  <w:num w:numId="33">
    <w:abstractNumId w:val="27"/>
  </w:num>
  <w:num w:numId="34">
    <w:abstractNumId w:val="28"/>
  </w:num>
  <w:num w:numId="35">
    <w:abstractNumId w:val="15"/>
  </w:num>
  <w:num w:numId="36">
    <w:abstractNumId w:val="0"/>
  </w:num>
  <w:num w:numId="37">
    <w:abstractNumId w:val="30"/>
  </w:num>
  <w:num w:numId="3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gutterAtTop/>
  <w:stylePaneFormatFilter w:val="3F01"/>
  <w:defaultTabStop w:val="708"/>
  <w:hyphenationZone w:val="425"/>
  <w:displayHorizont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4140F"/>
    <w:rsid w:val="00292507"/>
    <w:rsid w:val="002A5890"/>
    <w:rsid w:val="00382F6E"/>
    <w:rsid w:val="00390311"/>
    <w:rsid w:val="004520D6"/>
    <w:rsid w:val="004F1478"/>
    <w:rsid w:val="005E44FD"/>
    <w:rsid w:val="005F390D"/>
    <w:rsid w:val="005F497C"/>
    <w:rsid w:val="00622750"/>
    <w:rsid w:val="007D2218"/>
    <w:rsid w:val="00A62E61"/>
    <w:rsid w:val="00AF30A3"/>
    <w:rsid w:val="00B05CB6"/>
    <w:rsid w:val="00B74452"/>
    <w:rsid w:val="00BC06EF"/>
    <w:rsid w:val="00C531AE"/>
    <w:rsid w:val="00CF1893"/>
    <w:rsid w:val="00D6376C"/>
    <w:rsid w:val="00E36C75"/>
    <w:rsid w:val="00FB3954"/>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A97"/>
    <w:pPr>
      <w:widowControl w:val="0"/>
      <w:autoSpaceDE w:val="0"/>
      <w:autoSpaceDN w:val="0"/>
      <w:bidi w:val="0"/>
      <w:adjustRightInd w:val="0"/>
      <w:ind w:left="0" w:right="0"/>
      <w:jc w:val="left"/>
      <w:textAlignment w:val="auto"/>
    </w:pPr>
    <w:rPr>
      <w:sz w:val="24"/>
      <w:szCs w:val="20"/>
      <w:rtl w:val="0"/>
      <w:lang w:val="sk-SK" w:bidi="ar-SA"/>
    </w:rPr>
  </w:style>
  <w:style w:type="paragraph" w:styleId="Heading1">
    <w:name w:val="heading 1"/>
    <w:basedOn w:val="Normal"/>
    <w:next w:val="Normal"/>
    <w:uiPriority w:val="9"/>
    <w:qFormat/>
    <w:pPr>
      <w:keepNext/>
      <w:jc w:val="left"/>
      <w:outlineLvl w:val="0"/>
    </w:pPr>
    <w:rPr>
      <w:b/>
      <w:noProof/>
    </w:rPr>
  </w:style>
  <w:style w:type="paragraph" w:styleId="Heading2">
    <w:name w:val="heading 2"/>
    <w:basedOn w:val="Normal"/>
    <w:next w:val="Normal"/>
    <w:uiPriority w:val="9"/>
    <w:qFormat/>
    <w:pPr>
      <w:keepNext/>
      <w:jc w:val="center"/>
      <w:outlineLvl w:val="1"/>
    </w:pPr>
    <w:rPr>
      <w:b/>
      <w:noProof/>
    </w:rPr>
  </w:style>
  <w:style w:type="paragraph" w:styleId="Heading3">
    <w:name w:val="heading 3"/>
    <w:basedOn w:val="Normal"/>
    <w:next w:val="Normal"/>
    <w:uiPriority w:val="9"/>
    <w:qFormat/>
    <w:pPr>
      <w:keepNext/>
      <w:tabs>
        <w:tab w:val="left" w:pos="360"/>
      </w:tabs>
      <w:ind w:right="-285"/>
      <w:jc w:val="left"/>
      <w:outlineLvl w:val="2"/>
    </w:pPr>
    <w:rPr>
      <w:b/>
      <w:bCs/>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BodyText">
    <w:name w:val="Body Text"/>
    <w:basedOn w:val="Normal"/>
    <w:pPr>
      <w:jc w:val="both"/>
    </w:pPr>
    <w:rPr>
      <w:noProof/>
    </w:r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 w:type="paragraph" w:styleId="FootnoteText">
    <w:name w:val="footnote text"/>
    <w:basedOn w:val="Normal"/>
    <w:semiHidden/>
    <w:pPr>
      <w:overflowPunct w:val="0"/>
      <w:autoSpaceDE/>
      <w:autoSpaceDN/>
      <w:jc w:val="left"/>
      <w:textAlignment w:val="baseline"/>
    </w:pPr>
    <w:rPr>
      <w:noProof/>
      <w:sz w:val="20"/>
      <w:lang w:val="en-GB"/>
    </w:rPr>
  </w:style>
  <w:style w:type="character" w:styleId="FootnoteReference">
    <w:name w:val="footnote reference"/>
    <w:basedOn w:val="DefaultParagraphFont"/>
    <w:semiHidden/>
    <w:rPr>
      <w:vertAlign w:val="superscript"/>
    </w:rPr>
  </w:style>
  <w:style w:type="paragraph" w:styleId="BodyText2">
    <w:name w:val="Body Text 2"/>
    <w:basedOn w:val="Normal"/>
    <w:pPr>
      <w:overflowPunct w:val="0"/>
      <w:autoSpaceDE/>
      <w:autoSpaceDN/>
      <w:spacing w:line="360" w:lineRule="auto"/>
      <w:ind w:firstLine="708"/>
      <w:jc w:val="both"/>
      <w:textAlignment w:val="baseline"/>
    </w:pPr>
    <w:rPr>
      <w:noProof/>
    </w:rPr>
  </w:style>
  <w:style w:type="paragraph" w:styleId="BodyText3">
    <w:name w:val="Body Text 3"/>
    <w:basedOn w:val="Normal"/>
    <w:pPr>
      <w:jc w:val="left"/>
    </w:pPr>
    <w:rPr>
      <w:noProof/>
      <w:sz w:val="20"/>
    </w:rPr>
  </w:style>
  <w:style w:type="paragraph" w:styleId="BodyTextIndent">
    <w:name w:val="Body Text Indent"/>
    <w:basedOn w:val="Normal"/>
    <w:pPr>
      <w:spacing w:after="120"/>
      <w:ind w:left="284" w:hanging="284"/>
      <w:jc w:val="both"/>
    </w:pPr>
    <w:rPr>
      <w:noProof/>
      <w:lang w:val="en-GB"/>
    </w:rPr>
  </w:style>
  <w:style w:type="paragraph" w:styleId="BodyTextIndent3">
    <w:name w:val="Body Text Indent 3"/>
    <w:basedOn w:val="Normal"/>
    <w:pPr>
      <w:spacing w:after="120"/>
      <w:ind w:left="709"/>
      <w:jc w:val="both"/>
    </w:pPr>
    <w:rPr>
      <w:noProof/>
    </w:rPr>
  </w:style>
  <w:style w:type="character" w:customStyle="1" w:styleId="tw4winMark">
    <w:name w:val="tw4winMark"/>
    <w:rPr>
      <w:rFonts w:ascii="Courier New" w:hAnsi="Courier New"/>
      <w:vanish/>
      <w:color w:val="800080"/>
      <w:sz w:val="24"/>
      <w:vertAlign w:val="subscript"/>
      <w:rtl w:val="0"/>
    </w:rPr>
  </w:style>
  <w:style w:type="paragraph" w:styleId="Title">
    <w:name w:val="Title"/>
    <w:basedOn w:val="Normal"/>
    <w:uiPriority w:val="10"/>
    <w:qFormat/>
    <w:pPr>
      <w:spacing w:after="120"/>
      <w:jc w:val="center"/>
    </w:pPr>
    <w:rPr>
      <w:b/>
      <w:noProof/>
      <w:lang w:val="en-GB"/>
    </w:rPr>
  </w:style>
  <w:style w:type="paragraph" w:styleId="BodyTextIndent2">
    <w:name w:val="Body Text Indent 2"/>
    <w:basedOn w:val="Normal"/>
    <w:pPr>
      <w:ind w:firstLine="708"/>
      <w:jc w:val="both"/>
    </w:pPr>
  </w:style>
  <w:style w:type="paragraph" w:customStyle="1" w:styleId="Point1">
    <w:name w:val="Point 1"/>
    <w:basedOn w:val="Normal"/>
    <w:pPr>
      <w:spacing w:before="120" w:after="120"/>
      <w:ind w:left="1417" w:hanging="567"/>
      <w:jc w:val="both"/>
    </w:pPr>
    <w:rPr>
      <w:szCs w:val="24"/>
      <w:lang w:val="en-GB" w:eastAsia="ko-KR"/>
    </w:rPr>
  </w:style>
  <w:style w:type="paragraph" w:customStyle="1" w:styleId="Text1">
    <w:name w:val="Text 1"/>
    <w:basedOn w:val="Normal"/>
    <w:pPr>
      <w:spacing w:before="120" w:after="120"/>
      <w:ind w:left="850"/>
      <w:jc w:val="both"/>
    </w:pPr>
    <w:rPr>
      <w:szCs w:val="24"/>
      <w:lang w:val="en-GB" w:eastAsia="ko-KR"/>
    </w:rPr>
  </w:style>
  <w:style w:type="paragraph" w:customStyle="1" w:styleId="Text2">
    <w:name w:val="Text 2"/>
    <w:basedOn w:val="Normal"/>
    <w:pPr>
      <w:spacing w:before="120" w:after="120"/>
      <w:ind w:left="850"/>
      <w:jc w:val="both"/>
    </w:pPr>
    <w:rPr>
      <w:szCs w:val="24"/>
      <w:lang w:val="en-GB" w:eastAsia="ko-KR"/>
    </w:rPr>
  </w:style>
  <w:style w:type="paragraph" w:styleId="BalloonText">
    <w:name w:val="Balloon Text"/>
    <w:basedOn w:val="Normal"/>
    <w:semiHidden/>
    <w:rsid w:val="00796F3A"/>
    <w:pPr>
      <w:jc w:val="left"/>
    </w:pPr>
    <w:rPr>
      <w:rFonts w:ascii="Tahoma" w:hAnsi="Tahoma" w:cs="Tahoma"/>
      <w:sz w:val="16"/>
      <w:szCs w:val="16"/>
    </w:rPr>
  </w:style>
  <w:style w:type="paragraph" w:customStyle="1" w:styleId="N-textsodrkami">
    <w:name w:val="N-text s odrážkami"/>
    <w:basedOn w:val="Normal"/>
    <w:rsid w:val="00924772"/>
    <w:pPr>
      <w:tabs>
        <w:tab w:val="left" w:pos="284"/>
      </w:tabs>
      <w:spacing w:after="120"/>
      <w:ind w:left="284"/>
      <w:jc w:val="both"/>
    </w:pPr>
  </w:style>
  <w:style w:type="paragraph" w:customStyle="1" w:styleId="Zkladntext">
    <w:name w:val="Základní text"/>
    <w:rsid w:val="00924772"/>
    <w:pPr>
      <w:widowControl w:val="0"/>
      <w:autoSpaceDE w:val="0"/>
      <w:autoSpaceDN w:val="0"/>
      <w:bidi w:val="0"/>
      <w:adjustRightInd w:val="0"/>
      <w:ind w:left="0" w:right="0"/>
      <w:jc w:val="left"/>
      <w:textAlignment w:val="auto"/>
    </w:pPr>
    <w:rPr>
      <w:color w:val="000000"/>
      <w:sz w:val="24"/>
      <w:szCs w:val="20"/>
      <w:rtl w:val="0"/>
      <w:lang w:val="sk-SK" w:bidi="ar-SA"/>
    </w:rPr>
  </w:style>
  <w:style w:type="paragraph" w:customStyle="1" w:styleId="NumPar1">
    <w:name w:val="NumPar 1"/>
    <w:basedOn w:val="Normal"/>
    <w:next w:val="Normal"/>
    <w:rsid w:val="000832AA"/>
    <w:pPr>
      <w:numPr>
        <w:ilvl w:val="0"/>
        <w:numId w:val="57"/>
      </w:numPr>
      <w:tabs>
        <w:tab w:val="left" w:pos="720"/>
      </w:tabs>
      <w:spacing w:before="120" w:after="120"/>
      <w:ind w:left="720" w:hanging="360"/>
      <w:jc w:val="both"/>
    </w:pPr>
    <w:rPr>
      <w:szCs w:val="24"/>
      <w:lang w:val="en-GB" w:eastAsia="ko-KR"/>
    </w:rPr>
  </w:style>
  <w:style w:type="paragraph" w:customStyle="1" w:styleId="TABUKA-nadpismal">
    <w:name w:val="TABUĽKA-nadpis malý"/>
    <w:rsid w:val="00C531AE"/>
    <w:pPr>
      <w:widowControl w:val="0"/>
      <w:autoSpaceDE w:val="0"/>
      <w:autoSpaceDN w:val="0"/>
      <w:bidi w:val="0"/>
      <w:adjustRightInd w:val="0"/>
      <w:ind w:left="0" w:right="0"/>
      <w:jc w:val="left"/>
      <w:textAlignment w:val="auto"/>
    </w:pPr>
    <w:rPr>
      <w:b/>
      <w:sz w:val="24"/>
      <w:szCs w:val="24"/>
      <w:rtl w:val="0"/>
      <w:lang w:val="sk-SK" w:bidi="ar-SA"/>
    </w:rPr>
  </w:style>
  <w:style w:type="paragraph" w:customStyle="1" w:styleId="TABUKA-nadpis">
    <w:name w:val="TABUĽKA-nadpis"/>
    <w:rsid w:val="00C531AE"/>
    <w:pPr>
      <w:widowControl w:val="0"/>
      <w:autoSpaceDE w:val="0"/>
      <w:autoSpaceDN w:val="0"/>
      <w:bidi w:val="0"/>
      <w:adjustRightInd w:val="0"/>
      <w:ind w:left="0" w:right="0"/>
      <w:jc w:val="center"/>
      <w:textAlignment w:val="auto"/>
    </w:pPr>
    <w:rPr>
      <w:b/>
      <w:sz w:val="24"/>
      <w:szCs w:val="24"/>
      <w:rtl w:val="0"/>
      <w:lang w:val="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2</Pages>
  <Words>500</Words>
  <Characters>2955</Characters>
  <Application>Microsoft Office Word</Application>
  <DocSecurity>0</DocSecurity>
  <Lines>0</Lines>
  <Paragraphs>0</Paragraphs>
  <ScaleCrop>false</ScaleCrop>
  <Company>Ministry of Finance</Company>
  <LinksUpToDate>false</LinksUpToDate>
  <CharactersWithSpaces>3449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TABUĹKA ZHODY</dc:title>
  <dc:creator>Zamecnikova Petra</dc:creator>
  <cp:lastModifiedBy>lrybansky</cp:lastModifiedBy>
  <cp:revision>2</cp:revision>
  <cp:lastPrinted>2004-08-19T08:08:00Z</cp:lastPrinted>
  <dcterms:created xsi:type="dcterms:W3CDTF">2004-08-20T07:58:00Z</dcterms:created>
  <dcterms:modified xsi:type="dcterms:W3CDTF">2004-08-20T07:58:00Z</dcterms:modified>
</cp:coreProperties>
</file>