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D8617D" w:rsidP="000B6870">
      <w:pPr>
        <w:ind w:right="-29"/>
        <w:jc w:val="center"/>
        <w:rPr>
          <w:rFonts w:ascii="Times New Roman" w:hAnsi="Times New Roman" w:cs="Times New Roman"/>
          <w:b/>
          <w:szCs w:val="24"/>
        </w:rPr>
      </w:pPr>
      <w:r w:rsidRPr="00D8617D">
        <w:rPr>
          <w:rFonts w:ascii="Times New Roman" w:hAnsi="Times New Roman" w:cs="Times New Roman"/>
          <w:b/>
          <w:szCs w:val="24"/>
        </w:rPr>
        <w:t>TABUĽKA ZHODY</w:t>
      </w:r>
    </w:p>
    <w:p w:rsidR="00EF2CEF" w:rsidRPr="00D8617D" w:rsidP="00EF2CEF">
      <w:pPr>
        <w:pStyle w:val="Heading2"/>
        <w:rPr>
          <w:rFonts w:ascii="Times New Roman" w:hAnsi="Times New Roman" w:cs="Times New Roman"/>
        </w:rPr>
      </w:pPr>
      <w:r w:rsidRPr="00D8617D" w:rsidR="001D0E45">
        <w:rPr>
          <w:rFonts w:ascii="Times New Roman" w:hAnsi="Times New Roman" w:cs="Times New Roman"/>
          <w:szCs w:val="24"/>
        </w:rPr>
        <w:t>k</w:t>
      </w:r>
      <w:r w:rsidRPr="00D8617D" w:rsidR="006743E9">
        <w:rPr>
          <w:rFonts w:ascii="Times New Roman" w:hAnsi="Times New Roman" w:cs="Times New Roman"/>
          <w:szCs w:val="24"/>
        </w:rPr>
        <w:t xml:space="preserve"> </w:t>
      </w:r>
      <w:r w:rsidRPr="00D8617D">
        <w:rPr>
          <w:rFonts w:ascii="Times New Roman" w:hAnsi="Times New Roman" w:cs="Times New Roman"/>
          <w:szCs w:val="24"/>
        </w:rPr>
        <w:t>n</w:t>
      </w:r>
      <w:r w:rsidRPr="00D8617D">
        <w:rPr>
          <w:rFonts w:ascii="Times New Roman" w:hAnsi="Times New Roman" w:cs="Times New Roman"/>
        </w:rPr>
        <w:t xml:space="preserve">ávrhu zákona, ktorým sa mení a dopĺňa zákon č. 595/2003 Z. z. o dani z príjmov v znení neskorších predpisov </w:t>
      </w:r>
    </w:p>
    <w:p w:rsidR="00B32964" w:rsidRPr="00D8617D" w:rsidP="00EF2CEF">
      <w:pPr>
        <w:pStyle w:val="Heading2"/>
        <w:rPr>
          <w:rFonts w:ascii="Times New Roman" w:hAnsi="Times New Roman" w:cs="Times New Roman"/>
        </w:rPr>
      </w:pPr>
      <w:r w:rsidRPr="00D8617D" w:rsidR="00972FF1">
        <w:rPr>
          <w:rFonts w:ascii="Times New Roman" w:hAnsi="Times New Roman" w:cs="Times New Roman"/>
        </w:rPr>
        <w:t>s právom Európskych spoločenstiev a právom Európskej únie</w:t>
      </w:r>
    </w:p>
    <w:tbl>
      <w:tblPr>
        <w:tblW w:w="1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539"/>
        <w:gridCol w:w="5528"/>
        <w:gridCol w:w="426"/>
        <w:gridCol w:w="708"/>
        <w:gridCol w:w="709"/>
        <w:gridCol w:w="4394"/>
        <w:gridCol w:w="567"/>
        <w:gridCol w:w="652"/>
        <w:gridCol w:w="1134"/>
        <w:gridCol w:w="595"/>
      </w:tblGrid>
      <w:tr>
        <w:tblPrEx>
          <w:tblW w:w="1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6493"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D8617D" w:rsidP="004F1478">
            <w:pPr>
              <w:rPr>
                <w:rFonts w:ascii="Times New Roman" w:hAnsi="Times New Roman" w:cs="Times New Roman"/>
                <w:b/>
              </w:rPr>
            </w:pPr>
            <w:r w:rsidRPr="00D8617D" w:rsidR="005F497C">
              <w:rPr>
                <w:rFonts w:ascii="Times New Roman" w:hAnsi="Times New Roman" w:cs="Times New Roman"/>
                <w:b/>
              </w:rPr>
              <w:t xml:space="preserve">Právny akt </w:t>
            </w:r>
            <w:r w:rsidRPr="00D8617D" w:rsidR="0007026D">
              <w:rPr>
                <w:rFonts w:ascii="Times New Roman" w:hAnsi="Times New Roman" w:cs="Times New Roman"/>
                <w:b/>
              </w:rPr>
              <w:t>ES/</w:t>
            </w:r>
            <w:r w:rsidRPr="00D8617D" w:rsidR="005F497C">
              <w:rPr>
                <w:rFonts w:ascii="Times New Roman" w:hAnsi="Times New Roman" w:cs="Times New Roman"/>
                <w:b/>
              </w:rPr>
              <w:t>EÚ</w:t>
            </w:r>
          </w:p>
          <w:p w:rsidR="003339A2" w:rsidRPr="00D8617D" w:rsidP="003339A2">
            <w:pPr>
              <w:rPr>
                <w:rFonts w:ascii="Times New Roman" w:hAnsi="Times New Roman" w:cs="Times New Roman"/>
                <w:b/>
              </w:rPr>
            </w:pPr>
            <w:bookmarkStart w:id="0" w:name="texte"/>
            <w:r w:rsidRPr="00D8617D">
              <w:rPr>
                <w:rFonts w:ascii="Times New Roman" w:hAnsi="Times New Roman" w:cs="Times New Roman"/>
                <w:b/>
              </w:rPr>
              <w:t>SMERNICA RADY 2003/48/ES z 3. júna 2003</w:t>
            </w:r>
          </w:p>
          <w:p w:rsidR="003339A2" w:rsidRPr="00D8617D" w:rsidP="00B135FE">
            <w:pPr>
              <w:rPr>
                <w:rFonts w:ascii="Times New Roman" w:hAnsi="Times New Roman" w:cs="Times New Roman"/>
                <w:b/>
              </w:rPr>
            </w:pPr>
            <w:r w:rsidRPr="00D8617D">
              <w:rPr>
                <w:rFonts w:ascii="Times New Roman" w:hAnsi="Times New Roman" w:cs="Times New Roman"/>
                <w:b/>
              </w:rPr>
              <w:t>o zdaňovaní prí</w:t>
            </w:r>
            <w:r w:rsidRPr="00D8617D">
              <w:rPr>
                <w:rFonts w:ascii="Times New Roman" w:hAnsi="Times New Roman" w:cs="Times New Roman"/>
                <w:b/>
              </w:rPr>
              <w:t>jmu z úspor v podobe výplaty úrokov</w:t>
            </w:r>
            <w:bookmarkEnd w:id="0"/>
          </w:p>
        </w:tc>
        <w:tc>
          <w:tcPr>
            <w:tcW w:w="8759"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D8617D" w:rsidP="006C7016">
            <w:pPr>
              <w:pStyle w:val="Heading3"/>
              <w:ind w:right="0"/>
              <w:rPr>
                <w:rFonts w:ascii="Times New Roman" w:hAnsi="Times New Roman" w:cs="Times New Roman"/>
              </w:rPr>
            </w:pPr>
            <w:r w:rsidRPr="00D8617D" w:rsidR="00972FF1">
              <w:rPr>
                <w:rFonts w:ascii="Times New Roman" w:hAnsi="Times New Roman" w:cs="Times New Roman"/>
              </w:rPr>
              <w:t>Všeobecne záväzné právne predpisy SR</w:t>
            </w:r>
          </w:p>
          <w:p w:rsidR="00EF2CEF" w:rsidRPr="00D8617D" w:rsidP="00EF2CEF">
            <w:pPr>
              <w:rPr>
                <w:rFonts w:ascii="Times New Roman" w:hAnsi="Times New Roman" w:cs="Times New Roman"/>
                <w:b/>
              </w:rPr>
            </w:pPr>
            <w:r w:rsidRPr="00D8617D">
              <w:rPr>
                <w:rFonts w:ascii="Times New Roman" w:hAnsi="Times New Roman" w:cs="Times New Roman"/>
                <w:b/>
              </w:rPr>
              <w:t>Návrh zákona, ktorým sa mení a dopĺňa zákon č. 595/2003 Z. z. o dani z príjmov v znení neskorších predpisov</w:t>
            </w:r>
          </w:p>
          <w:p w:rsidR="00EF2CEF" w:rsidRPr="00D8617D" w:rsidP="00EF2CEF">
            <w:pPr>
              <w:rPr>
                <w:rFonts w:ascii="Times New Roman" w:hAnsi="Times New Roman" w:cs="Times New Roman"/>
              </w:rPr>
            </w:pPr>
            <w:r w:rsidRPr="00D8617D">
              <w:rPr>
                <w:rFonts w:ascii="Times New Roman" w:hAnsi="Times New Roman" w:cs="Times New Roman"/>
                <w:b/>
              </w:rPr>
              <w:t>Zákon č. 595/2003 Z. z. o dani z príjmov v znení neskorších predpisov</w:t>
            </w: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8617D">
            <w:pPr>
              <w:rPr>
                <w:rFonts w:ascii="Times New Roman" w:hAnsi="Times New Roman" w:cs="Times New Roman"/>
                <w:b/>
                <w:szCs w:val="24"/>
              </w:rPr>
            </w:pPr>
            <w:r w:rsidRPr="00D8617D" w:rsidR="002A5890">
              <w:rPr>
                <w:rFonts w:ascii="Times New Roman" w:hAnsi="Times New Roman" w:cs="Times New Roman"/>
                <w:szCs w:val="24"/>
              </w:rPr>
              <w:t xml:space="preserve"> </w:t>
            </w:r>
            <w:r w:rsidRPr="00D8617D">
              <w:rPr>
                <w:rFonts w:ascii="Times New Roman" w:hAnsi="Times New Roman" w:cs="Times New Roman"/>
                <w:b/>
                <w:szCs w:val="24"/>
              </w:rPr>
              <w:t>č.</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8617D">
            <w:pPr>
              <w:pStyle w:val="Heading2"/>
              <w:rPr>
                <w:rFonts w:ascii="Times New Roman" w:hAnsi="Times New Roman" w:cs="Times New Roman"/>
                <w:szCs w:val="24"/>
              </w:rPr>
            </w:pPr>
            <w:r w:rsidRPr="00D8617D">
              <w:rPr>
                <w:rFonts w:ascii="Times New Roman" w:hAnsi="Times New Roman" w:cs="Times New Roman"/>
                <w:szCs w:val="24"/>
              </w:rPr>
              <w:t>Text</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8617D">
            <w:pPr>
              <w:rPr>
                <w:rFonts w:ascii="Times New Roman" w:hAnsi="Times New Roman" w:cs="Times New Roman"/>
                <w:b/>
                <w:szCs w:val="24"/>
              </w:rPr>
            </w:pPr>
            <w:r w:rsidRPr="00D8617D" w:rsidR="00B135FE">
              <w:rPr>
                <w:rFonts w:ascii="Times New Roman" w:hAnsi="Times New Roman" w:cs="Times New Roman"/>
                <w:b/>
                <w:szCs w:val="24"/>
              </w:rPr>
              <w:t>Spô</w:t>
            </w:r>
            <w:r w:rsidRPr="00D8617D" w:rsidR="00CF1893">
              <w:rPr>
                <w:rFonts w:ascii="Times New Roman" w:hAnsi="Times New Roman" w:cs="Times New Roman"/>
                <w:b/>
                <w:szCs w:val="24"/>
              </w:rPr>
              <w:t>sob trans</w:t>
            </w:r>
            <w:r w:rsidRPr="00D8617D">
              <w:rPr>
                <w:rFonts w:ascii="Times New Roman" w:hAnsi="Times New Roman" w:cs="Times New Roman"/>
                <w:b/>
                <w:szCs w:val="24"/>
              </w:rPr>
              <w:t>pozície</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8617D">
            <w:pPr>
              <w:rPr>
                <w:rFonts w:ascii="Times New Roman" w:hAnsi="Times New Roman" w:cs="Times New Roman"/>
                <w:b/>
                <w:szCs w:val="24"/>
              </w:rPr>
            </w:pPr>
            <w:r w:rsidRPr="00D8617D">
              <w:rPr>
                <w:rFonts w:ascii="Times New Roman" w:hAnsi="Times New Roman" w:cs="Times New Roman"/>
                <w:b/>
                <w:szCs w:val="24"/>
              </w:rPr>
              <w:t>Číslo</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8617D">
            <w:pPr>
              <w:rPr>
                <w:rFonts w:ascii="Times New Roman" w:hAnsi="Times New Roman" w:cs="Times New Roman"/>
                <w:b/>
                <w:szCs w:val="24"/>
              </w:rPr>
            </w:pPr>
            <w:r w:rsidRPr="00D8617D">
              <w:rPr>
                <w:rFonts w:ascii="Times New Roman" w:hAnsi="Times New Roman" w:cs="Times New Roman"/>
                <w:b/>
                <w:szCs w:val="24"/>
              </w:rPr>
              <w:t>Článok</w:t>
            </w: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8617D">
            <w:pPr>
              <w:rPr>
                <w:rFonts w:ascii="Times New Roman" w:hAnsi="Times New Roman" w:cs="Times New Roman"/>
                <w:b/>
                <w:szCs w:val="24"/>
              </w:rPr>
            </w:pPr>
            <w:r w:rsidRPr="00D8617D">
              <w:rPr>
                <w:rFonts w:ascii="Times New Roman" w:hAnsi="Times New Roman" w:cs="Times New Roman"/>
                <w:b/>
                <w:szCs w:val="24"/>
              </w:rPr>
              <w:t>Text</w:t>
            </w:r>
          </w:p>
          <w:p w:rsidR="005F497C" w:rsidRPr="00D8617D">
            <w:pPr>
              <w:rPr>
                <w:rFonts w:ascii="Times New Roman" w:hAnsi="Times New Roman" w:cs="Times New Roman"/>
                <w:b/>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8617D">
            <w:pPr>
              <w:rPr>
                <w:rFonts w:ascii="Times New Roman" w:hAnsi="Times New Roman" w:cs="Times New Roman"/>
                <w:b/>
                <w:szCs w:val="24"/>
              </w:rPr>
            </w:pPr>
            <w:r w:rsidRPr="00D8617D">
              <w:rPr>
                <w:rFonts w:ascii="Times New Roman" w:hAnsi="Times New Roman" w:cs="Times New Roman"/>
                <w:b/>
                <w:szCs w:val="24"/>
              </w:rPr>
              <w:t>Zhoda</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8617D">
            <w:pPr>
              <w:rPr>
                <w:rFonts w:ascii="Times New Roman" w:hAnsi="Times New Roman" w:cs="Times New Roman"/>
                <w:b/>
                <w:szCs w:val="24"/>
              </w:rPr>
            </w:pPr>
            <w:r w:rsidRPr="00D8617D">
              <w:rPr>
                <w:rFonts w:ascii="Times New Roman" w:hAnsi="Times New Roman" w:cs="Times New Roman"/>
                <w:b/>
                <w:szCs w:val="24"/>
              </w:rPr>
              <w:t>Administratívna infraštruktúra</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8617D">
            <w:pPr>
              <w:rPr>
                <w:rFonts w:ascii="Times New Roman" w:hAnsi="Times New Roman" w:cs="Times New Roman"/>
                <w:b/>
                <w:szCs w:val="24"/>
              </w:rPr>
            </w:pPr>
            <w:r w:rsidRPr="00D8617D">
              <w:rPr>
                <w:rFonts w:ascii="Times New Roman" w:hAnsi="Times New Roman" w:cs="Times New Roman"/>
                <w:b/>
                <w:szCs w:val="24"/>
              </w:rPr>
              <w:t>Poznámky</w:t>
            </w: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8617D">
            <w:pPr>
              <w:rPr>
                <w:rFonts w:ascii="Times New Roman" w:hAnsi="Times New Roman" w:cs="Times New Roman"/>
                <w:b/>
                <w:szCs w:val="24"/>
              </w:rPr>
            </w:pPr>
            <w:r w:rsidRPr="00D8617D">
              <w:rPr>
                <w:rFonts w:ascii="Times New Roman" w:hAnsi="Times New Roman" w:cs="Times New Roman"/>
                <w:b/>
                <w:szCs w:val="24"/>
              </w:rPr>
              <w:t xml:space="preserve">Štádium legislatívneho procesu </w:t>
            </w: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D8617D">
            <w:pPr>
              <w:rPr>
                <w:rFonts w:ascii="Times New Roman" w:hAnsi="Times New Roman" w:cs="Times New Roman"/>
                <w:szCs w:val="24"/>
              </w:rPr>
            </w:pPr>
            <w:r w:rsidRPr="00D8617D">
              <w:rPr>
                <w:rFonts w:ascii="Times New Roman" w:hAnsi="Times New Roman" w:cs="Times New Roman"/>
                <w:szCs w:val="24"/>
              </w:rPr>
              <w:t>Čl.1</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rPr>
            </w:pPr>
            <w:r w:rsidRPr="00D8617D">
              <w:rPr>
                <w:rFonts w:ascii="Times New Roman" w:hAnsi="Times New Roman" w:cs="Times New Roman"/>
              </w:rPr>
              <w:t>KAPITOLA I</w:t>
            </w:r>
          </w:p>
          <w:p w:rsidR="00CE793F" w:rsidRPr="00D8617D" w:rsidP="00CE793F">
            <w:pPr>
              <w:jc w:val="center"/>
              <w:rPr>
                <w:rFonts w:ascii="Times New Roman" w:hAnsi="Times New Roman" w:cs="Times New Roman"/>
                <w:b/>
              </w:rPr>
            </w:pPr>
            <w:r w:rsidRPr="00D8617D">
              <w:rPr>
                <w:rFonts w:ascii="Times New Roman" w:hAnsi="Times New Roman" w:cs="Times New Roman"/>
                <w:b/>
              </w:rPr>
              <w:t>ÚVODNÉ USTANOVENIA</w:t>
            </w:r>
          </w:p>
          <w:p w:rsidR="00CE793F" w:rsidRPr="00D8617D" w:rsidP="00CE793F">
            <w:pPr>
              <w:jc w:val="center"/>
              <w:rPr>
                <w:rFonts w:ascii="Times New Roman" w:hAnsi="Times New Roman" w:cs="Times New Roman"/>
                <w:b/>
              </w:rPr>
            </w:pPr>
            <w:r w:rsidRPr="00D8617D">
              <w:rPr>
                <w:rFonts w:ascii="Times New Roman" w:hAnsi="Times New Roman" w:cs="Times New Roman"/>
                <w:b/>
              </w:rPr>
              <w:t>Cieľ</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Konečným cieľom tejto smernice je umožniť, aby príjem z úspor v podobe výplat úroku vykonaných v jednom členskom štáte vlastníkom požitkov, ktorí sú jednotlivcami s  bydliskom na daňové účely v ďalšom členskom štáte, podliehal účinnému zdaňovaniu v súlade so zákonmi toho členského štátu.</w:t>
            </w:r>
          </w:p>
          <w:p w:rsidR="00B74452" w:rsidRPr="00D8617D" w:rsidP="00402D55">
            <w:pPr>
              <w:jc w:val="both"/>
              <w:rPr>
                <w:rFonts w:ascii="Times New Roman" w:hAnsi="Times New Roman" w:cs="Times New Roman"/>
              </w:rPr>
            </w:pPr>
            <w:r w:rsidRPr="00D8617D" w:rsidR="00CE793F">
              <w:rPr>
                <w:rFonts w:ascii="Times New Roman" w:hAnsi="Times New Roman" w:cs="Times New Roman"/>
              </w:rPr>
              <w:t xml:space="preserve">2. </w:t>
              <w:tab/>
              <w:t>Členské štáty prijmú všetky potrebné opatrenia na zabezpečenie toho, aby úlohy potrebné na vykonávanie tejto smernice vykonávali vyplácajúci zástupcovia usadení na ich území, bez ohľadu na miesto usadenia dlžníka pohľadávky, ktorá poskytuje úrok.</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D8617D">
            <w:pPr>
              <w:pStyle w:val="FootnoteText"/>
              <w:overflowPunct/>
              <w:adjustRightInd/>
              <w:textAlignment w:val="auto"/>
              <w:rPr>
                <w:rFonts w:ascii="Times New Roman" w:hAnsi="Times New Roman" w:cs="Times New Roman"/>
                <w:sz w:val="24"/>
                <w:szCs w:val="24"/>
                <w:lang w:val="sk-SK"/>
              </w:rPr>
            </w:pPr>
          </w:p>
          <w:p w:rsidR="00EF2CEF" w:rsidRPr="00D8617D">
            <w:pPr>
              <w:pStyle w:val="FootnoteText"/>
              <w:overflowPunct/>
              <w:adjustRightInd/>
              <w:textAlignment w:val="auto"/>
              <w:rPr>
                <w:rFonts w:ascii="Times New Roman" w:hAnsi="Times New Roman" w:cs="Times New Roman"/>
                <w:sz w:val="24"/>
                <w:szCs w:val="24"/>
                <w:lang w:val="sk-SK"/>
              </w:rPr>
            </w:pPr>
          </w:p>
          <w:p w:rsidR="0025003E" w:rsidRPr="00D8617D">
            <w:pPr>
              <w:pStyle w:val="FootnoteText"/>
              <w:overflowPunct/>
              <w:adjustRightInd/>
              <w:textAlignment w:val="auto"/>
              <w:rPr>
                <w:rFonts w:ascii="Times New Roman" w:hAnsi="Times New Roman" w:cs="Times New Roman"/>
                <w:sz w:val="24"/>
                <w:szCs w:val="24"/>
                <w:lang w:val="sk-SK"/>
              </w:rPr>
            </w:pPr>
          </w:p>
          <w:p w:rsidR="00EF2CEF" w:rsidRPr="00D8617D">
            <w:pPr>
              <w:pStyle w:val="FootnoteText"/>
              <w:overflowPunct/>
              <w:adjustRightInd/>
              <w:textAlignment w:val="auto"/>
              <w:rPr>
                <w:rFonts w:ascii="Times New Roman" w:hAnsi="Times New Roman" w:cs="Times New Roman"/>
                <w:sz w:val="24"/>
                <w:szCs w:val="24"/>
                <w:lang w:val="sk-SK"/>
              </w:rPr>
            </w:pPr>
            <w:r w:rsidRPr="00D8617D">
              <w:rPr>
                <w:rFonts w:ascii="Times New Roman" w:hAnsi="Times New Roman" w:cs="Times New Roman"/>
                <w:sz w:val="24"/>
                <w:szCs w:val="24"/>
                <w:lang w:val="sk-SK"/>
              </w:rPr>
              <w:t>N</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B3954" w:rsidRPr="00D8617D" w:rsidP="005F390D">
            <w:pPr>
              <w:rPr>
                <w:rFonts w:ascii="Times New Roman" w:hAnsi="Times New Roman" w:cs="Times New Roman"/>
                <w:szCs w:val="24"/>
              </w:rPr>
            </w:pPr>
            <w:r w:rsidRPr="00D8617D" w:rsidR="006F2557">
              <w:rPr>
                <w:rFonts w:ascii="Times New Roman" w:hAnsi="Times New Roman" w:cs="Times New Roman"/>
                <w:szCs w:val="24"/>
              </w:rPr>
              <w:t>Zákon č. 595/ 2003 Z.z.</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03E" w:rsidRPr="00D8617D" w:rsidP="00B05CB6">
            <w:pPr>
              <w:rPr>
                <w:rFonts w:ascii="Times New Roman" w:hAnsi="Times New Roman" w:cs="Times New Roman"/>
                <w:szCs w:val="24"/>
              </w:rPr>
            </w:pPr>
          </w:p>
          <w:p w:rsidR="0025003E" w:rsidRPr="00D8617D" w:rsidP="00B05CB6">
            <w:pPr>
              <w:rPr>
                <w:rFonts w:ascii="Times New Roman" w:hAnsi="Times New Roman" w:cs="Times New Roman"/>
                <w:szCs w:val="24"/>
              </w:rPr>
            </w:pPr>
          </w:p>
          <w:p w:rsidR="0025003E" w:rsidRPr="00D8617D" w:rsidP="00B05CB6">
            <w:pPr>
              <w:rPr>
                <w:rFonts w:ascii="Times New Roman" w:hAnsi="Times New Roman" w:cs="Times New Roman"/>
                <w:szCs w:val="24"/>
              </w:rPr>
            </w:pPr>
          </w:p>
          <w:p w:rsidR="0075238E" w:rsidRPr="00D8617D" w:rsidP="00B05CB6">
            <w:pPr>
              <w:rPr>
                <w:rFonts w:ascii="Times New Roman" w:hAnsi="Times New Roman" w:cs="Times New Roman"/>
                <w:szCs w:val="24"/>
              </w:rPr>
            </w:pPr>
            <w:r w:rsidRPr="00D8617D" w:rsidR="00EF2CEF">
              <w:rPr>
                <w:rFonts w:ascii="Times New Roman" w:hAnsi="Times New Roman" w:cs="Times New Roman"/>
                <w:szCs w:val="24"/>
              </w:rPr>
              <w:t>§ 1 ods.1</w:t>
            </w:r>
            <w:r w:rsidRPr="00D8617D">
              <w:rPr>
                <w:rFonts w:ascii="Times New Roman" w:hAnsi="Times New Roman" w:cs="Times New Roman"/>
                <w:szCs w:val="24"/>
              </w:rPr>
              <w:t xml:space="preserve"> pís.a) </w:t>
            </w:r>
          </w:p>
          <w:p w:rsidR="0075238E" w:rsidRPr="00D8617D" w:rsidP="00B05CB6">
            <w:pPr>
              <w:rPr>
                <w:rFonts w:ascii="Times New Roman" w:hAnsi="Times New Roman" w:cs="Times New Roman"/>
                <w:szCs w:val="24"/>
              </w:rPr>
            </w:pPr>
          </w:p>
          <w:p w:rsidR="00AF30A3" w:rsidRPr="00D8617D" w:rsidP="00B05CB6">
            <w:pPr>
              <w:rPr>
                <w:rFonts w:ascii="Times New Roman" w:hAnsi="Times New Roman" w:cs="Times New Roman"/>
                <w:szCs w:val="24"/>
              </w:rPr>
            </w:pPr>
            <w:r w:rsidRPr="00D8617D" w:rsidR="0075238E">
              <w:rPr>
                <w:rFonts w:ascii="Times New Roman" w:hAnsi="Times New Roman" w:cs="Times New Roman"/>
                <w:szCs w:val="24"/>
              </w:rPr>
              <w:t>pís.b)</w:t>
            </w: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03E" w:rsidRPr="00D8617D" w:rsidP="0075238E">
            <w:pPr>
              <w:jc w:val="both"/>
              <w:rPr>
                <w:rFonts w:ascii="Times New Roman" w:hAnsi="Times New Roman" w:cs="Times New Roman"/>
                <w:szCs w:val="24"/>
              </w:rPr>
            </w:pPr>
          </w:p>
          <w:p w:rsidR="0025003E" w:rsidRPr="00D8617D" w:rsidP="0075238E">
            <w:pPr>
              <w:jc w:val="both"/>
              <w:rPr>
                <w:rFonts w:ascii="Times New Roman" w:hAnsi="Times New Roman" w:cs="Times New Roman"/>
                <w:szCs w:val="24"/>
              </w:rPr>
            </w:pPr>
          </w:p>
          <w:p w:rsidR="0025003E" w:rsidRPr="00D8617D" w:rsidP="0075238E">
            <w:pPr>
              <w:jc w:val="both"/>
              <w:rPr>
                <w:rFonts w:ascii="Times New Roman" w:hAnsi="Times New Roman" w:cs="Times New Roman"/>
                <w:szCs w:val="24"/>
              </w:rPr>
            </w:pPr>
          </w:p>
          <w:p w:rsidR="0075238E" w:rsidRPr="00D8617D" w:rsidP="0075238E">
            <w:pPr>
              <w:jc w:val="both"/>
              <w:rPr>
                <w:rFonts w:ascii="Times New Roman" w:hAnsi="Times New Roman" w:cs="Times New Roman"/>
                <w:szCs w:val="24"/>
              </w:rPr>
            </w:pPr>
            <w:r w:rsidRPr="00D8617D">
              <w:rPr>
                <w:rFonts w:ascii="Times New Roman" w:hAnsi="Times New Roman" w:cs="Times New Roman"/>
                <w:szCs w:val="24"/>
              </w:rPr>
              <w:t>Tento zákon upravuje</w:t>
            </w:r>
          </w:p>
          <w:p w:rsidR="0075238E" w:rsidRPr="00D8617D" w:rsidP="0075238E">
            <w:pPr>
              <w:jc w:val="both"/>
              <w:rPr>
                <w:rFonts w:ascii="Times New Roman" w:hAnsi="Times New Roman" w:cs="Times New Roman"/>
                <w:szCs w:val="24"/>
              </w:rPr>
            </w:pPr>
          </w:p>
          <w:p w:rsidR="0075238E" w:rsidRPr="00D8617D" w:rsidP="0075238E">
            <w:pPr>
              <w:jc w:val="both"/>
              <w:rPr>
                <w:rFonts w:ascii="Times New Roman" w:hAnsi="Times New Roman" w:cs="Times New Roman"/>
                <w:szCs w:val="24"/>
              </w:rPr>
            </w:pPr>
            <w:r w:rsidRPr="00D8617D">
              <w:rPr>
                <w:rFonts w:ascii="Times New Roman" w:hAnsi="Times New Roman" w:cs="Times New Roman"/>
                <w:szCs w:val="24"/>
              </w:rPr>
              <w:t>daň z príjmov fyzickej osoby alebo právnickej osoby (ďalej len "daň"),</w:t>
            </w:r>
          </w:p>
          <w:p w:rsidR="00AF30A3" w:rsidRPr="00D8617D" w:rsidP="0075238E">
            <w:pPr>
              <w:jc w:val="both"/>
              <w:rPr>
                <w:rFonts w:ascii="Times New Roman" w:hAnsi="Times New Roman" w:cs="Times New Roman"/>
                <w:szCs w:val="24"/>
              </w:rPr>
            </w:pPr>
            <w:r w:rsidRPr="00D8617D" w:rsidR="0075238E">
              <w:rPr>
                <w:rFonts w:ascii="Times New Roman" w:hAnsi="Times New Roman" w:cs="Times New Roman"/>
                <w:szCs w:val="24"/>
              </w:rPr>
              <w:t>spôsob platenia a vyberania dane.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03E" w:rsidRPr="00D8617D">
            <w:pPr>
              <w:rPr>
                <w:rFonts w:ascii="Times New Roman" w:hAnsi="Times New Roman" w:cs="Times New Roman"/>
                <w:szCs w:val="24"/>
              </w:rPr>
            </w:pPr>
            <w:r w:rsidRPr="00D8617D" w:rsidR="00AF30A3">
              <w:rPr>
                <w:rFonts w:ascii="Times New Roman" w:hAnsi="Times New Roman" w:cs="Times New Roman"/>
                <w:szCs w:val="24"/>
              </w:rPr>
              <w:t xml:space="preserve"> </w:t>
            </w:r>
          </w:p>
          <w:p w:rsidR="0025003E" w:rsidRPr="00D8617D">
            <w:pPr>
              <w:rPr>
                <w:rFonts w:ascii="Times New Roman" w:hAnsi="Times New Roman" w:cs="Times New Roman"/>
                <w:szCs w:val="24"/>
              </w:rPr>
            </w:pPr>
          </w:p>
          <w:p w:rsidR="0025003E" w:rsidRPr="00D8617D">
            <w:pPr>
              <w:rPr>
                <w:rFonts w:ascii="Times New Roman" w:hAnsi="Times New Roman" w:cs="Times New Roman"/>
                <w:szCs w:val="24"/>
              </w:rPr>
            </w:pPr>
          </w:p>
          <w:p w:rsidR="0025003E" w:rsidRPr="00D8617D">
            <w:pPr>
              <w:rPr>
                <w:rFonts w:ascii="Times New Roman" w:hAnsi="Times New Roman" w:cs="Times New Roman"/>
                <w:szCs w:val="24"/>
              </w:rPr>
            </w:pPr>
            <w:r w:rsidRPr="00D8617D">
              <w:rPr>
                <w:rFonts w:ascii="Times New Roman" w:hAnsi="Times New Roman" w:cs="Times New Roman"/>
                <w:szCs w:val="24"/>
              </w:rPr>
              <w:t>Ú</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D8617D">
            <w:pPr>
              <w:rPr>
                <w:rFonts w:ascii="Times New Roman" w:hAnsi="Times New Roman" w:cs="Times New Roman"/>
                <w:szCs w:val="24"/>
              </w:rPr>
            </w:pPr>
            <w:r w:rsidRPr="00D8617D" w:rsidR="00F108EB">
              <w:rPr>
                <w:rFonts w:ascii="Times New Roman" w:hAnsi="Times New Roman" w:cs="Times New Roman"/>
                <w:szCs w:val="24"/>
              </w:rPr>
              <w:t xml:space="preserve">MF SR , </w:t>
            </w:r>
            <w:r w:rsidRPr="00D8617D" w:rsidR="00F108EB">
              <w:rPr>
                <w:rFonts w:ascii="Times New Roman" w:hAnsi="Times New Roman" w:cs="Times New Roman"/>
              </w:rPr>
              <w:t>daňové orgány</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76C" w:rsidRPr="00D8617D">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r w:rsidRPr="00D8617D">
              <w:rPr>
                <w:rFonts w:ascii="Times New Roman" w:hAnsi="Times New Roman" w:cs="Times New Roman"/>
                <w:szCs w:val="24"/>
              </w:rPr>
              <w:t>Čl.2</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Vymedzenie vlastníka požitkov</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Na účely tejto smernice „vlastník požitkov“ označuje akéhokoľvek jednotlivca, ktorý prijíma výplatu úroku alebo jednotlivca, ktorému je výplata úroku zabezpečená, pokiaľ neposkytne dôkaz, že nebola prijatá alebo zabezpečená v jeho vlastný prospech, t. j. že:</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(a) </w:t>
              <w:tab/>
              <w:t>koná ako vyplácajúci zástupca v zmysle článku 4 ods</w:t>
            </w:r>
            <w:r w:rsidRPr="00D8617D">
              <w:rPr>
                <w:rFonts w:ascii="Times New Roman" w:hAnsi="Times New Roman" w:cs="Times New Roman"/>
              </w:rPr>
              <w:t>. 1; alebo</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(b) </w:t>
              <w:tab/>
              <w:t>koná za právnickú osobu, subjekt, ktorý je zdaňovaný zo svojich ziskov na základe všeobecných úprav pre zdaňovanie podnikania, UCITS schválenú v súlade so smernicou 85/611/EHS alebo subjekt uvedený v článku 4 ods. 2 tejto smernice, pričom v poslednom spomenutom prípade oznamuje meno a adresu uvedeného subjektu hospodárskemu subjektu, ktorý vykonáva výplatu úroku, a uvedený hospodársky subjekt oznamuje takéto informácie príslušnému orgánu členského štátu svojho bydliska/sídla, alebo</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(c) </w:t>
              <w:tab/>
              <w:t>koná za ďalšieho jednotlivca, ktorý je vlastníkom požitkov, a oznamuje vyplácajúcemu zástupcovi totožnosť uvedeného vlastníka požitkov v súlade článkom 3 ods. 2.</w:t>
            </w:r>
          </w:p>
          <w:p w:rsidR="00B74452" w:rsidRPr="00D8617D">
            <w:pPr>
              <w:jc w:val="both"/>
              <w:rPr>
                <w:rFonts w:ascii="Times New Roman" w:hAnsi="Times New Roman" w:cs="Times New Roman"/>
              </w:rPr>
            </w:pPr>
            <w:r w:rsidRPr="00D8617D" w:rsidR="00CE793F">
              <w:rPr>
                <w:rFonts w:ascii="Times New Roman" w:hAnsi="Times New Roman" w:cs="Times New Roman"/>
              </w:rPr>
              <w:t xml:space="preserve">2. </w:t>
              <w:tab/>
              <w:t>Pokiaľ vyplácajúci zástupca má informácie, ktoré naznačujú, že jednotlivec, ktorý prijíma výplatu úroku alebo pre ktorého je výplata úroku zabezpečená, nemusí byť vlastníkom požitkov a pokiaľ sa na uvedeného jednotlivca neuplatňuje  odsek 1 písm. a) a ani  odsek 1 písm. b), podnikne všetky primerané kroky na stanovenie totožnosti vlastníka požitkov v súlade s článkom 3 ods. 2. Ak vyplácajúci zástupca nie je schopný identifikovať vlastníka požitkov, k predmetnému jednotlivcovi pristupuje ako ku vlastníkovi požitkov.</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r w:rsidRPr="00D8617D" w:rsidR="006F2557">
              <w:rPr>
                <w:rFonts w:ascii="Times New Roman" w:hAnsi="Times New Roman" w:cs="Times New Roman"/>
                <w:szCs w:val="24"/>
              </w:rPr>
              <w:t>N</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rsidP="00BC06EF">
            <w:pPr>
              <w:rPr>
                <w:rFonts w:ascii="Times New Roman" w:hAnsi="Times New Roman" w:cs="Times New Roman"/>
                <w:szCs w:val="24"/>
              </w:rPr>
            </w:pPr>
            <w:r w:rsidRPr="00D8617D" w:rsidR="006F2557">
              <w:rPr>
                <w:rFonts w:ascii="Times New Roman" w:hAnsi="Times New Roman" w:cs="Times New Roman"/>
                <w:szCs w:val="24"/>
              </w:rPr>
              <w:t>Zákon č. 595/</w:t>
            </w:r>
            <w:r w:rsidRPr="00D8617D" w:rsidR="00AB6BDA">
              <w:rPr>
                <w:rFonts w:ascii="Times New Roman" w:hAnsi="Times New Roman" w:cs="Times New Roman"/>
                <w:szCs w:val="24"/>
              </w:rPr>
              <w:t xml:space="preserve"> </w:t>
            </w:r>
            <w:r w:rsidRPr="00D8617D" w:rsidR="006F2557">
              <w:rPr>
                <w:rFonts w:ascii="Times New Roman" w:hAnsi="Times New Roman" w:cs="Times New Roman"/>
                <w:szCs w:val="24"/>
              </w:rPr>
              <w:t>2003</w:t>
            </w:r>
            <w:r w:rsidRPr="00D8617D" w:rsidR="00AB6BDA">
              <w:rPr>
                <w:rFonts w:ascii="Times New Roman" w:hAnsi="Times New Roman" w:cs="Times New Roman"/>
                <w:szCs w:val="24"/>
              </w:rPr>
              <w:t xml:space="preserve"> Z.z.</w:t>
            </w:r>
          </w:p>
          <w:p w:rsidR="00775A4E" w:rsidRPr="00D8617D" w:rsidP="00BC06EF">
            <w:pPr>
              <w:rPr>
                <w:rFonts w:ascii="Times New Roman" w:hAnsi="Times New Roman" w:cs="Times New Roman"/>
                <w:szCs w:val="24"/>
              </w:rPr>
            </w:pPr>
          </w:p>
          <w:p w:rsidR="00775A4E" w:rsidRPr="00D8617D" w:rsidP="00BC06EF">
            <w:pPr>
              <w:rPr>
                <w:rFonts w:ascii="Times New Roman" w:hAnsi="Times New Roman" w:cs="Times New Roman"/>
                <w:szCs w:val="24"/>
              </w:rPr>
            </w:pPr>
          </w:p>
          <w:p w:rsidR="00775A4E" w:rsidRPr="00D8617D" w:rsidP="00BC06EF">
            <w:pPr>
              <w:rPr>
                <w:rFonts w:ascii="Times New Roman" w:hAnsi="Times New Roman" w:cs="Times New Roman"/>
                <w:szCs w:val="24"/>
              </w:rPr>
            </w:pPr>
          </w:p>
          <w:p w:rsidR="00775A4E" w:rsidRPr="00D8617D" w:rsidP="00BC06EF">
            <w:pPr>
              <w:rPr>
                <w:rFonts w:ascii="Times New Roman" w:hAnsi="Times New Roman" w:cs="Times New Roman"/>
                <w:szCs w:val="24"/>
              </w:rPr>
            </w:pPr>
          </w:p>
          <w:p w:rsidR="00775A4E" w:rsidRPr="00D8617D" w:rsidP="00BC06EF">
            <w:pPr>
              <w:rPr>
                <w:rFonts w:ascii="Times New Roman" w:hAnsi="Times New Roman" w:cs="Times New Roman"/>
                <w:szCs w:val="24"/>
              </w:rPr>
            </w:pPr>
          </w:p>
          <w:p w:rsidR="00775A4E" w:rsidRPr="00D8617D" w:rsidP="00BC06EF">
            <w:pPr>
              <w:rPr>
                <w:rFonts w:ascii="Times New Roman" w:hAnsi="Times New Roman" w:cs="Times New Roman"/>
                <w:szCs w:val="24"/>
              </w:rPr>
            </w:pPr>
          </w:p>
          <w:p w:rsidR="00775A4E" w:rsidRPr="00D8617D" w:rsidP="00BC06EF">
            <w:pPr>
              <w:rPr>
                <w:rFonts w:ascii="Times New Roman" w:hAnsi="Times New Roman" w:cs="Times New Roman"/>
                <w:szCs w:val="24"/>
              </w:rPr>
            </w:pPr>
            <w:r w:rsidRPr="00D8617D">
              <w:rPr>
                <w:rFonts w:ascii="Times New Roman" w:hAnsi="Times New Roman" w:cs="Times New Roman"/>
                <w:szCs w:val="24"/>
              </w:rPr>
              <w:t>Zákon č. 595/ 2003 Z.z.</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5A4E" w:rsidRPr="00D8617D">
            <w:pPr>
              <w:rPr>
                <w:rFonts w:ascii="Times New Roman" w:hAnsi="Times New Roman" w:cs="Times New Roman"/>
                <w:szCs w:val="24"/>
              </w:rPr>
            </w:pPr>
            <w:r w:rsidRPr="00D8617D">
              <w:rPr>
                <w:rFonts w:ascii="Times New Roman" w:hAnsi="Times New Roman" w:cs="Times New Roman"/>
                <w:szCs w:val="24"/>
              </w:rPr>
              <w:t>§ 2 pís. t)</w:t>
            </w:r>
          </w:p>
          <w:p w:rsidR="00775A4E" w:rsidRPr="00D8617D">
            <w:pPr>
              <w:rPr>
                <w:rFonts w:ascii="Times New Roman" w:hAnsi="Times New Roman" w:cs="Times New Roman"/>
                <w:szCs w:val="24"/>
              </w:rPr>
            </w:pPr>
          </w:p>
          <w:p w:rsidR="00775A4E" w:rsidRPr="00D8617D">
            <w:pPr>
              <w:rPr>
                <w:rFonts w:ascii="Times New Roman" w:hAnsi="Times New Roman" w:cs="Times New Roman"/>
                <w:szCs w:val="24"/>
              </w:rPr>
            </w:pPr>
          </w:p>
          <w:p w:rsidR="00775A4E" w:rsidRPr="00D8617D">
            <w:pPr>
              <w:rPr>
                <w:rFonts w:ascii="Times New Roman" w:hAnsi="Times New Roman" w:cs="Times New Roman"/>
                <w:szCs w:val="24"/>
              </w:rPr>
            </w:pPr>
          </w:p>
          <w:p w:rsidR="00775A4E" w:rsidRPr="00D8617D">
            <w:pPr>
              <w:rPr>
                <w:rFonts w:ascii="Times New Roman" w:hAnsi="Times New Roman" w:cs="Times New Roman"/>
                <w:szCs w:val="24"/>
              </w:rPr>
            </w:pPr>
          </w:p>
          <w:p w:rsidR="00775A4E" w:rsidRPr="00D8617D">
            <w:pPr>
              <w:rPr>
                <w:rFonts w:ascii="Times New Roman" w:hAnsi="Times New Roman" w:cs="Times New Roman"/>
                <w:szCs w:val="24"/>
              </w:rPr>
            </w:pPr>
          </w:p>
          <w:p w:rsidR="00775A4E" w:rsidRPr="00D8617D">
            <w:pPr>
              <w:rPr>
                <w:rFonts w:ascii="Times New Roman" w:hAnsi="Times New Roman" w:cs="Times New Roman"/>
                <w:szCs w:val="24"/>
              </w:rPr>
            </w:pPr>
          </w:p>
          <w:p w:rsidR="00775A4E" w:rsidRPr="00D8617D">
            <w:pPr>
              <w:rPr>
                <w:rFonts w:ascii="Times New Roman" w:hAnsi="Times New Roman" w:cs="Times New Roman"/>
                <w:szCs w:val="24"/>
              </w:rPr>
            </w:pPr>
          </w:p>
          <w:p w:rsidR="00775A4E" w:rsidRPr="00D8617D">
            <w:pPr>
              <w:rPr>
                <w:rFonts w:ascii="Times New Roman" w:hAnsi="Times New Roman" w:cs="Times New Roman"/>
                <w:szCs w:val="24"/>
              </w:rPr>
            </w:pPr>
          </w:p>
          <w:p w:rsidR="00775A4E" w:rsidRPr="00D8617D">
            <w:pPr>
              <w:rPr>
                <w:rFonts w:ascii="Times New Roman" w:hAnsi="Times New Roman" w:cs="Times New Roman"/>
                <w:szCs w:val="24"/>
              </w:rPr>
            </w:pPr>
          </w:p>
          <w:p w:rsidR="00BC06EF" w:rsidRPr="00D8617D">
            <w:pPr>
              <w:rPr>
                <w:rFonts w:ascii="Times New Roman" w:hAnsi="Times New Roman" w:cs="Times New Roman"/>
                <w:szCs w:val="24"/>
              </w:rPr>
            </w:pPr>
            <w:r w:rsidRPr="00D8617D" w:rsidR="006F2557">
              <w:rPr>
                <w:rFonts w:ascii="Times New Roman" w:hAnsi="Times New Roman" w:cs="Times New Roman"/>
                <w:szCs w:val="24"/>
              </w:rPr>
              <w:t>§ 9 ods.</w:t>
            </w:r>
            <w:r w:rsidRPr="00D8617D" w:rsidR="006F2557">
              <w:rPr>
                <w:rFonts w:ascii="Times New Roman" w:hAnsi="Times New Roman" w:cs="Times New Roman"/>
                <w:szCs w:val="24"/>
              </w:rPr>
              <w:t>2 pís.r)</w:t>
            </w: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5A4E" w:rsidRPr="00D8617D" w:rsidP="006F2557">
            <w:pPr>
              <w:jc w:val="both"/>
              <w:rPr>
                <w:rFonts w:ascii="Times New Roman" w:hAnsi="Times New Roman" w:cs="Times New Roman"/>
              </w:rPr>
            </w:pPr>
            <w:r w:rsidRPr="00D8617D">
              <w:rPr>
                <w:rFonts w:ascii="Times New Roman" w:hAnsi="Times New Roman" w:cs="Times New Roman"/>
              </w:rPr>
              <w:t>t) 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w:t>
            </w:r>
          </w:p>
          <w:p w:rsidR="00775A4E" w:rsidRPr="00D8617D" w:rsidP="006F2557">
            <w:pPr>
              <w:jc w:val="both"/>
              <w:rPr>
                <w:rFonts w:ascii="Times New Roman" w:hAnsi="Times New Roman" w:cs="Times New Roman"/>
              </w:rPr>
            </w:pPr>
          </w:p>
          <w:p w:rsidR="006F2557" w:rsidRPr="00D8617D" w:rsidP="006F2557">
            <w:pPr>
              <w:jc w:val="both"/>
              <w:rPr>
                <w:rFonts w:ascii="Times New Roman" w:hAnsi="Times New Roman" w:cs="Times New Roman"/>
              </w:rPr>
            </w:pPr>
            <w:r w:rsidRPr="00D8617D">
              <w:rPr>
                <w:rFonts w:ascii="Times New Roman" w:hAnsi="Times New Roman" w:cs="Times New Roman"/>
              </w:rPr>
              <w:t>Od dane sú oslobodené aj</w:t>
            </w:r>
          </w:p>
          <w:p w:rsidR="00BC06EF" w:rsidRPr="00D8617D" w:rsidP="00E36C75">
            <w:pPr>
              <w:pStyle w:val="BodyText"/>
              <w:rPr>
                <w:rFonts w:ascii="Times New Roman" w:hAnsi="Times New Roman" w:cs="Times New Roman"/>
                <w:szCs w:val="24"/>
              </w:rPr>
            </w:pPr>
            <w:r w:rsidRPr="00D8617D" w:rsidR="00290798">
              <w:rPr>
                <w:rFonts w:ascii="Times New Roman" w:hAnsi="Times New Roman" w:cs="Times New Roman"/>
              </w:rPr>
              <w:t xml:space="preserve">r) </w:t>
            </w:r>
            <w:r w:rsidRPr="00D8617D" w:rsidR="00640B74">
              <w:rPr>
                <w:rFonts w:ascii="Times New Roman" w:hAnsi="Times New Roman" w:cs="Times New Roman"/>
              </w:rPr>
              <w:t>úroky a iné výnosy z vkladov, z úverov a pôžičiek, z výnosov podielových listov, dlhopisov, vkladových certifikátov, depozitných certifikátov, pokladničných poukážok, vkladových listov a iných cenných papierov a vkladov postavených im na roveň, plynúce zo zdroja na území Slovenskej republiky fyzickej osobe, ktorá je daňovníkom iného členského štátu Európskej únie a ktorá je konečným príjemcom takýchto príjmov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r w:rsidRPr="00D8617D" w:rsidR="00775A4E">
              <w:rPr>
                <w:rFonts w:ascii="Times New Roman" w:hAnsi="Times New Roman" w:cs="Times New Roman"/>
                <w:szCs w:val="24"/>
              </w:rPr>
              <w:t>Ú</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r w:rsidRPr="00D8617D">
              <w:rPr>
                <w:rFonts w:ascii="Times New Roman" w:hAnsi="Times New Roman" w:cs="Times New Roman"/>
                <w:szCs w:val="24"/>
              </w:rPr>
              <w:t>Čl.3</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Totožnosť a bydlisko vlastníkov požitkov</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Každý členský štát v rámci svojho územia prijíma a zabezpečuje uplatňovanie postupov potrebných na to, aby sa vyplácajúcemu zástupcovi umožnilo identifikovať vlastníkov požitkov a ich bydlisko na účely článkov 8 až 12.</w:t>
            </w:r>
          </w:p>
          <w:p w:rsidR="00CE793F" w:rsidRPr="00D8617D" w:rsidP="00CE793F">
            <w:pPr>
              <w:jc w:val="both"/>
              <w:rPr>
                <w:rFonts w:ascii="Times New Roman" w:hAnsi="Times New Roman" w:cs="Times New Roman"/>
              </w:rPr>
            </w:pPr>
            <w:r w:rsidRPr="00D8617D">
              <w:rPr>
                <w:rFonts w:ascii="Times New Roman" w:hAnsi="Times New Roman" w:cs="Times New Roman"/>
              </w:rPr>
              <w:t>Takéto postupy dodržiavajú minimálne štandardy stanovené v odsekoch 2 a 3.</w:t>
            </w:r>
          </w:p>
          <w:p w:rsidR="00CE793F" w:rsidRPr="00D8617D" w:rsidP="00CE793F">
            <w:pPr>
              <w:jc w:val="both"/>
              <w:rPr>
                <w:rFonts w:ascii="Times New Roman" w:hAnsi="Times New Roman" w:cs="Times New Roman"/>
              </w:rPr>
            </w:pPr>
            <w:r w:rsidRPr="00D8617D">
              <w:rPr>
                <w:rFonts w:ascii="Times New Roman" w:hAnsi="Times New Roman" w:cs="Times New Roman"/>
              </w:rPr>
              <w:t>2. Vyplácajúci zástupca stanovuje totožnosť vlastníka požitkov na základe minimálnych štandardov, ktoré sa menia v závislosti od toho, kedy boli nadviazané vzťahy medzi vyplácajúcim zástupcom a prijímateľom úroku, nasledovne:</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(a) </w:t>
              <w:tab/>
              <w:t>v prípade zmluvných vzťahov, ktoré boli nadviazané pred 1. januárom 2004 vyplácajúci zástupca stanovuje totožnosť vlastníka požitkov, pozostávajúcu z jeho mena a adresy, s použitím informácií, ktoré má k dispozícii, najmä podľa predpisov platných v štáte svojho sídla a smernice Rady 91/308/EHS z 10. júna 1991 o zabraňovaní využívania finančného systému na účely prania špinavých peňazí (</w:t>
            </w:r>
            <w:r>
              <w:rPr>
                <w:rStyle w:val="FootnoteReference"/>
                <w:rFonts w:ascii="Times New Roman" w:hAnsi="Times New Roman" w:cs="Times New Roman"/>
                <w:rtl w:val="0"/>
              </w:rPr>
              <w:footnoteReference w:id="0"/>
            </w:r>
            <w:r w:rsidRPr="00D8617D">
              <w:rPr>
                <w:rFonts w:ascii="Times New Roman" w:hAnsi="Times New Roman" w:cs="Times New Roman"/>
              </w:rPr>
              <w:t>);</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(b) </w:t>
              <w:tab/>
              <w:t>v prípade nadviazania zmluvných vzťahov alebo transakcií, ktoré boli vykonávané v neprítomnosti zmluvných vzťahov do 1. januára 2004 alebo po ňom, vyplácajúci zástupca stanovuje totožnosť vlastníka požitkov, pozostávajúcu z mena, adresy a, pokiaľ je k dispozícii, tiež daňového identifikačného čísla prideleného členským štátom bydliska na daňové účely.  Tieto údaje sa stanovujú na základe pasu alebo úradného preukazu totožnosti predloženého vlastníkom požitkov. Ak sa v pase alebo v preukaze totožnosti neobjavuje adresa, táto sa stanoví na základe akéhokoľvek iného písomného dokladu totožnosti predloženého vlastníkom požitkov. Ak sa v pase, úradnom preukaze totožnosti alebo v akomkoľvek písomnom doklade totožnosti,  prípadne vrátane osvedčenia o bydlisku na daňové účely, predloženom vlastníkom požitkov neuvádza daňové identifikačné číslo, totožnosť sa doplní odkazom na dátum a miesto narodenia vlastníka požitkov, ktoré sú stanovené na základe jeho pasu alebo úradného preukazu totožno</w:t>
            </w:r>
            <w:r w:rsidRPr="00D8617D">
              <w:rPr>
                <w:rFonts w:ascii="Times New Roman" w:hAnsi="Times New Roman" w:cs="Times New Roman"/>
              </w:rPr>
              <w:t>sti.</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3. </w:t>
              <w:tab/>
              <w:t>Vyplácajúci zástupca stanovuje bydlisko vlastníka požitkov na základe minimálnych štandardov, ktoré sa menia v závislosti od toho, kedy boli nadviazané vzťahy medzi vyplácajúcim zástupcom a prijímateľom úroku. Na základe týchto podmienok sa miesto bydliska nachádza v krajine, kde má vlastník požitkov svoju trvalú adresu:</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(a) </w:t>
              <w:tab/>
              <w:t>v prípade zmluvných vzťahov, ktoré boli nadviazané pred 1. januárom 2004, vyplácajúci zástupca stanovuje bydlisko vlastníka požitkov s použitím informácií, ktoré má k dispozícii, najmä podľa predpisov platných v štáte svojho sídla a smernice Rady 91/308/EHS;</w:t>
            </w:r>
          </w:p>
          <w:p w:rsidR="00B74452" w:rsidRPr="00D8617D" w:rsidP="00433241">
            <w:pPr>
              <w:jc w:val="both"/>
              <w:rPr>
                <w:rFonts w:ascii="Times New Roman" w:hAnsi="Times New Roman" w:cs="Times New Roman"/>
              </w:rPr>
            </w:pPr>
            <w:r w:rsidRPr="00D8617D" w:rsidR="00CE793F">
              <w:rPr>
                <w:rFonts w:ascii="Times New Roman" w:hAnsi="Times New Roman" w:cs="Times New Roman"/>
              </w:rPr>
              <w:t xml:space="preserve">(b) </w:t>
              <w:tab/>
              <w:t>v prípade nadviazania zmluvných vzťahov alebo transakcií, ktoré boli vykonávané v neprítomnosti zmluvných vzťahov do 1. januára 2004 alebo po ňom vyplácajúci zástupca stanovuje bydlisko vlastníka požitkov na základe adresy spomenutej v pase, v úradnom preukaze totožnosti alebo, ak treba, na základe akéhokoľvek písomného dokladu totožnosti predlženého vlastníkom požitkov a v súlade s týmto postupom:  v prípade jednotlivcov predkladajúcich pas alebo úradný preukaz totožnosti vydaný členským štátom, ktorí o sebe vyhlasujú, že majú bydlisko v tretej krajine, sa bydlisko stanovuje prostredníctvom osvedčenia o bydlisku na daňové účely vydaného príslušným orgánom tretej krajiny, o ktorej jednotlivec vyhlasuje, že v nej má bydlisko. V prípade nepredloženia takéhoto osvedčenia sa za krajinu bydliska považuje členský štát, ktorý vydal pas alebo iný úradný doklad potvrdzujúci totožnosť.</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r w:rsidRPr="00D8617D" w:rsidR="00502775">
              <w:rPr>
                <w:rFonts w:ascii="Times New Roman" w:hAnsi="Times New Roman" w:cs="Times New Roman"/>
                <w:szCs w:val="24"/>
              </w:rPr>
              <w:t>N</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pStyle w:val="Footer"/>
              <w:tabs>
                <w:tab w:val="clear" w:pos="4536"/>
                <w:tab w:val="clear" w:pos="9072"/>
              </w:tabs>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rsidP="00E36C75">
            <w:pPr>
              <w:pStyle w:val="BodyText"/>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r w:rsidRPr="00D8617D" w:rsidR="00085799">
              <w:rPr>
                <w:rFonts w:ascii="Times New Roman" w:hAnsi="Times New Roman" w:cs="Times New Roman"/>
                <w:szCs w:val="24"/>
              </w:rPr>
              <w:t>Č</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pPr>
              <w:rPr>
                <w:rFonts w:ascii="Times New Roman" w:hAnsi="Times New Roman" w:cs="Times New Roman"/>
                <w:szCs w:val="24"/>
              </w:rPr>
            </w:pPr>
            <w:r w:rsidRPr="00D8617D" w:rsidR="00085799">
              <w:rPr>
                <w:rFonts w:ascii="Times New Roman" w:hAnsi="Times New Roman" w:cs="Times New Roman"/>
                <w:szCs w:val="24"/>
              </w:rPr>
              <w:t>§ 32 ods. 15 zákona č. 511/1992 Zb.</w:t>
            </w:r>
          </w:p>
          <w:p w:rsidR="00674F41" w:rsidRPr="00D8617D">
            <w:pPr>
              <w:rPr>
                <w:rFonts w:ascii="Times New Roman" w:hAnsi="Times New Roman" w:cs="Times New Roman"/>
                <w:szCs w:val="24"/>
              </w:rPr>
            </w:pPr>
          </w:p>
          <w:p w:rsidR="00D8617D">
            <w:pPr>
              <w:rPr>
                <w:rFonts w:ascii="Times New Roman" w:hAnsi="Times New Roman" w:cs="Times New Roman"/>
                <w:szCs w:val="24"/>
              </w:rPr>
            </w:pPr>
            <w:r w:rsidRPr="00D8617D">
              <w:rPr>
                <w:rFonts w:ascii="Times New Roman" w:hAnsi="Times New Roman" w:cs="Times New Roman"/>
                <w:szCs w:val="24"/>
              </w:rPr>
              <w:t>S</w:t>
            </w:r>
            <w:r w:rsidRPr="00D8617D">
              <w:rPr>
                <w:rFonts w:ascii="Times New Roman" w:hAnsi="Times New Roman" w:cs="Times New Roman"/>
                <w:szCs w:val="24"/>
              </w:rPr>
              <w:t xml:space="preserve">mernica ešte nenadobudla </w:t>
            </w:r>
            <w:r w:rsidR="00252F5B">
              <w:rPr>
                <w:rFonts w:ascii="Times New Roman" w:hAnsi="Times New Roman" w:cs="Times New Roman"/>
                <w:szCs w:val="24"/>
              </w:rPr>
              <w:t>platnosť</w:t>
            </w:r>
            <w:r w:rsidRPr="00D8617D">
              <w:rPr>
                <w:rFonts w:ascii="Times New Roman" w:hAnsi="Times New Roman" w:cs="Times New Roman"/>
                <w:szCs w:val="24"/>
              </w:rPr>
              <w:t>, predpokladaný termín vstupu do platnosti je II. polrok 2005.</w:t>
            </w:r>
          </w:p>
          <w:p w:rsidR="0028428A" w:rsidRPr="00D8617D">
            <w:pPr>
              <w:rPr>
                <w:rFonts w:ascii="Times New Roman" w:hAnsi="Times New Roman" w:cs="Times New Roman"/>
                <w:szCs w:val="24"/>
              </w:rPr>
            </w:pPr>
            <w:r>
              <w:rPr>
                <w:rFonts w:ascii="Times New Roman" w:hAnsi="Times New Roman" w:cs="Times New Roman"/>
                <w:szCs w:val="24"/>
              </w:rPr>
              <w:t>Predmetne ustanovenia sa úplne zapracujú do slovenských predpisov do termínu vstupu smernice do platnosti.</w:t>
            </w: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r w:rsidRPr="00D8617D">
              <w:rPr>
                <w:rFonts w:ascii="Times New Roman" w:hAnsi="Times New Roman" w:cs="Times New Roman"/>
                <w:szCs w:val="24"/>
              </w:rPr>
              <w:t>Čl.4</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Vymedzenie vyplácajúceho zástupcu</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Na účely tejto smernice „vyplácajúci zástupca“ označuje akýkoľvek hospodársky subjekt, ktorý vypláca alebo zabezpečuje úrok v okamžitý prospech vlastníka požitkov, bez ohľadu na to, či je subjekt dlžníkom pohľadávky, ktorá poskytuje úrok, alebo subjektom povereným dlžníkom alebo vlastníkom požitkov vyplácaním úroku alebo zabezpečením vyplácania úroku.</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2. </w:t>
              <w:tab/>
              <w:t>Akýkoľvek subjekt usadený v členskom štáte, ktorému sa vypláca úrok alebo pre ktorého sa úrok zabezpečuje v prospech vlastníka požitkov, sa pri takejto výplate alebo zabezpečovaní takejto výplaty tiež považuje za vyplácajúceho zástupcu. Toto ustanovenie sa neuplatňuje, ak má hospodársky subjekt na základe úradného dokladu predloženého uvedeným subjektom dôvod veriť, že:</w:t>
            </w:r>
          </w:p>
          <w:p w:rsidR="00CE793F" w:rsidRPr="00D8617D" w:rsidP="00EB4E8F">
            <w:pPr>
              <w:ind w:left="-28"/>
              <w:jc w:val="both"/>
              <w:rPr>
                <w:rFonts w:ascii="Times New Roman" w:hAnsi="Times New Roman" w:cs="Times New Roman"/>
              </w:rPr>
            </w:pPr>
            <w:r w:rsidRPr="00D8617D">
              <w:rPr>
                <w:rFonts w:ascii="Times New Roman" w:hAnsi="Times New Roman" w:cs="Times New Roman"/>
              </w:rPr>
              <w:t xml:space="preserve">(a) </w:t>
              <w:tab/>
              <w:t>je to právnická osoba, s výnimkou právni</w:t>
            </w:r>
            <w:r w:rsidRPr="00D8617D">
              <w:rPr>
                <w:rFonts w:ascii="Times New Roman" w:hAnsi="Times New Roman" w:cs="Times New Roman"/>
              </w:rPr>
              <w:t>ckých osôb uvedených v odseku 5; alebo</w:t>
            </w:r>
          </w:p>
          <w:p w:rsidR="00CE793F" w:rsidRPr="00D8617D" w:rsidP="00EB4E8F">
            <w:pPr>
              <w:ind w:left="-28"/>
              <w:jc w:val="both"/>
              <w:rPr>
                <w:rFonts w:ascii="Times New Roman" w:hAnsi="Times New Roman" w:cs="Times New Roman"/>
              </w:rPr>
            </w:pPr>
            <w:r w:rsidRPr="00D8617D">
              <w:rPr>
                <w:rFonts w:ascii="Times New Roman" w:hAnsi="Times New Roman" w:cs="Times New Roman"/>
              </w:rPr>
              <w:t xml:space="preserve">(b) </w:t>
              <w:tab/>
              <w:t>jej zisky sú zdaňované na základe všeobecných úprav pre zdaňovanie podnikania; alebo</w:t>
            </w:r>
          </w:p>
          <w:p w:rsidR="00CE793F" w:rsidRPr="00D8617D" w:rsidP="00EB4E8F">
            <w:pPr>
              <w:ind w:left="-28"/>
              <w:jc w:val="both"/>
              <w:rPr>
                <w:rFonts w:ascii="Times New Roman" w:hAnsi="Times New Roman" w:cs="Times New Roman"/>
              </w:rPr>
            </w:pPr>
            <w:r w:rsidRPr="00D8617D">
              <w:rPr>
                <w:rFonts w:ascii="Times New Roman" w:hAnsi="Times New Roman" w:cs="Times New Roman"/>
              </w:rPr>
              <w:t>(c)</w:t>
              <w:tab/>
              <w:t>je to UCITS uznávaná v súlade so smernicou 85/611/EHS.</w:t>
            </w:r>
          </w:p>
          <w:p w:rsidR="008C264F" w:rsidRPr="00D8617D" w:rsidP="00EB4E8F">
            <w:pPr>
              <w:ind w:left="-28"/>
              <w:jc w:val="both"/>
              <w:rPr>
                <w:rFonts w:ascii="Times New Roman" w:hAnsi="Times New Roman" w:cs="Times New Roman"/>
              </w:rPr>
            </w:pPr>
          </w:p>
          <w:p w:rsidR="00CE793F" w:rsidRPr="00D8617D" w:rsidP="00CE793F">
            <w:pPr>
              <w:jc w:val="both"/>
              <w:rPr>
                <w:rFonts w:ascii="Times New Roman" w:hAnsi="Times New Roman" w:cs="Times New Roman"/>
              </w:rPr>
            </w:pPr>
            <w:r w:rsidRPr="00D8617D">
              <w:rPr>
                <w:rFonts w:ascii="Times New Roman" w:hAnsi="Times New Roman" w:cs="Times New Roman"/>
              </w:rPr>
              <w:t>Hospodársky subjekt, vyplácajúci úrok alebo zabezpečujúci úrok takémuto subjektu usadenému v inom členskom štáte, ktorý sa na základe tohoto odseku považuje za vyplácajúceho zástupcu, oznámi meno a adresu subjektu a celkovú čiastku úroku zaplateného alebo zabezpečeného tomuto subjektu príslušnému orgánu členského štátu, v ktorom je usadený, ktorý tieto informácie posunie príslušnému orgánu členského štátu, v ktorom je daný subjekt usadený.</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3. </w:t>
              <w:tab/>
              <w:t>Subjekt uvedený v odseku 2 má napriek tomu možnosť, aby sa k nemu pristupovalo na účely tejto smernice ako k UCITS, ako je to uvedené v odseku 2 písm. c. Vykonávanie tejto možnosti si vyžaduje vydanie osvedčenia členským štátom, v ktorom je subjekt usadený, a jeho predloženie uvedeným subjektom hospodárskemu subjektu.</w:t>
            </w:r>
          </w:p>
          <w:p w:rsidR="00CE793F" w:rsidRPr="00D8617D" w:rsidP="00CE793F">
            <w:pPr>
              <w:jc w:val="both"/>
              <w:rPr>
                <w:rFonts w:ascii="Times New Roman" w:hAnsi="Times New Roman" w:cs="Times New Roman"/>
              </w:rPr>
            </w:pPr>
            <w:r w:rsidRPr="00D8617D">
              <w:rPr>
                <w:rFonts w:ascii="Times New Roman" w:hAnsi="Times New Roman" w:cs="Times New Roman"/>
              </w:rPr>
              <w:t>Členské štáty stanovia podrobné pravidlá pre túto možnosť v prípade subjektov usadených na ich území.</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4. </w:t>
              <w:tab/>
              <w:t>Pokiaľ hospodársky subjekt a subjekt uvedený v odseku 2 sú usadení v tom istom členskom štáte, uvedený členský štát prijme všetky potrebné opatrenia na zabezpečenie toho, aby daný subjekt konajúci ako vyplácajúci zástupca dodržiaval ustanovenia tejto smernice.</w:t>
            </w:r>
          </w:p>
          <w:p w:rsidR="00632323" w:rsidRPr="00D8617D" w:rsidP="00CE793F">
            <w:pPr>
              <w:jc w:val="both"/>
              <w:rPr>
                <w:rFonts w:ascii="Times New Roman" w:hAnsi="Times New Roman" w:cs="Times New Roman"/>
              </w:rPr>
            </w:pPr>
          </w:p>
          <w:p w:rsidR="00632323" w:rsidRPr="00D8617D" w:rsidP="00CE793F">
            <w:pPr>
              <w:jc w:val="both"/>
              <w:rPr>
                <w:rFonts w:ascii="Times New Roman" w:hAnsi="Times New Roman" w:cs="Times New Roman"/>
              </w:rPr>
            </w:pPr>
          </w:p>
          <w:p w:rsidR="00632323" w:rsidRPr="00D8617D" w:rsidP="00CE793F">
            <w:pPr>
              <w:jc w:val="both"/>
              <w:rPr>
                <w:rFonts w:ascii="Times New Roman" w:hAnsi="Times New Roman" w:cs="Times New Roman"/>
              </w:rPr>
            </w:pPr>
          </w:p>
          <w:p w:rsidR="00632323" w:rsidRPr="00D8617D" w:rsidP="00CE793F">
            <w:pPr>
              <w:jc w:val="both"/>
              <w:rPr>
                <w:rFonts w:ascii="Times New Roman" w:hAnsi="Times New Roman" w:cs="Times New Roman"/>
              </w:rPr>
            </w:pPr>
          </w:p>
          <w:p w:rsidR="00632323" w:rsidRPr="00D8617D" w:rsidP="00CE793F">
            <w:pPr>
              <w:jc w:val="both"/>
              <w:rPr>
                <w:rFonts w:ascii="Times New Roman" w:hAnsi="Times New Roman" w:cs="Times New Roman"/>
              </w:rPr>
            </w:pPr>
          </w:p>
          <w:p w:rsidR="00632323" w:rsidRPr="00D8617D" w:rsidP="00CE793F">
            <w:pPr>
              <w:jc w:val="both"/>
              <w:rPr>
                <w:rFonts w:ascii="Times New Roman" w:hAnsi="Times New Roman" w:cs="Times New Roman"/>
              </w:rPr>
            </w:pPr>
          </w:p>
          <w:p w:rsidR="00632323" w:rsidRPr="00D8617D" w:rsidP="00CE793F">
            <w:pPr>
              <w:jc w:val="both"/>
              <w:rPr>
                <w:rFonts w:ascii="Times New Roman" w:hAnsi="Times New Roman" w:cs="Times New Roman"/>
              </w:rPr>
            </w:pPr>
          </w:p>
          <w:p w:rsidR="00092580" w:rsidRPr="00D8617D" w:rsidP="00CE793F">
            <w:pPr>
              <w:jc w:val="both"/>
              <w:rPr>
                <w:rFonts w:ascii="Times New Roman" w:hAnsi="Times New Roman" w:cs="Times New Roman"/>
              </w:rPr>
            </w:pPr>
          </w:p>
          <w:p w:rsidR="00C41E17" w:rsidRPr="00D8617D" w:rsidP="00CE793F">
            <w:pPr>
              <w:jc w:val="both"/>
              <w:rPr>
                <w:rFonts w:ascii="Times New Roman" w:hAnsi="Times New Roman" w:cs="Times New Roman"/>
              </w:rPr>
            </w:pPr>
          </w:p>
          <w:p w:rsidR="00CE793F" w:rsidRPr="00D8617D" w:rsidP="00CE793F">
            <w:pPr>
              <w:jc w:val="both"/>
              <w:rPr>
                <w:rFonts w:ascii="Times New Roman" w:hAnsi="Times New Roman" w:cs="Times New Roman"/>
              </w:rPr>
            </w:pPr>
            <w:r w:rsidRPr="00D8617D">
              <w:rPr>
                <w:rFonts w:ascii="Times New Roman" w:hAnsi="Times New Roman" w:cs="Times New Roman"/>
              </w:rPr>
              <w:t xml:space="preserve">5. </w:t>
              <w:tab/>
              <w:t>Právnické osoby vyňaté  z pôsobnosti odseku 2 písm. a) sú tieto:</w:t>
            </w:r>
          </w:p>
          <w:p w:rsidR="00CE793F" w:rsidRPr="00D8617D" w:rsidP="00CE793F">
            <w:pPr>
              <w:ind w:left="540" w:hanging="540"/>
              <w:jc w:val="both"/>
              <w:rPr>
                <w:rFonts w:ascii="Times New Roman" w:hAnsi="Times New Roman" w:cs="Times New Roman"/>
              </w:rPr>
            </w:pPr>
            <w:r w:rsidRPr="00D8617D">
              <w:rPr>
                <w:rFonts w:ascii="Times New Roman" w:hAnsi="Times New Roman" w:cs="Times New Roman"/>
              </w:rPr>
              <w:t xml:space="preserve">(a) </w:t>
              <w:tab/>
              <w:t>vo Fínsku: avoin yhtiö (Ay) a kommandiittiyhtiö (Ky)/öppet bolag a kommanditbolag;</w:t>
            </w:r>
          </w:p>
          <w:p w:rsidR="00317F51" w:rsidRPr="00D8617D" w:rsidP="00EB4E8F">
            <w:pPr>
              <w:ind w:left="540" w:hanging="540"/>
              <w:jc w:val="both"/>
              <w:rPr>
                <w:rFonts w:ascii="Times New Roman" w:hAnsi="Times New Roman" w:cs="Times New Roman"/>
              </w:rPr>
            </w:pPr>
            <w:r w:rsidRPr="00D8617D" w:rsidR="00CE793F">
              <w:rPr>
                <w:rFonts w:ascii="Times New Roman" w:hAnsi="Times New Roman" w:cs="Times New Roman"/>
              </w:rPr>
              <w:t xml:space="preserve">(b) </w:t>
              <w:tab/>
              <w:t>vo Švédsku: handelsbolag (HB) a kommandit</w:t>
            </w:r>
            <w:r w:rsidRPr="00D8617D" w:rsidR="00CE793F">
              <w:rPr>
                <w:rFonts w:ascii="Times New Roman" w:hAnsi="Times New Roman" w:cs="Times New Roman"/>
              </w:rPr>
              <w:t>bolag (KB).</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r w:rsidRPr="00D8617D" w:rsidR="00502775">
              <w:rPr>
                <w:rFonts w:ascii="Times New Roman" w:hAnsi="Times New Roman" w:cs="Times New Roman"/>
                <w:szCs w:val="24"/>
              </w:rPr>
              <w:t>N</w:t>
            </w: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092580" w:rsidRPr="00D8617D">
            <w:pPr>
              <w:rPr>
                <w:rFonts w:ascii="Times New Roman" w:hAnsi="Times New Roman" w:cs="Times New Roman"/>
                <w:szCs w:val="24"/>
              </w:rPr>
            </w:pPr>
          </w:p>
          <w:p w:rsidR="00092580" w:rsidRPr="00D8617D">
            <w:pPr>
              <w:rPr>
                <w:rFonts w:ascii="Times New Roman" w:hAnsi="Times New Roman" w:cs="Times New Roman"/>
                <w:szCs w:val="24"/>
              </w:rPr>
            </w:pPr>
          </w:p>
          <w:p w:rsidR="00092580" w:rsidRPr="00D8617D">
            <w:pPr>
              <w:rPr>
                <w:rFonts w:ascii="Times New Roman" w:hAnsi="Times New Roman" w:cs="Times New Roman"/>
                <w:szCs w:val="24"/>
              </w:rPr>
            </w:pPr>
          </w:p>
          <w:p w:rsidR="00632323" w:rsidRPr="00D8617D">
            <w:pPr>
              <w:rPr>
                <w:rFonts w:ascii="Times New Roman" w:hAnsi="Times New Roman" w:cs="Times New Roman"/>
                <w:szCs w:val="24"/>
              </w:rPr>
            </w:pPr>
            <w:r w:rsidRPr="00D8617D">
              <w:rPr>
                <w:rFonts w:ascii="Times New Roman" w:hAnsi="Times New Roman" w:cs="Times New Roman"/>
                <w:szCs w:val="24"/>
              </w:rPr>
              <w:t>n.a.</w:t>
            </w: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rsidP="00317F51">
            <w:pPr>
              <w:rPr>
                <w:rFonts w:ascii="Times New Roman" w:hAnsi="Times New Roman" w:cs="Times New Roman"/>
                <w:szCs w:val="24"/>
              </w:rPr>
            </w:pPr>
            <w:r w:rsidRPr="00D8617D" w:rsidR="0045126B">
              <w:rPr>
                <w:rFonts w:ascii="Times New Roman" w:hAnsi="Times New Roman" w:cs="Times New Roman"/>
                <w:szCs w:val="24"/>
              </w:rPr>
              <w:t>Zákon č. 595/ 2003 Z.z</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r w:rsidRPr="00D8617D" w:rsidR="00502775">
              <w:rPr>
                <w:rFonts w:ascii="Times New Roman" w:hAnsi="Times New Roman" w:cs="Times New Roman"/>
                <w:szCs w:val="24"/>
              </w:rPr>
              <w:t>§ 2 pís.d)</w:t>
            </w: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pPr>
              <w:rPr>
                <w:rFonts w:ascii="Times New Roman" w:hAnsi="Times New Roman" w:cs="Times New Roman"/>
                <w:szCs w:val="24"/>
              </w:rPr>
            </w:pPr>
          </w:p>
          <w:p w:rsidR="00EB29CD" w:rsidRPr="00D8617D">
            <w:pPr>
              <w:rPr>
                <w:rFonts w:ascii="Times New Roman" w:hAnsi="Times New Roman" w:cs="Times New Roman"/>
                <w:szCs w:val="24"/>
              </w:rPr>
            </w:pPr>
          </w:p>
          <w:p w:rsidR="00502775" w:rsidRPr="00D8617D">
            <w:pPr>
              <w:rPr>
                <w:rFonts w:ascii="Times New Roman" w:hAnsi="Times New Roman" w:cs="Times New Roman"/>
                <w:szCs w:val="24"/>
              </w:rPr>
            </w:pPr>
          </w:p>
          <w:p w:rsidR="00502775" w:rsidRPr="00D8617D">
            <w:pPr>
              <w:rPr>
                <w:rFonts w:ascii="Times New Roman" w:hAnsi="Times New Roman" w:cs="Times New Roman"/>
                <w:szCs w:val="24"/>
              </w:rPr>
            </w:pPr>
            <w:r w:rsidRPr="00D8617D">
              <w:rPr>
                <w:rFonts w:ascii="Times New Roman" w:hAnsi="Times New Roman" w:cs="Times New Roman"/>
                <w:szCs w:val="24"/>
              </w:rPr>
              <w:t>§ 16 ods.2</w:t>
            </w: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jc w:val="both"/>
              <w:rPr>
                <w:rFonts w:ascii="Times New Roman" w:hAnsi="Times New Roman" w:cs="Times New Roman"/>
                <w:szCs w:val="24"/>
              </w:rPr>
            </w:pPr>
            <w:r w:rsidRPr="00D8617D" w:rsidR="00502775">
              <w:rPr>
                <w:rFonts w:ascii="Times New Roman" w:hAnsi="Times New Roman" w:cs="Times New Roman"/>
                <w:szCs w:val="24"/>
              </w:rPr>
              <w:t>Na účely tohto zákona sa rozumie</w:t>
            </w:r>
          </w:p>
          <w:p w:rsidR="00502775" w:rsidRPr="00D8617D" w:rsidP="00502775">
            <w:pPr>
              <w:jc w:val="both"/>
              <w:rPr>
                <w:rFonts w:ascii="Times New Roman" w:hAnsi="Times New Roman" w:cs="Times New Roman"/>
                <w:szCs w:val="24"/>
              </w:rPr>
            </w:pPr>
            <w:r w:rsidRPr="00D8617D">
              <w:rPr>
                <w:rFonts w:ascii="Times New Roman" w:hAnsi="Times New Roman" w:cs="Times New Roman"/>
                <w:szCs w:val="24"/>
              </w:rPr>
              <w:t>daňovníkom s neobmedzenou daňovou povinnosťou</w:t>
            </w:r>
            <w:r w:rsidRPr="00D8617D" w:rsidR="0045126B">
              <w:rPr>
                <w:rFonts w:ascii="Times New Roman" w:hAnsi="Times New Roman" w:cs="Times New Roman"/>
                <w:szCs w:val="24"/>
              </w:rPr>
              <w:t xml:space="preserve"> </w:t>
            </w:r>
          </w:p>
          <w:p w:rsidR="00502775" w:rsidRPr="00D8617D" w:rsidP="00502775">
            <w:pPr>
              <w:jc w:val="both"/>
              <w:rPr>
                <w:rFonts w:ascii="Times New Roman" w:hAnsi="Times New Roman" w:cs="Times New Roman"/>
                <w:szCs w:val="24"/>
              </w:rPr>
            </w:pPr>
            <w:r w:rsidRPr="00D8617D">
              <w:rPr>
                <w:rFonts w:ascii="Times New Roman" w:hAnsi="Times New Roman" w:cs="Times New Roman"/>
                <w:szCs w:val="24"/>
              </w:rPr>
              <w:t xml:space="preserve"> 1. fyzická  osoba,  ktorá  m</w:t>
            </w:r>
            <w:r w:rsidRPr="00D8617D">
              <w:rPr>
                <w:rFonts w:ascii="Times New Roman" w:hAnsi="Times New Roman" w:cs="Times New Roman"/>
                <w:szCs w:val="24"/>
              </w:rPr>
              <w:t>á  na  území  Slovenskej republiky</w:t>
            </w:r>
            <w:r w:rsidRPr="00D8617D" w:rsidR="0045126B">
              <w:rPr>
                <w:rFonts w:ascii="Times New Roman" w:hAnsi="Times New Roman" w:cs="Times New Roman"/>
                <w:szCs w:val="24"/>
              </w:rPr>
              <w:t xml:space="preserve"> </w:t>
            </w:r>
            <w:r w:rsidRPr="00D8617D">
              <w:rPr>
                <w:rFonts w:ascii="Times New Roman" w:hAnsi="Times New Roman" w:cs="Times New Roman"/>
                <w:szCs w:val="24"/>
              </w:rPr>
              <w:t>trvalý pobyt alebo sa tu obvykle zdržiava; fyzická osoba sa obvykle zdržiava na území Slovenskej republiky, ak na území</w:t>
            </w:r>
            <w:r w:rsidRPr="00D8617D" w:rsidR="0045126B">
              <w:rPr>
                <w:rFonts w:ascii="Times New Roman" w:hAnsi="Times New Roman" w:cs="Times New Roman"/>
                <w:szCs w:val="24"/>
              </w:rPr>
              <w:t xml:space="preserve"> </w:t>
            </w:r>
            <w:r w:rsidRPr="00D8617D">
              <w:rPr>
                <w:rFonts w:ascii="Times New Roman" w:hAnsi="Times New Roman" w:cs="Times New Roman"/>
                <w:szCs w:val="24"/>
              </w:rPr>
              <w:t>Slovenskej republiky nemá trvalý  pobyt, ale sa tu zdržiava</w:t>
            </w:r>
            <w:r w:rsidRPr="00D8617D" w:rsidR="0045126B">
              <w:rPr>
                <w:rFonts w:ascii="Times New Roman" w:hAnsi="Times New Roman" w:cs="Times New Roman"/>
                <w:szCs w:val="24"/>
              </w:rPr>
              <w:t xml:space="preserve"> </w:t>
            </w:r>
            <w:r w:rsidRPr="00D8617D">
              <w:rPr>
                <w:rFonts w:ascii="Times New Roman" w:hAnsi="Times New Roman" w:cs="Times New Roman"/>
                <w:szCs w:val="24"/>
              </w:rPr>
              <w:t>aspoň 183  dní v príslušnom kalendárnom  roku, a to súvisle</w:t>
            </w:r>
          </w:p>
          <w:p w:rsidR="0045126B" w:rsidRPr="00D8617D" w:rsidP="00502775">
            <w:pPr>
              <w:jc w:val="both"/>
              <w:rPr>
                <w:rFonts w:ascii="Times New Roman" w:hAnsi="Times New Roman" w:cs="Times New Roman"/>
                <w:szCs w:val="24"/>
              </w:rPr>
            </w:pPr>
            <w:r w:rsidRPr="00D8617D" w:rsidR="00502775">
              <w:rPr>
                <w:rFonts w:ascii="Times New Roman" w:hAnsi="Times New Roman" w:cs="Times New Roman"/>
                <w:szCs w:val="24"/>
              </w:rPr>
              <w:t>alebo   v  niekoľkých   obdobiach;  do   tohto  obdobia  sa</w:t>
            </w:r>
            <w:r w:rsidRPr="00D8617D">
              <w:rPr>
                <w:rFonts w:ascii="Times New Roman" w:hAnsi="Times New Roman" w:cs="Times New Roman"/>
                <w:szCs w:val="24"/>
              </w:rPr>
              <w:t xml:space="preserve"> </w:t>
            </w:r>
            <w:r w:rsidRPr="00D8617D" w:rsidR="00502775">
              <w:rPr>
                <w:rFonts w:ascii="Times New Roman" w:hAnsi="Times New Roman" w:cs="Times New Roman"/>
                <w:szCs w:val="24"/>
              </w:rPr>
              <w:t>započítava každý, aj začatý deň pobytu,</w:t>
            </w:r>
          </w:p>
          <w:p w:rsidR="00502775" w:rsidRPr="00D8617D" w:rsidP="00502775">
            <w:pPr>
              <w:jc w:val="both"/>
              <w:rPr>
                <w:rFonts w:ascii="Times New Roman" w:hAnsi="Times New Roman" w:cs="Times New Roman"/>
                <w:szCs w:val="24"/>
              </w:rPr>
            </w:pPr>
            <w:r w:rsidRPr="00D8617D">
              <w:rPr>
                <w:rFonts w:ascii="Times New Roman" w:hAnsi="Times New Roman" w:cs="Times New Roman"/>
                <w:szCs w:val="24"/>
              </w:rPr>
              <w:t>2. právnická  osoba, ktorá  má na  území Slovenskej  republiky</w:t>
            </w:r>
            <w:r w:rsidRPr="00D8617D" w:rsidR="0045126B">
              <w:rPr>
                <w:rFonts w:ascii="Times New Roman" w:hAnsi="Times New Roman" w:cs="Times New Roman"/>
                <w:szCs w:val="24"/>
              </w:rPr>
              <w:t xml:space="preserve"> </w:t>
            </w:r>
            <w:r w:rsidRPr="00D8617D">
              <w:rPr>
                <w:rFonts w:ascii="Times New Roman" w:hAnsi="Times New Roman" w:cs="Times New Roman"/>
                <w:szCs w:val="24"/>
              </w:rPr>
              <w:t>sídlo alebo  miesto skutočného vedenia;  miestom skutočného</w:t>
            </w:r>
            <w:r w:rsidRPr="00D8617D" w:rsidR="0045126B">
              <w:rPr>
                <w:rFonts w:ascii="Times New Roman" w:hAnsi="Times New Roman" w:cs="Times New Roman"/>
                <w:szCs w:val="24"/>
              </w:rPr>
              <w:t xml:space="preserve"> vedenia</w:t>
            </w:r>
            <w:r w:rsidRPr="00D8617D">
              <w:rPr>
                <w:rFonts w:ascii="Times New Roman" w:hAnsi="Times New Roman" w:cs="Times New Roman"/>
                <w:szCs w:val="24"/>
              </w:rPr>
              <w:t xml:space="preserve"> je mie</w:t>
            </w:r>
            <w:r w:rsidRPr="00D8617D">
              <w:rPr>
                <w:rFonts w:ascii="Times New Roman" w:hAnsi="Times New Roman" w:cs="Times New Roman"/>
                <w:szCs w:val="24"/>
              </w:rPr>
              <w:t>s</w:t>
            </w:r>
            <w:r w:rsidRPr="00D8617D" w:rsidR="0045126B">
              <w:rPr>
                <w:rFonts w:ascii="Times New Roman" w:hAnsi="Times New Roman" w:cs="Times New Roman"/>
                <w:szCs w:val="24"/>
              </w:rPr>
              <w:t>to,  kde sa  prijímajú riadiace</w:t>
            </w:r>
            <w:r w:rsidRPr="00D8617D">
              <w:rPr>
                <w:rFonts w:ascii="Times New Roman" w:hAnsi="Times New Roman" w:cs="Times New Roman"/>
                <w:szCs w:val="24"/>
              </w:rPr>
              <w:t xml:space="preserve"> a</w:t>
            </w:r>
            <w:r w:rsidRPr="00D8617D" w:rsidR="0045126B">
              <w:rPr>
                <w:rFonts w:ascii="Times New Roman" w:hAnsi="Times New Roman" w:cs="Times New Roman"/>
                <w:szCs w:val="24"/>
              </w:rPr>
              <w:t> </w:t>
            </w:r>
            <w:r w:rsidRPr="00D8617D">
              <w:rPr>
                <w:rFonts w:ascii="Times New Roman" w:hAnsi="Times New Roman" w:cs="Times New Roman"/>
                <w:szCs w:val="24"/>
              </w:rPr>
              <w:t>obchodné</w:t>
            </w:r>
            <w:r w:rsidRPr="00D8617D" w:rsidR="0045126B">
              <w:rPr>
                <w:rFonts w:ascii="Times New Roman" w:hAnsi="Times New Roman" w:cs="Times New Roman"/>
                <w:szCs w:val="24"/>
              </w:rPr>
              <w:t xml:space="preserve"> rozhodnutia</w:t>
            </w:r>
            <w:r w:rsidRPr="00D8617D">
              <w:rPr>
                <w:rFonts w:ascii="Times New Roman" w:hAnsi="Times New Roman" w:cs="Times New Roman"/>
                <w:szCs w:val="24"/>
              </w:rPr>
              <w:t xml:space="preserve"> štatutárnych </w:t>
            </w:r>
            <w:r w:rsidRPr="00D8617D" w:rsidR="0045126B">
              <w:rPr>
                <w:rFonts w:ascii="Times New Roman" w:hAnsi="Times New Roman" w:cs="Times New Roman"/>
                <w:szCs w:val="24"/>
              </w:rPr>
              <w:t xml:space="preserve"> orgánov</w:t>
            </w:r>
            <w:r w:rsidRPr="00D8617D">
              <w:rPr>
                <w:rFonts w:ascii="Times New Roman" w:hAnsi="Times New Roman" w:cs="Times New Roman"/>
                <w:szCs w:val="24"/>
              </w:rPr>
              <w:t xml:space="preserve">  a  dozorných  orgánov právnickej osoby, aj ak adresa tohto miesta nie je zapísaná</w:t>
            </w:r>
            <w:r w:rsidRPr="00D8617D" w:rsidR="0045126B">
              <w:rPr>
                <w:rFonts w:ascii="Times New Roman" w:hAnsi="Times New Roman" w:cs="Times New Roman"/>
                <w:szCs w:val="24"/>
              </w:rPr>
              <w:t xml:space="preserve"> </w:t>
            </w:r>
            <w:r w:rsidRPr="00D8617D">
              <w:rPr>
                <w:rFonts w:ascii="Times New Roman" w:hAnsi="Times New Roman" w:cs="Times New Roman"/>
                <w:szCs w:val="24"/>
              </w:rPr>
              <w:t>v obchodnom registri,</w:t>
            </w:r>
          </w:p>
          <w:p w:rsidR="00077476" w:rsidRPr="00D8617D" w:rsidP="00502775">
            <w:pPr>
              <w:jc w:val="both"/>
              <w:rPr>
                <w:rFonts w:ascii="Times New Roman" w:hAnsi="Times New Roman" w:cs="Times New Roman"/>
                <w:szCs w:val="24"/>
              </w:rPr>
            </w:pPr>
          </w:p>
          <w:p w:rsidR="00502775" w:rsidRPr="00D8617D" w:rsidP="00502775">
            <w:pPr>
              <w:jc w:val="both"/>
              <w:rPr>
                <w:rFonts w:ascii="Times New Roman" w:hAnsi="Times New Roman" w:cs="Times New Roman"/>
                <w:szCs w:val="24"/>
              </w:rPr>
            </w:pPr>
            <w:r w:rsidRPr="00D8617D" w:rsidR="00077476">
              <w:rPr>
                <w:rFonts w:ascii="Times New Roman" w:hAnsi="Times New Roman" w:cs="Times New Roman"/>
                <w:szCs w:val="24"/>
              </w:rPr>
              <w:t>Stálou  prevádzkarňou  sa  na  účely  tohto zákona rozumie</w:t>
            </w:r>
            <w:r w:rsidR="00EB29CD">
              <w:rPr>
                <w:rFonts w:ascii="Times New Roman" w:hAnsi="Times New Roman" w:cs="Times New Roman"/>
                <w:szCs w:val="24"/>
              </w:rPr>
              <w:t xml:space="preserve"> </w:t>
            </w:r>
            <w:r w:rsidRPr="00D8617D" w:rsidR="00077476">
              <w:rPr>
                <w:rFonts w:ascii="Times New Roman" w:hAnsi="Times New Roman" w:cs="Times New Roman"/>
                <w:szCs w:val="24"/>
              </w:rPr>
              <w:t>trvalé miesto alebo  zariadenie  na   výkon  činností,  ktorého</w:t>
            </w:r>
            <w:r w:rsidR="00EB29CD">
              <w:rPr>
                <w:rFonts w:ascii="Times New Roman" w:hAnsi="Times New Roman" w:cs="Times New Roman"/>
                <w:szCs w:val="24"/>
              </w:rPr>
              <w:t xml:space="preserve"> </w:t>
            </w:r>
            <w:r w:rsidRPr="00D8617D" w:rsidR="00077476">
              <w:rPr>
                <w:rFonts w:ascii="Times New Roman" w:hAnsi="Times New Roman" w:cs="Times New Roman"/>
                <w:szCs w:val="24"/>
              </w:rPr>
              <w:t xml:space="preserve">prostredníctvom daňovníci s obmedzenou  daňovou povinnosťou vykonávajú úplne  alebo sčasti svoju činnosť na území  Slovenskej republiky, a to najmä miesto, z ktorého je činnosť daňovníka organizovaná,  pobočka, kancelária, </w:t>
            </w:r>
            <w:r w:rsidR="00EB29CD">
              <w:rPr>
                <w:rFonts w:ascii="Times New Roman" w:hAnsi="Times New Roman" w:cs="Times New Roman"/>
                <w:szCs w:val="24"/>
              </w:rPr>
              <w:t xml:space="preserve">dielňa, </w:t>
            </w:r>
            <w:r w:rsidRPr="00D8617D" w:rsidR="00077476">
              <w:rPr>
                <w:rFonts w:ascii="Times New Roman" w:hAnsi="Times New Roman" w:cs="Times New Roman"/>
                <w:szCs w:val="24"/>
              </w:rPr>
              <w:t>pracovisko,</w:t>
            </w:r>
            <w:r w:rsidR="00EB29CD">
              <w:rPr>
                <w:rFonts w:ascii="Times New Roman" w:hAnsi="Times New Roman" w:cs="Times New Roman"/>
                <w:szCs w:val="24"/>
              </w:rPr>
              <w:t xml:space="preserve"> </w:t>
            </w:r>
            <w:r w:rsidRPr="00D8617D" w:rsidR="00077476">
              <w:rPr>
                <w:rFonts w:ascii="Times New Roman" w:hAnsi="Times New Roman" w:cs="Times New Roman"/>
                <w:szCs w:val="24"/>
              </w:rPr>
              <w:t>miesto predaja, technické zariadenie alebo miesto prieskumu a</w:t>
            </w:r>
            <w:r w:rsidR="00EB29CD">
              <w:rPr>
                <w:rFonts w:ascii="Times New Roman" w:hAnsi="Times New Roman" w:cs="Times New Roman"/>
                <w:szCs w:val="24"/>
              </w:rPr>
              <w:t xml:space="preserve"> </w:t>
            </w:r>
            <w:r w:rsidRPr="00D8617D" w:rsidR="00077476">
              <w:rPr>
                <w:rFonts w:ascii="Times New Roman" w:hAnsi="Times New Roman" w:cs="Times New Roman"/>
                <w:szCs w:val="24"/>
              </w:rPr>
              <w:t>ťažby prírodných zdrojov. Miesto alebo zariadenie na výkon činností je považované za trvalé, ak sa na výkon činnosti využíva sústavne alebo opakovane.</w:t>
            </w:r>
            <w:r w:rsidRPr="00D8617D" w:rsidR="00C41E17">
              <w:rPr>
                <w:rFonts w:ascii="Times New Roman" w:hAnsi="Times New Roman" w:cs="Times New Roman"/>
                <w:szCs w:val="24"/>
              </w:rPr>
              <w:t xml:space="preserve"> </w:t>
            </w:r>
            <w:r w:rsidRPr="00D8617D" w:rsidR="00077476">
              <w:rPr>
                <w:rFonts w:ascii="Times New Roman" w:hAnsi="Times New Roman" w:cs="Times New Roman"/>
                <w:szCs w:val="24"/>
              </w:rPr>
              <w:t xml:space="preserve">Ak ide o jednorazovo  vykonávanú činnosť, miesto alebo zariadenie, v ktorom je činnosť  vykonávaná, sa považuje za </w:t>
            </w:r>
            <w:r w:rsidRPr="00D8617D" w:rsidR="00C41E17">
              <w:rPr>
                <w:rFonts w:ascii="Times New Roman" w:hAnsi="Times New Roman" w:cs="Times New Roman"/>
                <w:szCs w:val="24"/>
              </w:rPr>
              <w:t>trvalé, ak doba</w:t>
            </w:r>
            <w:r w:rsidRPr="00D8617D" w:rsidR="00077476">
              <w:rPr>
                <w:rFonts w:ascii="Times New Roman" w:hAnsi="Times New Roman" w:cs="Times New Roman"/>
                <w:szCs w:val="24"/>
              </w:rPr>
              <w:t xml:space="preserve"> výkonu činnosti presiahne šesť mesiacov, a</w:t>
            </w:r>
            <w:r w:rsidRPr="00D8617D" w:rsidR="00C41E17">
              <w:rPr>
                <w:rFonts w:ascii="Times New Roman" w:hAnsi="Times New Roman" w:cs="Times New Roman"/>
                <w:szCs w:val="24"/>
              </w:rPr>
              <w:t> </w:t>
            </w:r>
            <w:r w:rsidRPr="00D8617D" w:rsidR="00077476">
              <w:rPr>
                <w:rFonts w:ascii="Times New Roman" w:hAnsi="Times New Roman" w:cs="Times New Roman"/>
                <w:szCs w:val="24"/>
              </w:rPr>
              <w:t>to</w:t>
            </w:r>
            <w:r w:rsidRPr="00D8617D" w:rsidR="00C41E17">
              <w:rPr>
                <w:rFonts w:ascii="Times New Roman" w:hAnsi="Times New Roman" w:cs="Times New Roman"/>
                <w:szCs w:val="24"/>
              </w:rPr>
              <w:t xml:space="preserve"> </w:t>
            </w:r>
            <w:r w:rsidRPr="00D8617D" w:rsidR="00077476">
              <w:rPr>
                <w:rFonts w:ascii="Times New Roman" w:hAnsi="Times New Roman" w:cs="Times New Roman"/>
                <w:szCs w:val="24"/>
              </w:rPr>
              <w:t>súvisle alebo v niekoľ</w:t>
            </w:r>
            <w:r w:rsidRPr="00D8617D" w:rsidR="00C41E17">
              <w:rPr>
                <w:rFonts w:ascii="Times New Roman" w:hAnsi="Times New Roman" w:cs="Times New Roman"/>
                <w:szCs w:val="24"/>
              </w:rPr>
              <w:t>kých obdobiach   v akomkoľvek</w:t>
            </w:r>
            <w:r w:rsidRPr="00D8617D" w:rsidR="00077476">
              <w:rPr>
                <w:rFonts w:ascii="Times New Roman" w:hAnsi="Times New Roman" w:cs="Times New Roman"/>
                <w:szCs w:val="24"/>
              </w:rPr>
              <w:t xml:space="preserve"> období </w:t>
            </w:r>
            <w:r w:rsidRPr="00D8617D" w:rsidR="00C41E17">
              <w:rPr>
                <w:rFonts w:ascii="Times New Roman" w:hAnsi="Times New Roman" w:cs="Times New Roman"/>
                <w:szCs w:val="24"/>
              </w:rPr>
              <w:t>dvanástich po</w:t>
            </w:r>
            <w:r w:rsidRPr="00D8617D" w:rsidR="00077476">
              <w:rPr>
                <w:rFonts w:ascii="Times New Roman" w:hAnsi="Times New Roman" w:cs="Times New Roman"/>
                <w:szCs w:val="24"/>
              </w:rPr>
              <w:t xml:space="preserve"> sebe  nasle</w:t>
            </w:r>
            <w:r w:rsidRPr="00D8617D" w:rsidR="00077476">
              <w:rPr>
                <w:rFonts w:ascii="Times New Roman" w:hAnsi="Times New Roman" w:cs="Times New Roman"/>
                <w:szCs w:val="24"/>
              </w:rPr>
              <w:t>dujúcich mesiacov. Stavenisko, miesto</w:t>
            </w:r>
            <w:r w:rsidR="00EB29CD">
              <w:rPr>
                <w:rFonts w:ascii="Times New Roman" w:hAnsi="Times New Roman" w:cs="Times New Roman"/>
                <w:szCs w:val="24"/>
              </w:rPr>
              <w:t xml:space="preserve"> </w:t>
            </w:r>
            <w:r w:rsidRPr="00D8617D" w:rsidR="00077476">
              <w:rPr>
                <w:rFonts w:ascii="Times New Roman" w:hAnsi="Times New Roman" w:cs="Times New Roman"/>
                <w:szCs w:val="24"/>
              </w:rPr>
              <w:t>vykonávania stavebných</w:t>
            </w:r>
            <w:r w:rsidRPr="00D8617D" w:rsidR="00C41E17">
              <w:rPr>
                <w:rFonts w:ascii="Times New Roman" w:hAnsi="Times New Roman" w:cs="Times New Roman"/>
                <w:szCs w:val="24"/>
              </w:rPr>
              <w:t xml:space="preserve"> projektov a  montážnych</w:t>
            </w:r>
            <w:r w:rsidRPr="00D8617D" w:rsidR="00077476">
              <w:rPr>
                <w:rFonts w:ascii="Times New Roman" w:hAnsi="Times New Roman" w:cs="Times New Roman"/>
                <w:szCs w:val="24"/>
              </w:rPr>
              <w:t xml:space="preserve">  projektov sa považuje za stálu  prevádzkareň, len ak</w:t>
            </w:r>
            <w:r w:rsidR="00EB29CD">
              <w:rPr>
                <w:rFonts w:ascii="Times New Roman" w:hAnsi="Times New Roman" w:cs="Times New Roman"/>
                <w:szCs w:val="24"/>
              </w:rPr>
              <w:t xml:space="preserve"> </w:t>
            </w:r>
            <w:r w:rsidRPr="00D8617D" w:rsidR="00077476">
              <w:rPr>
                <w:rFonts w:ascii="Times New Roman" w:hAnsi="Times New Roman" w:cs="Times New Roman"/>
                <w:szCs w:val="24"/>
              </w:rPr>
              <w:t>výkon činnosti na nich p</w:t>
            </w:r>
            <w:r w:rsidRPr="00D8617D" w:rsidR="00C41E17">
              <w:rPr>
                <w:rFonts w:ascii="Times New Roman" w:hAnsi="Times New Roman" w:cs="Times New Roman"/>
                <w:szCs w:val="24"/>
              </w:rPr>
              <w:t>resiahne šesť</w:t>
            </w:r>
            <w:r w:rsidRPr="00D8617D" w:rsidR="00077476">
              <w:rPr>
                <w:rFonts w:ascii="Times New Roman" w:hAnsi="Times New Roman" w:cs="Times New Roman"/>
                <w:szCs w:val="24"/>
              </w:rPr>
              <w:t xml:space="preserve"> me</w:t>
            </w:r>
            <w:r w:rsidRPr="00D8617D" w:rsidR="00C41E17">
              <w:rPr>
                <w:rFonts w:ascii="Times New Roman" w:hAnsi="Times New Roman" w:cs="Times New Roman"/>
                <w:szCs w:val="24"/>
              </w:rPr>
              <w:t>siacov. Stálou prevádzkarňou je</w:t>
            </w:r>
            <w:r w:rsidRPr="00D8617D" w:rsidR="00077476">
              <w:rPr>
                <w:rFonts w:ascii="Times New Roman" w:hAnsi="Times New Roman" w:cs="Times New Roman"/>
                <w:szCs w:val="24"/>
              </w:rPr>
              <w:t xml:space="preserve"> aj osoba, ktorá </w:t>
            </w:r>
            <w:r w:rsidRPr="00D8617D" w:rsidR="00C41E17">
              <w:rPr>
                <w:rFonts w:ascii="Times New Roman" w:hAnsi="Times New Roman" w:cs="Times New Roman"/>
                <w:szCs w:val="24"/>
              </w:rPr>
              <w:t>koná v mene daňovníka s</w:t>
            </w:r>
            <w:r w:rsidRPr="00D8617D" w:rsidR="00077476">
              <w:rPr>
                <w:rFonts w:ascii="Times New Roman" w:hAnsi="Times New Roman" w:cs="Times New Roman"/>
                <w:szCs w:val="24"/>
              </w:rPr>
              <w:t xml:space="preserve"> obmedzenou daňovou povinnosťou a</w:t>
            </w:r>
            <w:r w:rsidR="00EB29CD">
              <w:rPr>
                <w:rFonts w:ascii="Times New Roman" w:hAnsi="Times New Roman" w:cs="Times New Roman"/>
                <w:szCs w:val="24"/>
              </w:rPr>
              <w:t xml:space="preserve"> </w:t>
            </w:r>
            <w:r w:rsidRPr="00D8617D" w:rsidR="00077476">
              <w:rPr>
                <w:rFonts w:ascii="Times New Roman" w:hAnsi="Times New Roman" w:cs="Times New Roman"/>
                <w:szCs w:val="24"/>
              </w:rPr>
              <w:t xml:space="preserve">sústavne alebo opakovane  prerokováva alebo uzatvára v jeho mene zmluvy na </w:t>
            </w:r>
            <w:r w:rsidRPr="00D8617D" w:rsidR="00C41E17">
              <w:rPr>
                <w:rFonts w:ascii="Times New Roman" w:hAnsi="Times New Roman" w:cs="Times New Roman"/>
                <w:szCs w:val="24"/>
              </w:rPr>
              <w:t>základe</w:t>
            </w:r>
            <w:r w:rsidRPr="00D8617D" w:rsidR="00077476">
              <w:rPr>
                <w:rFonts w:ascii="Times New Roman" w:hAnsi="Times New Roman" w:cs="Times New Roman"/>
                <w:szCs w:val="24"/>
              </w:rPr>
              <w:t xml:space="preserve"> splnomocnenia.</w:t>
            </w:r>
            <w:r w:rsidRPr="00D8617D" w:rsidR="00C41E17">
              <w:rPr>
                <w:rFonts w:ascii="Times New Roman" w:hAnsi="Times New Roman" w:cs="Times New Roman"/>
                <w:szCs w:val="24"/>
              </w:rPr>
              <w:t xml:space="preserve"> Osoba  koná v mene daňovníka,</w:t>
            </w:r>
            <w:r w:rsidRPr="00D8617D" w:rsidR="00077476">
              <w:rPr>
                <w:rFonts w:ascii="Times New Roman" w:hAnsi="Times New Roman" w:cs="Times New Roman"/>
                <w:szCs w:val="24"/>
              </w:rPr>
              <w:t xml:space="preserve"> ak koná na </w:t>
            </w:r>
            <w:r w:rsidRPr="00D8617D" w:rsidR="00C41E17">
              <w:rPr>
                <w:rFonts w:ascii="Times New Roman" w:hAnsi="Times New Roman" w:cs="Times New Roman"/>
                <w:szCs w:val="24"/>
              </w:rPr>
              <w:t xml:space="preserve">základe  jeho pokynov, pričom daňovník výsledky  jej </w:t>
            </w:r>
            <w:r w:rsidRPr="00D8617D" w:rsidR="00077476">
              <w:rPr>
                <w:rFonts w:ascii="Times New Roman" w:hAnsi="Times New Roman" w:cs="Times New Roman"/>
                <w:szCs w:val="24"/>
              </w:rPr>
              <w:t>činnosti kontroluje a nesie za ne podnikateľské riziko.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r w:rsidRPr="00D8617D" w:rsidR="00433241">
              <w:rPr>
                <w:rFonts w:ascii="Times New Roman" w:hAnsi="Times New Roman" w:cs="Times New Roman"/>
                <w:szCs w:val="24"/>
              </w:rPr>
              <w:t xml:space="preserve"> </w:t>
            </w:r>
            <w:r w:rsidRPr="00D8617D" w:rsidR="008C264F">
              <w:rPr>
                <w:rFonts w:ascii="Times New Roman" w:hAnsi="Times New Roman" w:cs="Times New Roman"/>
                <w:szCs w:val="24"/>
              </w:rPr>
              <w:t>Č</w:t>
            </w: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8C264F"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p>
          <w:p w:rsidR="00092580" w:rsidRPr="00D8617D">
            <w:pPr>
              <w:rPr>
                <w:rFonts w:ascii="Times New Roman" w:hAnsi="Times New Roman" w:cs="Times New Roman"/>
                <w:szCs w:val="24"/>
              </w:rPr>
            </w:pPr>
          </w:p>
          <w:p w:rsidR="00092580" w:rsidRPr="00D8617D">
            <w:pPr>
              <w:rPr>
                <w:rFonts w:ascii="Times New Roman" w:hAnsi="Times New Roman" w:cs="Times New Roman"/>
                <w:szCs w:val="24"/>
              </w:rPr>
            </w:pPr>
          </w:p>
          <w:p w:rsidR="00092580" w:rsidRPr="00D8617D">
            <w:pPr>
              <w:rPr>
                <w:rFonts w:ascii="Times New Roman" w:hAnsi="Times New Roman" w:cs="Times New Roman"/>
                <w:szCs w:val="24"/>
              </w:rPr>
            </w:pPr>
          </w:p>
          <w:p w:rsidR="00632323" w:rsidRPr="00D8617D">
            <w:pPr>
              <w:rPr>
                <w:rFonts w:ascii="Times New Roman" w:hAnsi="Times New Roman" w:cs="Times New Roman"/>
                <w:szCs w:val="24"/>
              </w:rPr>
            </w:pPr>
          </w:p>
          <w:p w:rsidR="00632323" w:rsidRPr="00D8617D">
            <w:pPr>
              <w:rPr>
                <w:rFonts w:ascii="Times New Roman" w:hAnsi="Times New Roman" w:cs="Times New Roman"/>
                <w:szCs w:val="24"/>
              </w:rPr>
            </w:pPr>
            <w:r w:rsidRPr="00D8617D">
              <w:rPr>
                <w:rFonts w:ascii="Times New Roman" w:hAnsi="Times New Roman" w:cs="Times New Roman"/>
                <w:szCs w:val="24"/>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P="00433241">
            <w:pPr>
              <w:rPr>
                <w:rFonts w:ascii="Times New Roman" w:hAnsi="Times New Roman" w:cs="Times New Roman"/>
                <w:szCs w:val="24"/>
              </w:rPr>
            </w:pPr>
            <w:r w:rsidRPr="00D8617D" w:rsidR="00D8617D">
              <w:rPr>
                <w:rFonts w:ascii="Times New Roman" w:hAnsi="Times New Roman" w:cs="Times New Roman"/>
                <w:szCs w:val="24"/>
              </w:rPr>
              <w:t xml:space="preserve">Smernica ešte nenadobudla </w:t>
            </w:r>
            <w:r w:rsidR="00EB29CD">
              <w:rPr>
                <w:rFonts w:ascii="Times New Roman" w:hAnsi="Times New Roman" w:cs="Times New Roman"/>
                <w:szCs w:val="24"/>
              </w:rPr>
              <w:t>platnosť</w:t>
            </w:r>
            <w:r w:rsidRPr="00D8617D" w:rsidR="00D8617D">
              <w:rPr>
                <w:rFonts w:ascii="Times New Roman" w:hAnsi="Times New Roman" w:cs="Times New Roman"/>
                <w:szCs w:val="24"/>
              </w:rPr>
              <w:t>, predpokladaný termín vstupu do platnosti je II. polrok 2005.</w:t>
            </w:r>
          </w:p>
          <w:p w:rsidR="0028428A" w:rsidRPr="00D8617D" w:rsidP="00433241">
            <w:pPr>
              <w:rPr>
                <w:rFonts w:ascii="Times New Roman" w:hAnsi="Times New Roman" w:cs="Times New Roman"/>
                <w:szCs w:val="24"/>
              </w:rPr>
            </w:pPr>
            <w:r>
              <w:rPr>
                <w:rFonts w:ascii="Times New Roman" w:hAnsi="Times New Roman" w:cs="Times New Roman"/>
                <w:szCs w:val="24"/>
              </w:rPr>
              <w:t>Predmetne ustanovenia sa úplne zapracujú do slovenských predpisov do termínu</w:t>
            </w:r>
            <w:r>
              <w:rPr>
                <w:rFonts w:ascii="Times New Roman" w:hAnsi="Times New Roman" w:cs="Times New Roman"/>
                <w:szCs w:val="24"/>
              </w:rPr>
              <w:t xml:space="preserve"> vstupu smernice do platnosti.</w:t>
            </w: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r w:rsidRPr="00D8617D">
              <w:rPr>
                <w:rFonts w:ascii="Times New Roman" w:hAnsi="Times New Roman" w:cs="Times New Roman"/>
                <w:szCs w:val="24"/>
              </w:rPr>
              <w:t>Čl.5</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bCs/>
              </w:rPr>
              <w:t>Definícia príslušného</w:t>
            </w:r>
            <w:r w:rsidRPr="00D8617D">
              <w:rPr>
                <w:rFonts w:ascii="Times New Roman" w:hAnsi="Times New Roman" w:cs="Times New Roman"/>
                <w:b/>
              </w:rPr>
              <w:t xml:space="preserve"> orgánu</w:t>
            </w:r>
          </w:p>
          <w:p w:rsidR="00CE793F" w:rsidRPr="00D8617D" w:rsidP="00CE793F">
            <w:pPr>
              <w:jc w:val="both"/>
              <w:rPr>
                <w:rFonts w:ascii="Times New Roman" w:hAnsi="Times New Roman" w:cs="Times New Roman"/>
              </w:rPr>
            </w:pPr>
            <w:r w:rsidRPr="00D8617D">
              <w:rPr>
                <w:rFonts w:ascii="Times New Roman" w:hAnsi="Times New Roman" w:cs="Times New Roman"/>
              </w:rPr>
              <w:t>Na účely tejto smernice „príslušný orgán“ označuje:</w:t>
            </w:r>
          </w:p>
          <w:p w:rsidR="00CE793F" w:rsidRPr="00D8617D" w:rsidP="00CE793F">
            <w:pPr>
              <w:ind w:left="540" w:hanging="540"/>
              <w:jc w:val="both"/>
              <w:rPr>
                <w:rFonts w:ascii="Times New Roman" w:hAnsi="Times New Roman" w:cs="Times New Roman"/>
              </w:rPr>
            </w:pPr>
            <w:r w:rsidRPr="00D8617D">
              <w:rPr>
                <w:rFonts w:ascii="Times New Roman" w:hAnsi="Times New Roman" w:cs="Times New Roman"/>
              </w:rPr>
              <w:t xml:space="preserve">(a) </w:t>
              <w:tab/>
              <w:t>v prípade členských štátov akékoľvek orgány oznámené členskými štátmi Komisii;</w:t>
            </w:r>
          </w:p>
          <w:p w:rsidR="00317F51" w:rsidRPr="00D8617D" w:rsidP="00EB4E8F">
            <w:pPr>
              <w:ind w:left="540" w:hanging="540"/>
              <w:jc w:val="both"/>
              <w:rPr>
                <w:rFonts w:ascii="Times New Roman" w:hAnsi="Times New Roman" w:cs="Times New Roman"/>
              </w:rPr>
            </w:pPr>
            <w:r w:rsidRPr="00D8617D" w:rsidR="00CE793F">
              <w:rPr>
                <w:rFonts w:ascii="Times New Roman" w:hAnsi="Times New Roman" w:cs="Times New Roman"/>
              </w:rPr>
              <w:t xml:space="preserve">(b) </w:t>
              <w:tab/>
              <w:t>v prípade tretích krajín príslušný orgán na účely dvojstranných a mnohostranných daňových dohovorov, alebo, ak takýto nejestvuje, potom je to ten orgán, ktorý je príslušný vydávať osvedčenia o  bydlisku na daňové účely.</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r w:rsidRPr="00D8617D" w:rsidR="008C5C9C">
              <w:rPr>
                <w:rFonts w:ascii="Times New Roman" w:hAnsi="Times New Roman" w:cs="Times New Roman"/>
                <w:szCs w:val="24"/>
              </w:rPr>
              <w:t>n.a.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rsidP="00317F51">
            <w:pP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iCs/>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rsidP="00CF7BD1">
            <w:pPr>
              <w:jc w:val="both"/>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r w:rsidRPr="00D8617D" w:rsidR="008C5C9C">
              <w:rPr>
                <w:rFonts w:ascii="Times New Roman" w:hAnsi="Times New Roman" w:cs="Times New Roman"/>
                <w:szCs w:val="24"/>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rPr>
                <w:rFonts w:ascii="Times New Roman" w:hAnsi="Times New Roman" w:cs="Times New Roman"/>
                <w:szCs w:val="24"/>
              </w:rPr>
            </w:pPr>
            <w:r w:rsidRPr="00D8617D">
              <w:rPr>
                <w:rFonts w:ascii="Times New Roman" w:hAnsi="Times New Roman" w:cs="Times New Roman"/>
                <w:szCs w:val="24"/>
              </w:rPr>
              <w:t>Čl.6</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bCs/>
              </w:rPr>
              <w:t>Definícia výplaty</w:t>
            </w:r>
            <w:r w:rsidRPr="00D8617D">
              <w:rPr>
                <w:rFonts w:ascii="Times New Roman" w:hAnsi="Times New Roman" w:cs="Times New Roman"/>
                <w:b/>
              </w:rPr>
              <w:t xml:space="preserve"> úroku</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Na účely tejto smernice „výplata úroku“ označuje:</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(a) </w:t>
              <w:tab/>
              <w:t>úrok vyplatený alebo pripísaný na účet, ktorý sa týka pohľadávok každého druhu, bez ohľadu na to, či sú zabezpečené hypotékou alebo nie a bez ohľadu na to, či sú v nich obsiahnuté práva na účasť na ziskoch dlžníka, a najmä, príjem z vládnych cenných papierov a príjem z dlhopisov alebo obligácií, vrátane prémií a ziskov spojených s takýmito cennými papiermi; penále za oneskorené výplaty sa nepovažujú za výplaty úroku;</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(b) </w:t>
              <w:tab/>
              <w:t>úrok, ktorý sa nahromadil alebo sa kapitalizoval pri odpredaji, náhrade alebo amortizácii pohľadávok uvedených v písm. a);</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(c) </w:t>
              <w:tab/>
              <w:t>príjem pochádzajúci z výplat úroku buď priamo alebo prostredníctvom subjektu uvedeného v článku 4 ods. 2 , ktoré sú rozdeľované:</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(i) </w:t>
              <w:tab/>
              <w:t>UCITS schválenou v súlade so smernicou 85/611/EHS,</w:t>
            </w:r>
          </w:p>
          <w:p w:rsidR="00EB4E8F" w:rsidRPr="00D8617D" w:rsidP="00EB4E8F">
            <w:pPr>
              <w:jc w:val="both"/>
              <w:rPr>
                <w:rFonts w:ascii="Times New Roman" w:hAnsi="Times New Roman" w:cs="Times New Roman"/>
              </w:rPr>
            </w:pPr>
            <w:r w:rsidRPr="00D8617D" w:rsidR="00CE793F">
              <w:rPr>
                <w:rFonts w:ascii="Times New Roman" w:hAnsi="Times New Roman" w:cs="Times New Roman"/>
              </w:rPr>
              <w:t xml:space="preserve">(ii) </w:t>
              <w:tab/>
              <w:t>subjektmi, ktoré majú nárok na základe článku 4 ods. 3,</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(iii) </w:t>
              <w:tab/>
              <w:t>podnikmi pre kolektívne investovanie zriadenými mimo územia uvedeného v článku 7;</w:t>
            </w:r>
          </w:p>
          <w:p w:rsidR="00CE793F" w:rsidRPr="00D8617D" w:rsidP="00EB29CD">
            <w:pPr>
              <w:jc w:val="both"/>
              <w:rPr>
                <w:rFonts w:ascii="Times New Roman" w:hAnsi="Times New Roman" w:cs="Times New Roman"/>
              </w:rPr>
            </w:pPr>
            <w:r w:rsidRPr="00D8617D">
              <w:rPr>
                <w:rFonts w:ascii="Times New Roman" w:hAnsi="Times New Roman" w:cs="Times New Roman"/>
              </w:rPr>
              <w:t xml:space="preserve">(d) </w:t>
              <w:tab/>
              <w:t>príjem realizovaný pri odpredaji, náhrade alebo amortizácii akcií alebo podielov v týchto podnikoch a subjektoch, ak priamo alebo nepriamo prostredníctvom iných podnikov na kolektívne investovanie alebo iných subjektov uvedených nižšie investujú viac ako 40 % svojich aktív do pohľadávok uvedených v písm. a):</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(i) </w:t>
              <w:tab/>
              <w:t>UCITS schválená v súlade so smernicou 85/611/EHS,</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(ii) </w:t>
              <w:tab/>
              <w:t>subjekty, ktoré majú nárok na základe článku 4 ods. 3,</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(iii) </w:t>
              <w:tab/>
              <w:t>podniky pre kolektívne investovanie zriadené mimo územia uvedeného v článku 7.</w:t>
            </w:r>
          </w:p>
          <w:p w:rsidR="00CE793F" w:rsidRPr="00D8617D" w:rsidP="00CE793F">
            <w:pPr>
              <w:jc w:val="both"/>
              <w:rPr>
                <w:rFonts w:ascii="Times New Roman" w:hAnsi="Times New Roman" w:cs="Times New Roman"/>
              </w:rPr>
            </w:pPr>
            <w:r w:rsidRPr="00D8617D">
              <w:rPr>
                <w:rFonts w:ascii="Times New Roman" w:hAnsi="Times New Roman" w:cs="Times New Roman"/>
              </w:rPr>
              <w:t>Členské štáty majú však právo zahrnúť príjem spomenutý v písm. d) do vymedzenia úroku iba v tom rozsahu, pokiaľ takýto príjem zodpovedá ziskom priamo alebo nepriamo pochádzajúcim z výplat úroku v zmysle písm. a) a b).</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2. </w:t>
              <w:tab/>
              <w:t>Pokiaľ ide o odsek 1 písm. c) a d), keď vyplácajúci zástupca nemá žiadne informácie ohľadom podielu príjmu, ktorý pochádza z výplat úroku, za výplatu úroku sa považuje celková čiastka príjmu.</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3. </w:t>
              <w:tab/>
              <w:t>Pokiaľ ide o odsek 1 písm. d), keď vyplácajúci zástupca nemá žiadne informácie ohľadom percentuálneho podielu aktív investovaných do pohľadávok, akcií alebo podielov vymedzených v uvedenom odseku, uvedený percentuálny podiel sa považuje za vyšší ako 40 %. Ak nemôže určiť čiastku príjmu realizovaného vlastníkom požitkov, za príjem sa považuje výnos z odpredaja, náhrady alebo amortizácie akcií alebo podielov.</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4. </w:t>
              <w:tab/>
              <w:t>Ak je úrok určený v odseku 1, vyplatený alebo pripísaný na účet subjektu uvedeného v článku 4 ods. 2, a takýto subjekt nemá nárok na základe článku 4 ods. 3, považuje sa za výplatu úroku  takýmto subjektom.</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5. </w:t>
              <w:tab/>
              <w:t>Pokiaľ ide o odsek 1 písm. b) a d), členské štáty majú právo požadovať vyplácajúcich zástupcov na svojom území, aby anualizovali úrok počas obdobia, ktoré nemôže presiahnuť obdobie jedného roka a pristupovali k takému anualizovanému úroku ako k výplate úroku dokonca aj vtedy, ak v tomto období nedošlo k odpredaju, amortizácii alebo náhrade.</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6. </w:t>
              <w:tab/>
              <w:t>Odlišne od postupu odsekov 1 písm. c) a d) majú členské štáty právo vylúčiť z definície výplaty úroku akýkoľvek príjem uvedený v tých ustanoveniach od podnikov alebo subjektov zriadených na ich území, pokiaľ investícia do pohľadávok takýchto subjektov uvedených v odseku 1 písm. a) nepresiahla 15 % ich aktív. Podobne, odlišne od postupu odseku 4, majú členské štáty právo vylúčiť z definície výplaty úroku v odseku 1 úrok vyplatený alebo pripísaný na účet subjektu uvedeného v článku 4 ods. 2, ktorý nemal nárok na základe článku 4 ods. 3 a je usadený na ich území, pokiaľ investícia takéhoto subjektu do pohľadávok uvedených v odseku 1 písm. a) nepresiahla 15 % jeho aktív.</w:t>
            </w:r>
            <w:r w:rsidR="00EB29CD">
              <w:rPr>
                <w:rFonts w:ascii="Times New Roman" w:hAnsi="Times New Roman" w:cs="Times New Roman"/>
              </w:rPr>
              <w:t xml:space="preserve"> </w:t>
            </w:r>
            <w:r w:rsidRPr="00D8617D">
              <w:rPr>
                <w:rFonts w:ascii="Times New Roman" w:hAnsi="Times New Roman" w:cs="Times New Roman"/>
              </w:rPr>
              <w:t>Vykonávanie takejto možnosti členským štátom je záväzné pre ostatné členské štáty.</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7. </w:t>
              <w:tab/>
              <w:t>Perce</w:t>
            </w:r>
            <w:r w:rsidRPr="00D8617D">
              <w:rPr>
                <w:rFonts w:ascii="Times New Roman" w:hAnsi="Times New Roman" w:cs="Times New Roman"/>
              </w:rPr>
              <w:t>ntuálny podiel uvedený v odseku 1 písm. d) a odseku 3 je od 1. januára 2011  25 %.</w:t>
            </w:r>
          </w:p>
          <w:p w:rsidR="00987825" w:rsidRPr="00D8617D" w:rsidP="00F12FF6">
            <w:pPr>
              <w:jc w:val="both"/>
              <w:rPr>
                <w:rFonts w:ascii="Times New Roman" w:hAnsi="Times New Roman" w:cs="Times New Roman"/>
              </w:rPr>
            </w:pPr>
            <w:r w:rsidRPr="00D8617D" w:rsidR="00CE793F">
              <w:rPr>
                <w:rFonts w:ascii="Times New Roman" w:hAnsi="Times New Roman" w:cs="Times New Roman"/>
              </w:rPr>
              <w:t xml:space="preserve">8. </w:t>
              <w:tab/>
              <w:t>Percentuálne podiely uvedené v odseku 1 písm. d) a v odseku 6 sa určujú v závislosti od investičnej politiky stanovenej v pravidlách fondu alebo v registračných dokumentoch podnikov alebo subjektov a, v prípade, že chýbajú, s ohľadom na aktuálne zloženie aktív príslušných podnikov alebo subjektov.</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rPr>
                <w:rFonts w:ascii="Times New Roman" w:hAnsi="Times New Roman" w:cs="Times New Roman"/>
                <w:szCs w:val="24"/>
              </w:rPr>
            </w:pPr>
            <w:r w:rsidRPr="00D8617D" w:rsidR="00632323">
              <w:rPr>
                <w:rFonts w:ascii="Times New Roman" w:hAnsi="Times New Roman" w:cs="Times New Roman"/>
                <w:szCs w:val="24"/>
              </w:rPr>
              <w:t>N</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92580" w:rsidRPr="00D8617D" w:rsidP="00065426">
            <w:pPr>
              <w:rPr>
                <w:rFonts w:ascii="Times New Roman" w:hAnsi="Times New Roman" w:cs="Times New Roman"/>
                <w:szCs w:val="24"/>
              </w:rPr>
            </w:pPr>
            <w:r w:rsidRPr="00D8617D">
              <w:rPr>
                <w:rFonts w:ascii="Times New Roman" w:hAnsi="Times New Roman" w:cs="Times New Roman"/>
                <w:szCs w:val="24"/>
              </w:rPr>
              <w:t xml:space="preserve">Zákon č 595/2003 Z.z. </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92580" w:rsidRPr="00D8617D">
            <w:pPr>
              <w:rPr>
                <w:rFonts w:ascii="Times New Roman" w:hAnsi="Times New Roman" w:cs="Times New Roman"/>
                <w:bCs/>
                <w:szCs w:val="24"/>
              </w:rPr>
            </w:pPr>
            <w:r w:rsidRPr="00D8617D">
              <w:rPr>
                <w:rFonts w:ascii="Times New Roman" w:hAnsi="Times New Roman" w:cs="Times New Roman"/>
                <w:bCs/>
                <w:szCs w:val="24"/>
              </w:rPr>
              <w:t>§ 16 ods. 1 písm. e) bod 3.</w:t>
            </w: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92580" w:rsidRPr="00D8617D" w:rsidP="00092580">
            <w:pPr>
              <w:tabs>
                <w:tab w:val="left" w:pos="360"/>
              </w:tabs>
              <w:jc w:val="both"/>
              <w:rPr>
                <w:rFonts w:ascii="Times New Roman" w:hAnsi="Times New Roman" w:cs="Times New Roman"/>
                <w:b w:val="0"/>
                <w:noProof/>
                <w:szCs w:val="24"/>
                <w:lang w:val="en-GB"/>
              </w:rPr>
            </w:pPr>
            <w:r w:rsidRPr="00D8617D">
              <w:rPr>
                <w:rFonts w:ascii="Times New Roman" w:hAnsi="Times New Roman" w:cs="Times New Roman"/>
                <w:b w:val="0"/>
                <w:noProof/>
                <w:szCs w:val="24"/>
                <w:lang w:val="en-GB"/>
              </w:rPr>
              <w:t>(1) Príjmom zo zdrojov na území Slovenskej republiky daňovníka s obmedzenou daňovou povinnosťou je príjem</w:t>
            </w:r>
          </w:p>
          <w:p w:rsidR="00092580" w:rsidRPr="00D8617D" w:rsidP="00092580">
            <w:pPr>
              <w:tabs>
                <w:tab w:val="left" w:pos="360"/>
              </w:tabs>
              <w:jc w:val="both"/>
              <w:rPr>
                <w:rFonts w:ascii="Times New Roman" w:hAnsi="Times New Roman" w:cs="Times New Roman"/>
                <w:b w:val="0"/>
                <w:noProof/>
                <w:szCs w:val="24"/>
                <w:lang w:val="en-GB"/>
              </w:rPr>
            </w:pPr>
            <w:r w:rsidRPr="00D8617D">
              <w:rPr>
                <w:rFonts w:ascii="Times New Roman" w:hAnsi="Times New Roman" w:cs="Times New Roman"/>
                <w:b w:val="0"/>
                <w:noProof/>
                <w:szCs w:val="24"/>
                <w:lang w:val="en-GB"/>
              </w:rPr>
              <w:t>e) z úhrad od daňovníkov s neobmedzenou daňovou povinnosťou a od stálych   prevádzkarní daňovníkov s obmedzenou   daňovou povinnosťou, ktorými sú</w:t>
            </w:r>
          </w:p>
          <w:p w:rsidR="00092580" w:rsidRPr="00D8617D" w:rsidP="00092580">
            <w:pPr>
              <w:tabs>
                <w:tab w:val="left" w:pos="360"/>
              </w:tabs>
              <w:jc w:val="both"/>
              <w:rPr>
                <w:rFonts w:ascii="Times New Roman" w:hAnsi="Times New Roman" w:cs="Times New Roman"/>
                <w:b w:val="0"/>
                <w:noProof/>
                <w:szCs w:val="24"/>
                <w:lang w:val="en-GB"/>
              </w:rPr>
            </w:pPr>
            <w:r w:rsidRPr="00D8617D">
              <w:rPr>
                <w:rFonts w:ascii="Times New Roman" w:hAnsi="Times New Roman" w:cs="Times New Roman"/>
                <w:b w:val="0"/>
                <w:noProof/>
                <w:szCs w:val="24"/>
                <w:lang w:val="en-GB"/>
              </w:rPr>
              <w:t xml:space="preserve">3. úroky a iné výnosy z poskytnutých  úverov a pôžičiek a z vkladov na  vkladných  knižkách, z vkladov peňažných prostriedkov na bežných účtoch a vkladových účtoch, z výnosov z podielových listov, z výnosov z dlhopisov, z výnosov z vkladových certifikátov, depozitných certifikátov,  pokladničných poukážok, vkladových listov a z iných cenných papierov im na roveň  postavených a z iných investičných   nástrojov podľa osobitného predpisu,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rPr>
                <w:rFonts w:ascii="Times New Roman" w:hAnsi="Times New Roman" w:cs="Times New Roman"/>
                <w:szCs w:val="24"/>
              </w:rPr>
            </w:pPr>
            <w:r w:rsidRPr="00D8617D" w:rsidR="00C41E17">
              <w:rPr>
                <w:rFonts w:ascii="Times New Roman" w:hAnsi="Times New Roman" w:cs="Times New Roman"/>
                <w:szCs w:val="24"/>
              </w:rPr>
              <w:t>Ú</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rsidP="00433241">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rPr>
                <w:rFonts w:ascii="Times New Roman" w:hAnsi="Times New Roman" w:cs="Times New Roman"/>
                <w:szCs w:val="24"/>
              </w:rPr>
            </w:pPr>
            <w:r w:rsidRPr="00D8617D">
              <w:rPr>
                <w:rFonts w:ascii="Times New Roman" w:hAnsi="Times New Roman" w:cs="Times New Roman"/>
                <w:szCs w:val="24"/>
              </w:rPr>
              <w:t>Čl.7</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Územná pôsobnosť</w:t>
            </w:r>
          </w:p>
          <w:p w:rsidR="00065426" w:rsidRPr="00D8617D" w:rsidP="00EB4E8F">
            <w:pPr>
              <w:jc w:val="both"/>
              <w:rPr>
                <w:rFonts w:ascii="Times New Roman" w:hAnsi="Times New Roman" w:cs="Times New Roman"/>
              </w:rPr>
            </w:pPr>
            <w:r w:rsidRPr="00D8617D" w:rsidR="00CE793F">
              <w:rPr>
                <w:rFonts w:ascii="Times New Roman" w:hAnsi="Times New Roman" w:cs="Times New Roman"/>
              </w:rPr>
              <w:t>Táto smernica sa uplatňuje na úrok vyplatený zo strany vyplácajúceho zástupcu usadeného na území, na ktoré sa uplatňuje zmluva, na základe jej článku 299.</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rPr>
                <w:rFonts w:ascii="Times New Roman" w:hAnsi="Times New Roman" w:cs="Times New Roman"/>
                <w:szCs w:val="24"/>
              </w:rPr>
            </w:pPr>
            <w:r w:rsidRPr="00D8617D" w:rsidR="00B63D8C">
              <w:rPr>
                <w:rFonts w:ascii="Times New Roman" w:hAnsi="Times New Roman" w:cs="Times New Roman"/>
                <w:szCs w:val="24"/>
              </w:rPr>
              <w:t>N</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rPr>
                <w:rFonts w:ascii="Times New Roman" w:hAnsi="Times New Roman" w:cs="Times New Roman"/>
                <w:bCs/>
                <w:szCs w:val="24"/>
              </w:rPr>
            </w:pPr>
            <w:r w:rsidRPr="00D8617D" w:rsidR="00B63D8C">
              <w:rPr>
                <w:rFonts w:ascii="Times New Roman" w:hAnsi="Times New Roman" w:cs="Times New Roman"/>
                <w:bCs/>
                <w:szCs w:val="24"/>
              </w:rPr>
              <w:t>Zákon č. 595/ 2003/Z.z.</w:t>
            </w:r>
          </w:p>
          <w:p w:rsidR="00B63D8C" w:rsidRPr="00D8617D">
            <w:pPr>
              <w:rPr>
                <w:rFonts w:ascii="Times New Roman" w:hAnsi="Times New Roman" w:cs="Times New Roman"/>
                <w:bCs/>
                <w:szCs w:val="24"/>
              </w:rPr>
            </w:pPr>
          </w:p>
          <w:p w:rsidR="00B63D8C" w:rsidRPr="00D8617D">
            <w:pPr>
              <w:rPr>
                <w:rFonts w:ascii="Times New Roman" w:hAnsi="Times New Roman" w:cs="Times New Roman"/>
                <w:bCs/>
                <w:szCs w:val="24"/>
              </w:rPr>
            </w:pPr>
          </w:p>
          <w:p w:rsidR="00B63D8C" w:rsidRPr="00D8617D">
            <w:pPr>
              <w:rPr>
                <w:rFonts w:ascii="Times New Roman" w:hAnsi="Times New Roman" w:cs="Times New Roman"/>
                <w:bCs/>
                <w:szCs w:val="24"/>
              </w:rPr>
            </w:pPr>
          </w:p>
          <w:p w:rsidR="00B63D8C" w:rsidRPr="00D8617D">
            <w:pPr>
              <w:rPr>
                <w:rFonts w:ascii="Times New Roman" w:hAnsi="Times New Roman" w:cs="Times New Roman"/>
                <w:bCs/>
                <w:szCs w:val="24"/>
              </w:rPr>
            </w:pPr>
          </w:p>
          <w:p w:rsidR="00B63D8C" w:rsidRPr="00D8617D">
            <w:pPr>
              <w:rPr>
                <w:rFonts w:ascii="Times New Roman" w:hAnsi="Times New Roman" w:cs="Times New Roman"/>
                <w:bCs/>
                <w:szCs w:val="24"/>
              </w:rPr>
            </w:pPr>
          </w:p>
          <w:p w:rsidR="00B63D8C" w:rsidRPr="00D8617D">
            <w:pPr>
              <w:rPr>
                <w:rFonts w:ascii="Times New Roman" w:hAnsi="Times New Roman" w:cs="Times New Roman"/>
                <w:bCs/>
                <w:szCs w:val="24"/>
              </w:rPr>
            </w:pPr>
          </w:p>
          <w:p w:rsidR="00B63D8C" w:rsidRPr="00D8617D">
            <w:pPr>
              <w:rPr>
                <w:rFonts w:ascii="Times New Roman" w:hAnsi="Times New Roman" w:cs="Times New Roman"/>
                <w:bCs/>
                <w:szCs w:val="24"/>
              </w:rPr>
            </w:pPr>
          </w:p>
          <w:p w:rsidR="00B63D8C" w:rsidRPr="00D8617D">
            <w:pPr>
              <w:rPr>
                <w:rFonts w:ascii="Times New Roman" w:hAnsi="Times New Roman" w:cs="Times New Roman"/>
                <w:bCs/>
                <w:szCs w:val="24"/>
              </w:rPr>
            </w:pPr>
          </w:p>
          <w:p w:rsidR="00B63D8C" w:rsidRPr="00D8617D">
            <w:pPr>
              <w:rPr>
                <w:rFonts w:ascii="Times New Roman" w:hAnsi="Times New Roman" w:cs="Times New Roman"/>
                <w:bCs/>
                <w:szCs w:val="24"/>
              </w:rPr>
            </w:pPr>
            <w:r w:rsidRPr="00D8617D" w:rsidR="00227A97">
              <w:rPr>
                <w:rFonts w:ascii="Times New Roman" w:hAnsi="Times New Roman" w:cs="Times New Roman"/>
                <w:bCs/>
                <w:szCs w:val="24"/>
              </w:rPr>
              <w:t>Zá</w:t>
            </w:r>
            <w:r w:rsidRPr="00D8617D">
              <w:rPr>
                <w:rFonts w:ascii="Times New Roman" w:hAnsi="Times New Roman" w:cs="Times New Roman"/>
                <w:bCs/>
                <w:szCs w:val="24"/>
              </w:rPr>
              <w:t>kon č. 595/ 2003 Z.z</w:t>
            </w:r>
          </w:p>
          <w:p w:rsidR="00B63D8C" w:rsidRPr="00D8617D">
            <w:pPr>
              <w:rPr>
                <w:rFonts w:ascii="Times New Roman" w:hAnsi="Times New Roman" w:cs="Times New Roman"/>
                <w:bCs/>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63D8C" w:rsidRPr="00D8617D" w:rsidP="00531F65">
            <w:pPr>
              <w:pStyle w:val="FootnoteText"/>
              <w:overflowPunct/>
              <w:adjustRightInd/>
              <w:ind w:right="-70"/>
              <w:textAlignment w:val="auto"/>
              <w:rPr>
                <w:rFonts w:ascii="Times New Roman" w:hAnsi="Times New Roman" w:cs="Times New Roman"/>
                <w:sz w:val="24"/>
                <w:szCs w:val="24"/>
                <w:lang w:val="sk-SK"/>
              </w:rPr>
            </w:pPr>
            <w:r w:rsidRPr="00D8617D">
              <w:rPr>
                <w:rFonts w:ascii="Times New Roman" w:hAnsi="Times New Roman" w:cs="Times New Roman"/>
                <w:sz w:val="24"/>
                <w:szCs w:val="24"/>
                <w:lang w:val="sk-SK"/>
              </w:rPr>
              <w:t xml:space="preserve">§ 9 ods.2 pís.r)  </w:t>
            </w: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r w:rsidRPr="00D8617D">
              <w:rPr>
                <w:rFonts w:ascii="Times New Roman" w:hAnsi="Times New Roman" w:cs="Times New Roman"/>
                <w:sz w:val="24"/>
                <w:szCs w:val="24"/>
                <w:lang w:val="sk-SK"/>
              </w:rPr>
              <w:t xml:space="preserve">§ 2 pís.d)  </w:t>
            </w: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B63D8C" w:rsidP="00531F65">
            <w:pPr>
              <w:pStyle w:val="FootnoteText"/>
              <w:overflowPunct/>
              <w:adjustRightInd/>
              <w:ind w:right="-70"/>
              <w:textAlignment w:val="auto"/>
              <w:rPr>
                <w:rFonts w:ascii="Times New Roman" w:hAnsi="Times New Roman" w:cs="Times New Roman"/>
                <w:sz w:val="24"/>
                <w:szCs w:val="24"/>
                <w:lang w:val="sk-SK"/>
              </w:rPr>
            </w:pPr>
          </w:p>
          <w:p w:rsidR="00B63D8C" w:rsidRPr="00D8617D" w:rsidP="00531F65">
            <w:pPr>
              <w:pStyle w:val="FootnoteText"/>
              <w:overflowPunct/>
              <w:adjustRightInd/>
              <w:ind w:right="-70"/>
              <w:textAlignment w:val="auto"/>
              <w:rPr>
                <w:rFonts w:ascii="Times New Roman" w:hAnsi="Times New Roman" w:cs="Times New Roman"/>
                <w:sz w:val="24"/>
                <w:szCs w:val="24"/>
                <w:lang w:val="sk-SK"/>
              </w:rPr>
            </w:pPr>
          </w:p>
          <w:p w:rsidR="00065426" w:rsidRPr="00D8617D" w:rsidP="00531F65">
            <w:pPr>
              <w:pStyle w:val="FootnoteText"/>
              <w:overflowPunct/>
              <w:adjustRightInd/>
              <w:ind w:right="-70"/>
              <w:textAlignment w:val="auto"/>
              <w:rPr>
                <w:rFonts w:ascii="Times New Roman" w:hAnsi="Times New Roman" w:cs="Times New Roman"/>
                <w:sz w:val="24"/>
                <w:szCs w:val="24"/>
                <w:lang w:val="sk-SK"/>
              </w:rPr>
            </w:pPr>
            <w:r w:rsidRPr="00D8617D" w:rsidR="00B63D8C">
              <w:rPr>
                <w:rFonts w:ascii="Times New Roman" w:hAnsi="Times New Roman" w:cs="Times New Roman"/>
                <w:sz w:val="24"/>
                <w:szCs w:val="24"/>
                <w:lang w:val="sk-SK"/>
              </w:rPr>
              <w:t>§ 16 ods.2</w:t>
            </w: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63D8C" w:rsidRPr="00D8617D" w:rsidP="00B63D8C">
            <w:pPr>
              <w:jc w:val="both"/>
              <w:rPr>
                <w:rFonts w:ascii="Times New Roman" w:hAnsi="Times New Roman" w:cs="Times New Roman"/>
              </w:rPr>
            </w:pPr>
            <w:r w:rsidRPr="00D8617D">
              <w:rPr>
                <w:rFonts w:ascii="Times New Roman" w:hAnsi="Times New Roman" w:cs="Times New Roman"/>
              </w:rPr>
              <w:t>Od dane sú oslobodené aj</w:t>
            </w:r>
          </w:p>
          <w:p w:rsidR="00640B74" w:rsidRPr="00D8617D" w:rsidP="00B63D8C">
            <w:pPr>
              <w:jc w:val="both"/>
              <w:rPr>
                <w:rFonts w:ascii="Times New Roman" w:hAnsi="Times New Roman" w:cs="Times New Roman"/>
              </w:rPr>
            </w:pPr>
            <w:r w:rsidRPr="00D8617D" w:rsidR="00775A4E">
              <w:rPr>
                <w:rFonts w:ascii="Times New Roman" w:hAnsi="Times New Roman" w:cs="Times New Roman"/>
              </w:rPr>
              <w:t>r) úroky a iné výnosy z vkladov, z úverov a pôžičiek, z výnosov podielových listov, dlhopisov, vkladových certifikátov, depozitných certifikátov, pokladničných poukážok, vkladových listov a iných cenných papierov a vkladov postavených im na roveň, plynúce zo zdroja na území Slovenskej republiky fyzickej osobe, ktorá je daňovníkom iného členského štátu Európskej únie a ktorá je konečným príjemcom takýchto príjmov</w:t>
            </w:r>
          </w:p>
          <w:p w:rsidR="00775A4E" w:rsidRPr="00D8617D" w:rsidP="00B63D8C">
            <w:pPr>
              <w:jc w:val="both"/>
              <w:rPr>
                <w:rFonts w:ascii="Times New Roman" w:hAnsi="Times New Roman" w:cs="Times New Roman"/>
              </w:rPr>
            </w:pPr>
          </w:p>
          <w:p w:rsidR="00B63D8C" w:rsidRPr="00D8617D" w:rsidP="00B63D8C">
            <w:pPr>
              <w:jc w:val="both"/>
              <w:rPr>
                <w:rFonts w:ascii="Times New Roman" w:hAnsi="Times New Roman" w:cs="Times New Roman"/>
                <w:szCs w:val="24"/>
              </w:rPr>
            </w:pPr>
            <w:r w:rsidRPr="00D8617D">
              <w:rPr>
                <w:rFonts w:ascii="Times New Roman" w:hAnsi="Times New Roman" w:cs="Times New Roman"/>
                <w:szCs w:val="24"/>
              </w:rPr>
              <w:t>Na účely tohto zákona sa rozumie</w:t>
            </w:r>
            <w:r w:rsidRPr="00D8617D" w:rsidR="00227A97">
              <w:rPr>
                <w:rFonts w:ascii="Times New Roman" w:hAnsi="Times New Roman" w:cs="Times New Roman"/>
                <w:szCs w:val="24"/>
              </w:rPr>
              <w:t xml:space="preserve"> </w:t>
            </w:r>
            <w:r w:rsidRPr="00D8617D">
              <w:rPr>
                <w:rFonts w:ascii="Times New Roman" w:hAnsi="Times New Roman" w:cs="Times New Roman"/>
                <w:szCs w:val="24"/>
              </w:rPr>
              <w:t xml:space="preserve">daňovníkom s neobmedzenou daňovou povinnosťou </w:t>
            </w:r>
          </w:p>
          <w:p w:rsidR="00B63D8C" w:rsidRPr="00D8617D" w:rsidP="00B63D8C">
            <w:pPr>
              <w:jc w:val="both"/>
              <w:rPr>
                <w:rFonts w:ascii="Times New Roman" w:hAnsi="Times New Roman" w:cs="Times New Roman"/>
                <w:szCs w:val="24"/>
              </w:rPr>
            </w:pPr>
            <w:r w:rsidRPr="00D8617D">
              <w:rPr>
                <w:rFonts w:ascii="Times New Roman" w:hAnsi="Times New Roman" w:cs="Times New Roman"/>
                <w:szCs w:val="24"/>
              </w:rPr>
              <w:t xml:space="preserve"> 1. fyzická osoba, ktorá má na úz</w:t>
            </w:r>
            <w:r w:rsidRPr="00D8617D">
              <w:rPr>
                <w:rFonts w:ascii="Times New Roman" w:hAnsi="Times New Roman" w:cs="Times New Roman"/>
                <w:szCs w:val="24"/>
              </w:rPr>
              <w:t>emí  Slovenskej republiky trvalý pobyt alebo sa tu obvykle zdržiava; fyzická osoba sa obvykle zdržiava na území Slovenskej republiky, ak na území Slovenskej republiky nemá trvalý  pobyt, ale sa tu zdržiava aspoň 183 dní v príslušnom kalendárnom roku, a to súvisle</w:t>
            </w:r>
            <w:r w:rsidR="00FA251F">
              <w:rPr>
                <w:rFonts w:ascii="Times New Roman" w:hAnsi="Times New Roman" w:cs="Times New Roman"/>
                <w:szCs w:val="24"/>
              </w:rPr>
              <w:t xml:space="preserve"> alebo</w:t>
            </w:r>
            <w:r w:rsidRPr="00D8617D">
              <w:rPr>
                <w:rFonts w:ascii="Times New Roman" w:hAnsi="Times New Roman" w:cs="Times New Roman"/>
                <w:szCs w:val="24"/>
              </w:rPr>
              <w:t xml:space="preserve"> v niekoľkých obdobiach; do   tohto obdobia  sa započítava každý, aj začatý deň pobytu,</w:t>
            </w:r>
          </w:p>
          <w:p w:rsidR="00B63D8C" w:rsidRPr="00D8617D" w:rsidP="00B63D8C">
            <w:pPr>
              <w:jc w:val="both"/>
              <w:rPr>
                <w:rFonts w:ascii="Times New Roman" w:hAnsi="Times New Roman" w:cs="Times New Roman"/>
                <w:szCs w:val="24"/>
              </w:rPr>
            </w:pPr>
            <w:r w:rsidRPr="00D8617D">
              <w:rPr>
                <w:rFonts w:ascii="Times New Roman" w:hAnsi="Times New Roman" w:cs="Times New Roman"/>
                <w:szCs w:val="24"/>
              </w:rPr>
              <w:t>2. právnická osoba, ktorá</w:t>
            </w:r>
            <w:r w:rsidR="00FA251F">
              <w:rPr>
                <w:rFonts w:ascii="Times New Roman" w:hAnsi="Times New Roman" w:cs="Times New Roman"/>
                <w:szCs w:val="24"/>
              </w:rPr>
              <w:t xml:space="preserve"> má na </w:t>
            </w:r>
            <w:r w:rsidRPr="00D8617D">
              <w:rPr>
                <w:rFonts w:ascii="Times New Roman" w:hAnsi="Times New Roman" w:cs="Times New Roman"/>
                <w:szCs w:val="24"/>
              </w:rPr>
              <w:t>území Sl</w:t>
            </w:r>
            <w:r w:rsidR="00FA251F">
              <w:rPr>
                <w:rFonts w:ascii="Times New Roman" w:hAnsi="Times New Roman" w:cs="Times New Roman"/>
                <w:szCs w:val="24"/>
              </w:rPr>
              <w:t>ovenskej republiky sídlo alebo</w:t>
            </w:r>
            <w:r w:rsidRPr="00D8617D">
              <w:rPr>
                <w:rFonts w:ascii="Times New Roman" w:hAnsi="Times New Roman" w:cs="Times New Roman"/>
                <w:szCs w:val="24"/>
              </w:rPr>
              <w:t xml:space="preserve"> miesto skutočného vedenia; miestom skutočného vedenia je miesto, kde sa prijímajú riadiace a obchodné rozhodnutia štatutárnych  orgánov a dozorných orgánov právnickej osoby, aj ak adresa tohto miesta nie je zapísaná v obchodnom registri,</w:t>
            </w:r>
          </w:p>
          <w:p w:rsidR="00B63D8C" w:rsidRPr="00D8617D" w:rsidP="00B63D8C">
            <w:pPr>
              <w:jc w:val="both"/>
              <w:rPr>
                <w:rFonts w:ascii="Times New Roman" w:hAnsi="Times New Roman" w:cs="Times New Roman"/>
                <w:szCs w:val="24"/>
              </w:rPr>
            </w:pPr>
          </w:p>
          <w:p w:rsidR="00B63D8C" w:rsidRPr="00D8617D" w:rsidP="00B63D8C">
            <w:pPr>
              <w:jc w:val="both"/>
              <w:rPr>
                <w:rFonts w:ascii="Times New Roman" w:hAnsi="Times New Roman" w:cs="Times New Roman"/>
                <w:szCs w:val="24"/>
              </w:rPr>
            </w:pPr>
            <w:r w:rsidRPr="00D8617D">
              <w:rPr>
                <w:rFonts w:ascii="Times New Roman" w:hAnsi="Times New Roman" w:cs="Times New Roman"/>
                <w:szCs w:val="24"/>
              </w:rPr>
              <w:t>Stálou  prevádzkarňou  sa  na  účely  tohto zákona rozumie trvalé miesto alebo  zariadenie na výkon</w:t>
            </w:r>
            <w:r w:rsidR="00ED036B">
              <w:rPr>
                <w:rFonts w:ascii="Times New Roman" w:hAnsi="Times New Roman" w:cs="Times New Roman"/>
                <w:szCs w:val="24"/>
              </w:rPr>
              <w:t xml:space="preserve"> </w:t>
            </w:r>
            <w:r w:rsidRPr="00D8617D">
              <w:rPr>
                <w:rFonts w:ascii="Times New Roman" w:hAnsi="Times New Roman" w:cs="Times New Roman"/>
                <w:szCs w:val="24"/>
              </w:rPr>
              <w:t>činností, ktorého</w:t>
            </w:r>
            <w:r w:rsidR="00ED036B">
              <w:rPr>
                <w:rFonts w:ascii="Times New Roman" w:hAnsi="Times New Roman" w:cs="Times New Roman"/>
                <w:szCs w:val="24"/>
              </w:rPr>
              <w:t xml:space="preserve"> </w:t>
            </w:r>
            <w:r w:rsidRPr="00D8617D">
              <w:rPr>
                <w:rFonts w:ascii="Times New Roman" w:hAnsi="Times New Roman" w:cs="Times New Roman"/>
                <w:szCs w:val="24"/>
              </w:rPr>
              <w:t>prostredníctvom   daňovníci  s   obmedzenou  daňovou povinnosťou vykonávajú úplne  alebo sčasti svoju činnosť na území  Slovenskej republiky, a to najmä miesto, z ktorého je činnosť daňovníka organizovaná,  pobočka, kancelária, dielňa, pracovisko, miesto predaja, technické zar</w:t>
            </w:r>
            <w:r w:rsidR="00ED036B">
              <w:rPr>
                <w:rFonts w:ascii="Times New Roman" w:hAnsi="Times New Roman" w:cs="Times New Roman"/>
                <w:szCs w:val="24"/>
              </w:rPr>
              <w:t xml:space="preserve">iadenie alebo miesto prieskumu a </w:t>
            </w:r>
            <w:r w:rsidRPr="00D8617D">
              <w:rPr>
                <w:rFonts w:ascii="Times New Roman" w:hAnsi="Times New Roman" w:cs="Times New Roman"/>
                <w:szCs w:val="24"/>
              </w:rPr>
              <w:t xml:space="preserve">ťažby prírodných zdrojov. Miesto alebo zariadenie na výkon činností je považované za trvalé, ak sa </w:t>
            </w:r>
            <w:r w:rsidR="00ED036B">
              <w:rPr>
                <w:rFonts w:ascii="Times New Roman" w:hAnsi="Times New Roman" w:cs="Times New Roman"/>
                <w:szCs w:val="24"/>
              </w:rPr>
              <w:t xml:space="preserve">na výkon </w:t>
            </w:r>
            <w:r w:rsidRPr="00D8617D">
              <w:rPr>
                <w:rFonts w:ascii="Times New Roman" w:hAnsi="Times New Roman" w:cs="Times New Roman"/>
                <w:szCs w:val="24"/>
              </w:rPr>
              <w:t>činnosti využíva sústavne alebo opakovane.</w:t>
            </w:r>
            <w:r w:rsidR="00252F5B">
              <w:rPr>
                <w:rFonts w:ascii="Times New Roman" w:hAnsi="Times New Roman" w:cs="Times New Roman"/>
                <w:szCs w:val="24"/>
              </w:rPr>
              <w:t xml:space="preserve"> </w:t>
            </w:r>
            <w:r w:rsidRPr="00D8617D">
              <w:rPr>
                <w:rFonts w:ascii="Times New Roman" w:hAnsi="Times New Roman" w:cs="Times New Roman"/>
                <w:szCs w:val="24"/>
              </w:rPr>
              <w:t>Ak ide o jednorazovo  vykonávanú činnosť, miesto alebo zariadenie, v ktorom je činnosť  vykonávaná, sa považuje za trvalé,  ak doba  výkonu činnosti  presiahne šesť  mesiacov, a</w:t>
            </w:r>
            <w:r w:rsidR="00252F5B">
              <w:rPr>
                <w:rFonts w:ascii="Times New Roman" w:hAnsi="Times New Roman" w:cs="Times New Roman"/>
                <w:szCs w:val="24"/>
              </w:rPr>
              <w:t> </w:t>
            </w:r>
            <w:r w:rsidRPr="00D8617D">
              <w:rPr>
                <w:rFonts w:ascii="Times New Roman" w:hAnsi="Times New Roman" w:cs="Times New Roman"/>
                <w:szCs w:val="24"/>
              </w:rPr>
              <w:t>to</w:t>
            </w:r>
            <w:r w:rsidR="00252F5B">
              <w:rPr>
                <w:rFonts w:ascii="Times New Roman" w:hAnsi="Times New Roman" w:cs="Times New Roman"/>
                <w:szCs w:val="24"/>
              </w:rPr>
              <w:t xml:space="preserve"> </w:t>
            </w:r>
            <w:r w:rsidRPr="00D8617D">
              <w:rPr>
                <w:rFonts w:ascii="Times New Roman" w:hAnsi="Times New Roman" w:cs="Times New Roman"/>
                <w:szCs w:val="24"/>
              </w:rPr>
              <w:t>súvisle alebo  v   niekoľkých  obdobiach   v  akomkoľvek  období dvanástich  po  sebe  nasledujúcich mesiacov.  Stavenisko, miesto</w:t>
            </w:r>
          </w:p>
          <w:p w:rsidR="00065426" w:rsidRPr="00D8617D" w:rsidP="00B63D8C">
            <w:pPr>
              <w:jc w:val="both"/>
              <w:rPr>
                <w:rFonts w:ascii="Times New Roman" w:hAnsi="Times New Roman" w:cs="Times New Roman"/>
                <w:b/>
                <w:bCs/>
                <w:szCs w:val="24"/>
              </w:rPr>
            </w:pPr>
            <w:r w:rsidRPr="00D8617D" w:rsidR="00252F5B">
              <w:rPr>
                <w:rFonts w:ascii="Times New Roman" w:hAnsi="Times New Roman" w:cs="Times New Roman"/>
                <w:szCs w:val="24"/>
              </w:rPr>
              <w:t>V</w:t>
            </w:r>
            <w:r w:rsidRPr="00D8617D" w:rsidR="00B63D8C">
              <w:rPr>
                <w:rFonts w:ascii="Times New Roman" w:hAnsi="Times New Roman" w:cs="Times New Roman"/>
                <w:szCs w:val="24"/>
              </w:rPr>
              <w:t>ykonávania</w:t>
            </w:r>
            <w:r w:rsidR="00252F5B">
              <w:rPr>
                <w:rFonts w:ascii="Times New Roman" w:hAnsi="Times New Roman" w:cs="Times New Roman"/>
                <w:szCs w:val="24"/>
              </w:rPr>
              <w:t xml:space="preserve"> </w:t>
            </w:r>
            <w:r w:rsidRPr="00D8617D" w:rsidR="00B63D8C">
              <w:rPr>
                <w:rFonts w:ascii="Times New Roman" w:hAnsi="Times New Roman" w:cs="Times New Roman"/>
                <w:szCs w:val="24"/>
              </w:rPr>
              <w:t>stavebných</w:t>
            </w:r>
            <w:r w:rsidR="00252F5B">
              <w:rPr>
                <w:rFonts w:ascii="Times New Roman" w:hAnsi="Times New Roman" w:cs="Times New Roman"/>
                <w:szCs w:val="24"/>
              </w:rPr>
              <w:t xml:space="preserve"> </w:t>
            </w:r>
            <w:r w:rsidRPr="00D8617D" w:rsidR="00B63D8C">
              <w:rPr>
                <w:rFonts w:ascii="Times New Roman" w:hAnsi="Times New Roman" w:cs="Times New Roman"/>
                <w:szCs w:val="24"/>
              </w:rPr>
              <w:t xml:space="preserve">projektov </w:t>
            </w:r>
            <w:r w:rsidR="00252F5B">
              <w:rPr>
                <w:rFonts w:ascii="Times New Roman" w:hAnsi="Times New Roman" w:cs="Times New Roman"/>
                <w:szCs w:val="24"/>
              </w:rPr>
              <w:t>a  montážnych</w:t>
            </w:r>
            <w:r w:rsidRPr="00D8617D" w:rsidR="00B63D8C">
              <w:rPr>
                <w:rFonts w:ascii="Times New Roman" w:hAnsi="Times New Roman" w:cs="Times New Roman"/>
                <w:szCs w:val="24"/>
              </w:rPr>
              <w:t xml:space="preserve"> projektov sa považuje za stálu  prevádzkareň, len ak výkon činnosti na nich presiahne</w:t>
            </w:r>
            <w:r w:rsidR="00252F5B">
              <w:rPr>
                <w:rFonts w:ascii="Times New Roman" w:hAnsi="Times New Roman" w:cs="Times New Roman"/>
                <w:szCs w:val="24"/>
              </w:rPr>
              <w:t xml:space="preserve"> </w:t>
            </w:r>
            <w:r w:rsidRPr="00D8617D" w:rsidR="00B63D8C">
              <w:rPr>
                <w:rFonts w:ascii="Times New Roman" w:hAnsi="Times New Roman" w:cs="Times New Roman"/>
                <w:szCs w:val="24"/>
              </w:rPr>
              <w:t>šesť mesiacov. Stálou prevádzkarňou je aj osoba, ktorá koná v mene daňovníka s obmedzenou daňovou povinnosťou a</w:t>
            </w:r>
            <w:r w:rsidR="00ED036B">
              <w:rPr>
                <w:rFonts w:ascii="Times New Roman" w:hAnsi="Times New Roman" w:cs="Times New Roman"/>
                <w:szCs w:val="24"/>
              </w:rPr>
              <w:t xml:space="preserve"> </w:t>
            </w:r>
            <w:r w:rsidRPr="00D8617D" w:rsidR="00B63D8C">
              <w:rPr>
                <w:rFonts w:ascii="Times New Roman" w:hAnsi="Times New Roman" w:cs="Times New Roman"/>
                <w:szCs w:val="24"/>
              </w:rPr>
              <w:t>sústavne</w:t>
            </w:r>
            <w:r w:rsidR="00252F5B">
              <w:rPr>
                <w:rFonts w:ascii="Times New Roman" w:hAnsi="Times New Roman" w:cs="Times New Roman"/>
                <w:szCs w:val="24"/>
              </w:rPr>
              <w:t xml:space="preserve"> </w:t>
            </w:r>
            <w:r w:rsidRPr="00D8617D" w:rsidR="00B63D8C">
              <w:rPr>
                <w:rFonts w:ascii="Times New Roman" w:hAnsi="Times New Roman" w:cs="Times New Roman"/>
                <w:szCs w:val="24"/>
              </w:rPr>
              <w:t xml:space="preserve">alebo opakovane  prerokováva alebo uzatvára v jeho mene zmluvy na základe splnomocnenia. Osoba  koná v mene daňovníka, ak koná na základe  jeho pokynov, pričom </w:t>
            </w:r>
            <w:r w:rsidR="00ED036B">
              <w:rPr>
                <w:rFonts w:ascii="Times New Roman" w:hAnsi="Times New Roman" w:cs="Times New Roman"/>
                <w:szCs w:val="24"/>
              </w:rPr>
              <w:t xml:space="preserve">daňovník </w:t>
            </w:r>
            <w:r w:rsidRPr="00D8617D" w:rsidR="00B63D8C">
              <w:rPr>
                <w:rFonts w:ascii="Times New Roman" w:hAnsi="Times New Roman" w:cs="Times New Roman"/>
                <w:szCs w:val="24"/>
              </w:rPr>
              <w:t>výsledky  jej</w:t>
            </w:r>
            <w:r w:rsidR="00ED036B">
              <w:rPr>
                <w:rFonts w:ascii="Times New Roman" w:hAnsi="Times New Roman" w:cs="Times New Roman"/>
                <w:szCs w:val="24"/>
              </w:rPr>
              <w:t xml:space="preserve"> </w:t>
            </w:r>
            <w:r w:rsidRPr="00D8617D" w:rsidR="00B63D8C">
              <w:rPr>
                <w:rFonts w:ascii="Times New Roman" w:hAnsi="Times New Roman" w:cs="Times New Roman"/>
                <w:szCs w:val="24"/>
              </w:rPr>
              <w:t>činnosti kontroluje a nesie za ne podnikateľské riziko.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rPr>
                <w:rFonts w:ascii="Times New Roman" w:hAnsi="Times New Roman" w:cs="Times New Roman"/>
                <w:szCs w:val="24"/>
              </w:rPr>
            </w:pPr>
            <w:r w:rsidRPr="00D8617D" w:rsidR="00B63D8C">
              <w:rPr>
                <w:rFonts w:ascii="Times New Roman" w:hAnsi="Times New Roman" w:cs="Times New Roman"/>
                <w:szCs w:val="24"/>
              </w:rPr>
              <w:t>Ú</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pStyle w:val="FootnoteText"/>
              <w:overflowPunct/>
              <w:adjustRightInd/>
              <w:textAlignment w:val="auto"/>
              <w:rPr>
                <w:rFonts w:ascii="Times New Roman" w:hAnsi="Times New Roman" w:cs="Times New Roman"/>
                <w:sz w:val="24"/>
                <w:szCs w:val="24"/>
                <w:lang w:val="sk-SK"/>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D8617D">
            <w:pPr>
              <w:pStyle w:val="FootnoteText"/>
              <w:overflowPunct/>
              <w:adjustRightInd/>
              <w:textAlignment w:val="auto"/>
              <w:rPr>
                <w:rFonts w:ascii="Times New Roman" w:hAnsi="Times New Roman" w:cs="Times New Roman"/>
                <w:sz w:val="24"/>
                <w:szCs w:val="24"/>
                <w:lang w:val="sk-SK"/>
              </w:rPr>
            </w:pPr>
          </w:p>
        </w:tc>
      </w:tr>
      <w:tr>
        <w:tblPrEx>
          <w:tblW w:w="15252" w:type="dxa"/>
          <w:jc w:val="center"/>
          <w:tblLayout w:type="fixed"/>
          <w:tblCellMar>
            <w:top w:w="28" w:type="dxa"/>
            <w:left w:w="28" w:type="dxa"/>
            <w:bottom w:w="28" w:type="dxa"/>
            <w:right w:w="28" w:type="dxa"/>
          </w:tblCellMar>
        </w:tblPrEx>
        <w:trPr>
          <w:trHeight w:val="62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Pr>
                <w:rFonts w:ascii="Times New Roman" w:hAnsi="Times New Roman" w:cs="Times New Roman"/>
                <w:szCs w:val="24"/>
              </w:rPr>
              <w:t>Čl.8</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rPr>
            </w:pPr>
            <w:r w:rsidRPr="00D8617D">
              <w:rPr>
                <w:rFonts w:ascii="Times New Roman" w:hAnsi="Times New Roman" w:cs="Times New Roman"/>
              </w:rPr>
              <w:t>KAPITOLA II</w:t>
            </w:r>
          </w:p>
          <w:p w:rsidR="00CE793F" w:rsidRPr="00D8617D" w:rsidP="00CE793F">
            <w:pPr>
              <w:jc w:val="center"/>
              <w:rPr>
                <w:rFonts w:ascii="Times New Roman" w:hAnsi="Times New Roman" w:cs="Times New Roman"/>
                <w:b/>
              </w:rPr>
            </w:pPr>
            <w:r w:rsidRPr="00D8617D">
              <w:rPr>
                <w:rFonts w:ascii="Times New Roman" w:hAnsi="Times New Roman" w:cs="Times New Roman"/>
                <w:b/>
              </w:rPr>
              <w:t>VÝMENA INFORMÁCIÍ</w:t>
            </w:r>
          </w:p>
          <w:p w:rsidR="00CE793F" w:rsidRPr="00D8617D" w:rsidP="00CE793F">
            <w:pPr>
              <w:jc w:val="center"/>
              <w:rPr>
                <w:rFonts w:ascii="Times New Roman" w:hAnsi="Times New Roman" w:cs="Times New Roman"/>
                <w:b/>
              </w:rPr>
            </w:pPr>
            <w:r w:rsidRPr="00D8617D">
              <w:rPr>
                <w:rFonts w:ascii="Times New Roman" w:hAnsi="Times New Roman" w:cs="Times New Roman"/>
                <w:b/>
              </w:rPr>
              <w:t>Informácie oznamované zo strany vyplácajúceho zástupcu</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Pokiaľ vlastník požitkov má bydlisko v členskom štáte inom, ako je členský štát, v ktorom je usadený vyplácajúci zástupca, minimálny objem informácií, ktoré má vyplácajúci zástupca oznamovať príslušnému orgánu členského štátu, v ktorom je usadený, pozostáva z tohto:</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(a) </w:t>
              <w:tab/>
              <w:t>totožnosť a bydlisko vlastníka požitkov stanovené v súlade s článkom 3;</w:t>
            </w:r>
          </w:p>
          <w:p w:rsidR="00CE793F" w:rsidRPr="00D8617D" w:rsidP="00CE793F">
            <w:pPr>
              <w:ind w:left="540" w:hanging="540"/>
              <w:jc w:val="both"/>
              <w:rPr>
                <w:rFonts w:ascii="Times New Roman" w:hAnsi="Times New Roman" w:cs="Times New Roman"/>
              </w:rPr>
            </w:pPr>
            <w:r w:rsidRPr="00D8617D">
              <w:rPr>
                <w:rFonts w:ascii="Times New Roman" w:hAnsi="Times New Roman" w:cs="Times New Roman"/>
              </w:rPr>
              <w:t xml:space="preserve">(b) </w:t>
              <w:tab/>
              <w:t>meno a adresu vyplácajúceho zástupcu;</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(c) </w:t>
              <w:tab/>
              <w:t>číslo účtu vlastníka požitkov alebo, pokiaľ toto chýba, identifikáciu pohľadávky, ktorá poskytuje úrok;</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(d) </w:t>
              <w:tab/>
              <w:t>informácie týkajúce sa výplaty úroku v súlade s odsekom 2.</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2. </w:t>
              <w:tab/>
              <w:t>Minimálny rozsah informácií týkajúcich sa výplaty úroku, ktoré má oznamovať vyplácajúci zástupca, rozlišuje medzi týmito kategóriami úroku a uvádza:</w:t>
              <w:br/>
              <w:t xml:space="preserve">(a) </w:t>
              <w:tab/>
              <w:t>v prípade výplaty úroku v zmysle článku 6 ods. 1 písm. a): čiastku vyplateného alebo na účet pripísaného úroku;</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(b) </w:t>
              <w:tab/>
              <w:t>v prípade výplaty úroku v zmysle článku 6 ods. 1 písm. b) alebo d): buď čiastku úroku alebo príjem daný v uvedených odsekoch alebo plnú čiastku výnosu z odpredaja, amortizácie alebo náhrady;</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(c) </w:t>
              <w:tab/>
              <w:t>v prípade výplaty úroku v zmysle článku 6 ods. 1 písm. c): buď čiastku príjmu danú v uvedenom odseku alebo plnú čiastku distribúcie;</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(d) </w:t>
              <w:tab/>
              <w:t>v prípade výplaty úroku v zmysle článku 6 ods. 4: čiastku úroku rozpísanú na jednotlivých členov subjektu uvedeného v článku 4 ods. 2, ktorí spĺňajú podmienky článkov 1 ods. 1 a článok 2 ods. 1;</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(e) </w:t>
              <w:tab/>
              <w:t>pokiaľ členský štát vykonáva možnosť na základe článku 6 ods. 5: čiastku anualizovaného úroku.</w:t>
            </w:r>
          </w:p>
          <w:p w:rsidR="00D1040A" w:rsidRPr="00D8617D" w:rsidP="00EB4E8F">
            <w:pPr>
              <w:jc w:val="both"/>
              <w:rPr>
                <w:rFonts w:ascii="Times New Roman" w:hAnsi="Times New Roman" w:cs="Times New Roman"/>
              </w:rPr>
            </w:pPr>
            <w:r w:rsidRPr="00D8617D" w:rsidR="00CE793F">
              <w:rPr>
                <w:rFonts w:ascii="Times New Roman" w:hAnsi="Times New Roman" w:cs="Times New Roman"/>
              </w:rPr>
              <w:t>Členské štáty môžu však obmedziť minimálny rozsah informácií ohľadom výplaty úroku, ktorý má oznamovať vyplácajúci zástupca, na celkovú čiastku úroku alebo príjmu a na celkovú čiastku výnosov z odpredaja, amortizácie alebo náhrady.</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9271C2">
              <w:rPr>
                <w:rFonts w:ascii="Times New Roman" w:hAnsi="Times New Roman" w:cs="Times New Roman"/>
                <w:szCs w:val="24"/>
              </w:rPr>
              <w:t>N</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bCs/>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D1040A">
            <w:pPr>
              <w:pStyle w:val="FootnoteText"/>
              <w:overflowPunct/>
              <w:adjustRightInd/>
              <w:ind w:right="-70"/>
              <w:textAlignment w:val="auto"/>
              <w:rPr>
                <w:rFonts w:ascii="Times New Roman" w:hAnsi="Times New Roman" w:cs="Times New Roman"/>
                <w:sz w:val="24"/>
                <w:szCs w:val="24"/>
                <w:lang w:val="sk-SK"/>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D1040A">
            <w:pPr>
              <w:jc w:val="both"/>
              <w:rPr>
                <w:rFonts w:ascii="Times New Roman" w:hAnsi="Times New Roman" w:cs="Times New Roman"/>
                <w:b/>
                <w:bCs/>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9271C2">
              <w:rPr>
                <w:rFonts w:ascii="Times New Roman" w:hAnsi="Times New Roman" w:cs="Times New Roman"/>
                <w:szCs w:val="24"/>
              </w:rPr>
              <w:t>Ú</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1008AB">
              <w:rPr>
                <w:rFonts w:ascii="Times New Roman" w:hAnsi="Times New Roman" w:cs="Times New Roman"/>
                <w:szCs w:val="24"/>
              </w:rPr>
              <w:t>Návrh novely zákona č. 511/ 1992 Zb.</w:t>
            </w: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Pr>
                <w:rFonts w:ascii="Times New Roman" w:hAnsi="Times New Roman" w:cs="Times New Roman"/>
                <w:szCs w:val="24"/>
              </w:rPr>
              <w:t>Čl.9</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Automatická výmena informácií</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Príslušný orgán členského štátu vyplácajúceho zástupcu oznamuje informácie uvedené v článku 8 príslušnému orgánu členského štátu bydliska vlastníka požitkov.</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2. </w:t>
              <w:tab/>
              <w:t>Oznamovanie informácií je automatické a uskutočňuje sa najmenej raz ročne do šiestich mesiacov od skončenia daňového roka členského štátu vyplácajúceho zástupcu za všetky výplaty úroku vykonané počas uvedeného roka.</w:t>
            </w:r>
          </w:p>
          <w:p w:rsidR="00D1040A" w:rsidRPr="00D8617D" w:rsidP="00EB4E8F">
            <w:pPr>
              <w:jc w:val="both"/>
              <w:rPr>
                <w:rFonts w:ascii="Times New Roman" w:hAnsi="Times New Roman" w:cs="Times New Roman"/>
              </w:rPr>
            </w:pPr>
            <w:r w:rsidRPr="00D8617D" w:rsidR="00CE793F">
              <w:rPr>
                <w:rFonts w:ascii="Times New Roman" w:hAnsi="Times New Roman" w:cs="Times New Roman"/>
              </w:rPr>
              <w:t xml:space="preserve">3. </w:t>
              <w:tab/>
              <w:t>Ustanovenia smernice 77/799/EHS sa uplatňujú na výmenu informácií na základe tejto smernice za podmienky, že ustanovenia tejto smernice nestanovujú inak. Článok 8 smernice 77/799/EHS sa však neuplatňuje na informácie poskytované podľa tejto kapitoly.</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9271C2">
              <w:rPr>
                <w:rFonts w:ascii="Times New Roman" w:hAnsi="Times New Roman" w:cs="Times New Roman"/>
                <w:szCs w:val="24"/>
              </w:rPr>
              <w:t>N</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b/>
                <w:bCs/>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pStyle w:val="BodyText3"/>
              <w:rPr>
                <w:rFonts w:ascii="Times New Roman" w:hAnsi="Times New Roman" w:cs="Times New Roman"/>
                <w:b/>
                <w:bCs/>
                <w:sz w:val="24"/>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A2303A">
            <w:pPr>
              <w:pStyle w:val="NumPar1"/>
              <w:numPr>
                <w:numId w:val="0"/>
              </w:numPr>
              <w:tabs>
                <w:tab w:val="left" w:pos="0"/>
              </w:tabs>
              <w:spacing w:before="0" w:after="0"/>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9271C2">
              <w:rPr>
                <w:rFonts w:ascii="Times New Roman" w:hAnsi="Times New Roman" w:cs="Times New Roman"/>
                <w:szCs w:val="24"/>
              </w:rPr>
              <w:t>Ú</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433241">
            <w:pPr>
              <w:rPr>
                <w:rFonts w:ascii="Times New Roman" w:hAnsi="Times New Roman" w:cs="Times New Roman"/>
                <w:szCs w:val="24"/>
              </w:rPr>
            </w:pPr>
            <w:r w:rsidRPr="00D8617D" w:rsidR="001008AB">
              <w:rPr>
                <w:rFonts w:ascii="Times New Roman" w:hAnsi="Times New Roman" w:cs="Times New Roman"/>
                <w:szCs w:val="24"/>
              </w:rPr>
              <w:t>Návrh novely zákona č. 511/ 1992 Zb.</w:t>
            </w: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192925">
            <w:pPr>
              <w:ind w:right="-70"/>
              <w:rPr>
                <w:rFonts w:ascii="Times New Roman" w:hAnsi="Times New Roman" w:cs="Times New Roman"/>
                <w:szCs w:val="24"/>
              </w:rPr>
            </w:pPr>
            <w:r w:rsidRPr="00D8617D">
              <w:rPr>
                <w:rFonts w:ascii="Times New Roman" w:hAnsi="Times New Roman" w:cs="Times New Roman"/>
                <w:szCs w:val="24"/>
              </w:rPr>
              <w:t xml:space="preserve">Čl. </w:t>
            </w:r>
            <w:r w:rsidRPr="00D8617D" w:rsidR="00192925">
              <w:rPr>
                <w:rFonts w:ascii="Times New Roman" w:hAnsi="Times New Roman" w:cs="Times New Roman"/>
                <w:szCs w:val="24"/>
              </w:rPr>
              <w:t>1</w:t>
            </w:r>
            <w:r w:rsidRPr="00D8617D">
              <w:rPr>
                <w:rFonts w:ascii="Times New Roman" w:hAnsi="Times New Roman" w:cs="Times New Roman"/>
                <w:szCs w:val="24"/>
              </w:rPr>
              <w:t>0</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rPr>
            </w:pPr>
            <w:r w:rsidRPr="00D8617D">
              <w:rPr>
                <w:rFonts w:ascii="Times New Roman" w:hAnsi="Times New Roman" w:cs="Times New Roman"/>
              </w:rPr>
              <w:t>KAPITOLA III</w:t>
            </w:r>
          </w:p>
          <w:p w:rsidR="00CE793F" w:rsidRPr="00D8617D" w:rsidP="00CE793F">
            <w:pPr>
              <w:jc w:val="center"/>
              <w:rPr>
                <w:rFonts w:ascii="Times New Roman" w:hAnsi="Times New Roman" w:cs="Times New Roman"/>
                <w:b/>
              </w:rPr>
            </w:pPr>
            <w:r w:rsidRPr="00D8617D">
              <w:rPr>
                <w:rFonts w:ascii="Times New Roman" w:hAnsi="Times New Roman" w:cs="Times New Roman"/>
                <w:b/>
              </w:rPr>
              <w:t>PRECHODNÉ USTANOVENIA</w:t>
            </w:r>
          </w:p>
          <w:p w:rsidR="00CE793F" w:rsidRPr="00D8617D" w:rsidP="00CE793F">
            <w:pPr>
              <w:jc w:val="center"/>
              <w:rPr>
                <w:rFonts w:ascii="Times New Roman" w:hAnsi="Times New Roman" w:cs="Times New Roman"/>
                <w:b/>
              </w:rPr>
            </w:pPr>
            <w:r w:rsidRPr="00D8617D">
              <w:rPr>
                <w:rFonts w:ascii="Times New Roman" w:hAnsi="Times New Roman" w:cs="Times New Roman"/>
                <w:b/>
              </w:rPr>
              <w:t>Prechodné obdobie</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Počas prechodného obdobia začínajúceho dátumom uvedeným v článku 17 ods. 2 a 3 a s výhradou článku 13 ods. 1 (1), sa od Belgicka, Luxemburska a Rakúska nevyžaduje uplatňovanie ustanovení kapitoly II.</w:t>
            </w:r>
          </w:p>
          <w:p w:rsidR="00CE793F" w:rsidRPr="00D8617D" w:rsidP="00CE793F">
            <w:pPr>
              <w:jc w:val="both"/>
              <w:rPr>
                <w:rFonts w:ascii="Times New Roman" w:hAnsi="Times New Roman" w:cs="Times New Roman"/>
              </w:rPr>
            </w:pPr>
            <w:r w:rsidRPr="00D8617D">
              <w:rPr>
                <w:rFonts w:ascii="Times New Roman" w:hAnsi="Times New Roman" w:cs="Times New Roman"/>
              </w:rPr>
              <w:t>V súlade s kapitolou II môžu  však prijímať informácie od ostatných členských štátov.</w:t>
            </w:r>
          </w:p>
          <w:p w:rsidR="00CE793F" w:rsidRPr="00D8617D" w:rsidP="00CE793F">
            <w:pPr>
              <w:jc w:val="both"/>
              <w:rPr>
                <w:rFonts w:ascii="Times New Roman" w:hAnsi="Times New Roman" w:cs="Times New Roman"/>
              </w:rPr>
            </w:pPr>
            <w:r w:rsidRPr="00D8617D">
              <w:rPr>
                <w:rFonts w:ascii="Times New Roman" w:hAnsi="Times New Roman" w:cs="Times New Roman"/>
              </w:rPr>
              <w:t>Cieľom tejto smernice počas prechodného obdobia je zabezpečiť minimálne účinné zdaňovanie úspor v podobe výplat úroku vyplatených v jednom členskom štáte vlastníkom požitkov, ktorí sú jednotlivcami s miestom bydliska na daňové účely v ďalšom členskom štáte.</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2. </w:t>
              <w:tab/>
              <w:t>Prechodné obdobie skončí na konci prvého úplného fiskálneho roka, ktorý nasleduje po neskoršom z týchto dátumov:</w:t>
            </w:r>
          </w:p>
          <w:p w:rsidR="00CE793F" w:rsidRPr="00D8617D" w:rsidP="000E7DE3">
            <w:pPr>
              <w:ind w:hanging="28"/>
              <w:jc w:val="both"/>
              <w:rPr>
                <w:rFonts w:ascii="Times New Roman" w:hAnsi="Times New Roman" w:cs="Times New Roman"/>
              </w:rPr>
            </w:pPr>
            <w:r w:rsidRPr="00D8617D">
              <w:rPr>
                <w:rFonts w:ascii="Times New Roman" w:hAnsi="Times New Roman" w:cs="Times New Roman"/>
              </w:rPr>
              <w:t xml:space="preserve">– </w:t>
              <w:tab/>
              <w:t>dátum nadobudnutia účinnosti dohody medzi Európskym spoločenstvom, po jednomyseľnom rozhodnutí Rady, a posledným štátom spomedzi Švajčiarskej konfederácie, Lichtenštajnského kniežatstva, Republiky San Marino, Monackého kniežatstva a Andorrského kniežatstva, ustanovujúcej výmenu informácií na požiadanie, ako je to vymedzené v Modelovej dohode o výmene informácií o daňových záležitostiach OECD z 18. apríla 2002 (ďalej len „modelová dohoda OECD“) ohľadom výplat úroku vymedzených v tejto smernici, vyplácaných vyplácajúcimi zástupcami usadených na svojich príslušných územiach v prospech vlastníkov požitkov s bydliskom na území, na ktoré sa uplatňuje smernica, okrem  súčasného uplatňovania zrážanej dane z takýchto výplat tými istými uvedenými krajinami pri sadzbe vymedzenej pre zodpovedajúce obdobia podľa článku 11 ods. 1,</w:t>
            </w:r>
          </w:p>
          <w:p w:rsidR="00CE793F" w:rsidRPr="00D8617D" w:rsidP="000E7DE3">
            <w:pPr>
              <w:ind w:hanging="28"/>
              <w:jc w:val="both"/>
              <w:rPr>
                <w:rFonts w:ascii="Times New Roman" w:hAnsi="Times New Roman" w:cs="Times New Roman"/>
              </w:rPr>
            </w:pPr>
            <w:r w:rsidRPr="00D8617D">
              <w:rPr>
                <w:rFonts w:ascii="Times New Roman" w:hAnsi="Times New Roman" w:cs="Times New Roman"/>
              </w:rPr>
              <w:t xml:space="preserve">– </w:t>
              <w:tab/>
              <w:t>dátum, keď Rada jednomyseľne odsúhlasí, že Spojené štáty americké sa zaviazali vymieňať si informácie na požiadanie, ako je to vymedzené v modelovej dohode OECD ohľadom výplat úroku, vymedzených v tejto smernici, vykonávaných vyplácajúcim zástupcom usadeným na ich území v prospech vlastníkov požitkov s bydliskom na území, na ktoré sa uplatňuje táto smernica.</w:t>
            </w:r>
          </w:p>
          <w:p w:rsidR="00D1040A" w:rsidRPr="00D8617D" w:rsidP="00433241">
            <w:pPr>
              <w:jc w:val="both"/>
              <w:rPr>
                <w:rFonts w:ascii="Times New Roman" w:hAnsi="Times New Roman" w:cs="Times New Roman"/>
              </w:rPr>
            </w:pPr>
            <w:r w:rsidRPr="00D8617D" w:rsidR="00CE793F">
              <w:rPr>
                <w:rFonts w:ascii="Times New Roman" w:hAnsi="Times New Roman" w:cs="Times New Roman"/>
              </w:rPr>
              <w:t xml:space="preserve">3. </w:t>
              <w:tab/>
              <w:t>Na konci prechodného obdobia sa od Belgicka, Luxemburska a Rakúska vyžaduje, aby uplatňovali ustanovenia kapitoly II a prestali uplatňovať zrážanú daň a delenie príjmov ustanovené v článkoch 11 a 12. Ak si počas prechodného obdobia Belgicko, Luxembursko a Rakúsko zvolí uplatňovanie ustanovení kapitoly II, nebude naďalej uplatňovať zrážanú daň a delenie príjmov ustanovené v článkoch 11 a 12.</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1008AB">
              <w:rPr>
                <w:rFonts w:ascii="Times New Roman" w:hAnsi="Times New Roman" w:cs="Times New Roman"/>
                <w:szCs w:val="24"/>
              </w:rPr>
              <w:t>n.a.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1B1E57">
            <w:pPr>
              <w:pStyle w:val="FootnoteText"/>
              <w:overflowPunct/>
              <w:adjustRightInd/>
              <w:textAlignment w:val="auto"/>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313E" w:rsidRPr="00D8617D">
            <w:pPr>
              <w:rPr>
                <w:rFonts w:ascii="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A2303A">
            <w:pPr>
              <w:autoSpaceDE/>
              <w:autoSpaceDN/>
              <w:ind w:firstLine="0"/>
              <w:jc w:val="both"/>
              <w:rPr>
                <w:rFonts w:ascii="Times New Roman" w:hAnsi="Times New Roman" w:cs="Times New Roman"/>
                <w:noProof/>
                <w:szCs w:val="24"/>
              </w:rPr>
            </w:pPr>
            <w:r w:rsidRPr="00D8617D" w:rsidR="000C7EF1">
              <w:rPr>
                <w:rFonts w:ascii="Times New Roman" w:hAnsi="Times New Roman" w:cs="Times New Roman"/>
                <w:noProof/>
                <w:szCs w:val="24"/>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pStyle w:val="FootnoteText"/>
              <w:overflowPunct/>
              <w:adjustRightInd/>
              <w:textAlignment w:val="auto"/>
              <w:rPr>
                <w:rFonts w:ascii="Times New Roman" w:hAnsi="Times New Roman" w:cs="Times New Roman"/>
                <w:sz w:val="24"/>
                <w:szCs w:val="24"/>
                <w:lang w:val="sk-SK"/>
              </w:rPr>
            </w:pPr>
            <w:r w:rsidRPr="00D8617D" w:rsidR="001008AB">
              <w:rPr>
                <w:rFonts w:ascii="Times New Roman" w:hAnsi="Times New Roman" w:cs="Times New Roman"/>
                <w:sz w:val="24"/>
                <w:szCs w:val="24"/>
                <w:lang w:val="sk-SK"/>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433241">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192925">
            <w:pPr>
              <w:rPr>
                <w:rFonts w:ascii="Times New Roman" w:hAnsi="Times New Roman" w:cs="Times New Roman"/>
                <w:szCs w:val="24"/>
              </w:rPr>
            </w:pPr>
            <w:r w:rsidRPr="00D8617D">
              <w:rPr>
                <w:rFonts w:ascii="Times New Roman" w:hAnsi="Times New Roman" w:cs="Times New Roman"/>
                <w:szCs w:val="24"/>
              </w:rPr>
              <w:t>Čl.</w:t>
            </w:r>
            <w:r w:rsidRPr="00D8617D" w:rsidR="001008AB">
              <w:rPr>
                <w:rFonts w:ascii="Times New Roman" w:hAnsi="Times New Roman" w:cs="Times New Roman"/>
                <w:szCs w:val="24"/>
              </w:rPr>
              <w:t xml:space="preserve"> </w:t>
            </w:r>
            <w:r w:rsidRPr="00D8617D">
              <w:rPr>
                <w:rFonts w:ascii="Times New Roman" w:hAnsi="Times New Roman" w:cs="Times New Roman"/>
                <w:szCs w:val="24"/>
              </w:rPr>
              <w:t>11</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Zrážaná daň</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Počas prechodného obdobia uvedeného v článku 10, ak vlastník požitkov má bydlisko v inom členskom štáte, ako je členský štát, v ktorom je usadený vyplácajúci zástupca, Belgicko, Luxembursko a Rakúsko vyberajú zrážanú daň pri sadzbe 15 % počas prvých troch rokov prechodného obdobia, 20 % počas nasledovných troch rokov a potom pri sadzbe 35 %.</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2. </w:t>
              <w:tab/>
              <w:t>Vyplácajúci zástupca vyberá zrážanú daň takto:</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(a) </w:t>
              <w:tab/>
              <w:t>v prípade výplaty úroku v zmysle článku 6 ods. 1 písm. a): z čiastky vyplateného alebo na účet pripísaného úroku;</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(b) </w:t>
              <w:tab/>
              <w:t>v prípade výplaty úroku v zmysle článku 6 ods. 1 písm. b) alebo d): z čiastky úroku alebo príjmu daných v uvedených odsekoch alebo výberom s rovnakým účinkom, ktorý znáša prijímateľ, z plnej čiastky výnosov z odpredaja, amortizácie alebo náhrady;</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(c) </w:t>
              <w:tab/>
              <w:t>v prípade výplaty úroku v zmysle článku 6 ods. 1 písm. c): z čiastky príjmu daného v uvedenom odseku;</w:t>
            </w:r>
          </w:p>
          <w:p w:rsidR="00CE793F" w:rsidRPr="00D8617D" w:rsidP="00252F5B">
            <w:pPr>
              <w:pStyle w:val="BodyTextIndent"/>
              <w:ind w:left="0" w:firstLine="0"/>
              <w:rPr>
                <w:rFonts w:ascii="Times New Roman" w:hAnsi="Times New Roman" w:cs="Times New Roman"/>
              </w:rPr>
            </w:pPr>
            <w:r w:rsidRPr="00D8617D">
              <w:rPr>
                <w:rFonts w:ascii="Times New Roman" w:hAnsi="Times New Roman" w:cs="Times New Roman"/>
              </w:rPr>
              <w:t xml:space="preserve">(d) </w:t>
              <w:tab/>
              <w:t>v prípade výplaty úroku v zmysle článku 6 ods. 4: z čiastky úroku, ktorú je rozpísaného na jednotlivých členov subjektu uvedeného v článku 4 ods. 2, ktorí spĺňajú podmienky článkov 1 ods. 1 a článkov 2 ods. 1;</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(e) </w:t>
              <w:tab/>
              <w:t>pokiaľ členský štát vykonáva možnosť na základe článku 6 ods. 5: z čiastky anualizovaného úroku.</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3. </w:t>
              <w:tab/>
              <w:t>Na účely písmen a) a b) odseku 2 sa zrážaná daň vyberá pomerne k obdobiu držby pohľadávky vlastníkom požitkov. Ak vyplácajúci zástupca nedokáže určiť obdobie držby na základe informácií, ktoré má k dispozícii, pristupuje k vlastníkovi požitkov, akoby pohľadávku držal počas celej jej existencie, pokiaľ neposkytne dôkaz o dni nadobudnutia.</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4. </w:t>
              <w:tab/>
              <w:t>Ukladanie zrážanej dane členským štátom vyplácajúceho zástupcu nebráni členskému štátu bydliska vlastníka požitkov na daňové účely, aby zdaňoval príjem v súlade s jeho vnútroštátnym právom na základe dodržiavania zmluvy.</w:t>
            </w:r>
          </w:p>
          <w:p w:rsidR="00D1040A" w:rsidRPr="00D8617D" w:rsidP="00EB4E8F">
            <w:pPr>
              <w:jc w:val="both"/>
              <w:rPr>
                <w:rFonts w:ascii="Times New Roman" w:hAnsi="Times New Roman" w:cs="Times New Roman"/>
              </w:rPr>
            </w:pPr>
            <w:r w:rsidRPr="00D8617D" w:rsidR="00CE793F">
              <w:rPr>
                <w:rFonts w:ascii="Times New Roman" w:hAnsi="Times New Roman" w:cs="Times New Roman"/>
              </w:rPr>
              <w:t xml:space="preserve">5. </w:t>
              <w:tab/>
              <w:t>Počas prechodného obdobia členské štáty vyberajúce zrážanú daň môžu stanoviť, že hospodársky subjekt vyplácajúci alebo zabezpečujúci úrok subjektu uvedenému v článku 4 ods. 2 usadenému v ďalšom členskom štáte sa považuje za vyplácajúceho zástupcu namiesto daného subjektu a vyberá zrážanú daň z uvedeného úroku, pokiaľ daný subjekt formálne nesúhlasil s tým, aby sa jeho meno, adresa a celková čiastka jemu vyplateného alebo zabezpečeného úroku oznámila v súlade s posledným pododsekom článku 4 ods. 2.</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1008AB">
              <w:rPr>
                <w:rFonts w:ascii="Times New Roman" w:hAnsi="Times New Roman" w:cs="Times New Roman"/>
                <w:szCs w:val="24"/>
              </w:rPr>
              <w:t>n.a.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pStyle w:val="FootnoteText"/>
              <w:overflowPunct/>
              <w:adjustRightInd/>
              <w:textAlignment w:val="auto"/>
              <w:rPr>
                <w:rFonts w:ascii="Times New Roman" w:hAnsi="Times New Roman" w:cs="Times New Roman"/>
                <w:sz w:val="24"/>
                <w:szCs w:val="24"/>
                <w:lang w:val="sk-SK"/>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1C1A52">
            <w:pPr>
              <w:jc w:val="both"/>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433241">
            <w:pPr>
              <w:rPr>
                <w:rFonts w:ascii="Times New Roman" w:hAnsi="Times New Roman" w:cs="Times New Roman"/>
                <w:szCs w:val="24"/>
              </w:rPr>
            </w:pPr>
            <w:r w:rsidRPr="00D8617D" w:rsidR="001008AB">
              <w:rPr>
                <w:rFonts w:ascii="Times New Roman" w:hAnsi="Times New Roman" w:cs="Times New Roman"/>
                <w:szCs w:val="24"/>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4F05" w:rsidRPr="00D8617D" w:rsidP="00433241">
            <w:pPr>
              <w:rPr>
                <w:rFonts w:ascii="Times New Roman" w:hAnsi="Times New Roman" w:cs="Times New Roman"/>
                <w:b/>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192925">
              <w:rPr>
                <w:rFonts w:ascii="Times New Roman" w:hAnsi="Times New Roman" w:cs="Times New Roman"/>
                <w:szCs w:val="24"/>
              </w:rPr>
              <w:t>Čl.</w:t>
            </w:r>
            <w:r w:rsidRPr="00D8617D" w:rsidR="001008AB">
              <w:rPr>
                <w:rFonts w:ascii="Times New Roman" w:hAnsi="Times New Roman" w:cs="Times New Roman"/>
                <w:szCs w:val="24"/>
              </w:rPr>
              <w:t xml:space="preserve"> </w:t>
            </w:r>
            <w:r w:rsidRPr="00D8617D">
              <w:rPr>
                <w:rFonts w:ascii="Times New Roman" w:hAnsi="Times New Roman" w:cs="Times New Roman"/>
                <w:szCs w:val="24"/>
              </w:rPr>
              <w:t>12</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Delenie príjmov</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Členské štáty ukladajúce zrážanú daň v súlade s článkom 11 ods. 1 si ponechajú 25 % zo svojho príjmu a 75 % príjmu prevádzajú členskému štátu bydliska vlastníka požitkov úroku.</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2. </w:t>
              <w:tab/>
              <w:t>Členské štáty ukladajúce zrážanú daň v súlade s článkom 11 ods. 5 si ponechajú 25 % z príjmu a  75 % príjmu prevádzajú inému členskému štátu v pomere k prevodom vykonávaným podľa odseku 1 tohoto článku.</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3. </w:t>
              <w:tab/>
              <w:t>Takéto prevody sa uskutočnia najneskôr do šiestich mesiacov od skončenia daňového roka členského štátu vyplácajúceho zástupcu v prípade odseku 1 alebo daňového roka členského štátu hospodárskeho subjektu v prípade odseku 2.</w:t>
            </w:r>
          </w:p>
          <w:p w:rsidR="00D1040A" w:rsidRPr="00D8617D" w:rsidP="00CE793F">
            <w:pPr>
              <w:jc w:val="both"/>
              <w:rPr>
                <w:rFonts w:ascii="Times New Roman" w:hAnsi="Times New Roman" w:cs="Times New Roman"/>
              </w:rPr>
            </w:pPr>
            <w:r w:rsidRPr="00D8617D" w:rsidR="00CE793F">
              <w:rPr>
                <w:rFonts w:ascii="Times New Roman" w:hAnsi="Times New Roman" w:cs="Times New Roman"/>
              </w:rPr>
              <w:t xml:space="preserve">4. </w:t>
              <w:tab/>
              <w:t>Členské štáty vyberajúce zrážanú daň prijmú všetky potrebné opatrenia na zabezpečenie náležitého fungovania systému delenia príjmov.</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1008AB">
              <w:rPr>
                <w:rFonts w:ascii="Times New Roman" w:hAnsi="Times New Roman" w:cs="Times New Roman"/>
                <w:szCs w:val="24"/>
              </w:rPr>
              <w:t>n.a.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rsidP="005C47CE">
            <w:pPr>
              <w:jc w:val="both"/>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1008AB">
              <w:rPr>
                <w:rFonts w:ascii="Times New Roman" w:hAnsi="Times New Roman" w:cs="Times New Roman"/>
                <w:szCs w:val="24"/>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b/>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Pr>
                <w:rFonts w:ascii="Times New Roman" w:hAnsi="Times New Roman" w:cs="Times New Roman"/>
                <w:szCs w:val="24"/>
              </w:rPr>
              <w:t>Čl.</w:t>
            </w:r>
            <w:r w:rsidRPr="00D8617D" w:rsidR="001008AB">
              <w:rPr>
                <w:rFonts w:ascii="Times New Roman" w:hAnsi="Times New Roman" w:cs="Times New Roman"/>
                <w:szCs w:val="24"/>
              </w:rPr>
              <w:t xml:space="preserve"> </w:t>
            </w:r>
            <w:r w:rsidRPr="00D8617D">
              <w:rPr>
                <w:rFonts w:ascii="Times New Roman" w:hAnsi="Times New Roman" w:cs="Times New Roman"/>
                <w:szCs w:val="24"/>
              </w:rPr>
              <w:t>13</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Výnimky z postupu zrážanej danej</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Členské štáty vyberajúce zrážanú daň v súlade s článkom 11 zabezpečia na to, aby vlastníci požitkov mohli požadovať, aby sa nezrážala žiadna daň, jeden z nasledovných postupov alebo obidva naraz:</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(a) </w:t>
              <w:tab/>
              <w:t>postup, ktorý vlastníkovi požitkov výslovne dovoľuje poveriť vyplácajúceho zástupcu, aby oznamoval informácie v súlade s kapitolou II, pričom takéto povolenie pokrýva všetok úrok vyplatený vlastníkovi požitkov uvedeným vyplácajúcim zástupcom; v takýchto prípadoch sa uplatňujú ustanovenia článku 9;</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(b) </w:t>
              <w:tab/>
              <w:t>postup, ktorý zabezpečuje, že zrážaná daň sa nevyberá, pokiaľ vlastník požitkov predloží svojmu vyplácajúcemu zástupcov osvedčenie vyhotovené v jeho vlastnom mene príslušným orgánom jeho členského štátu bydliska na daňové účely v súlade s odsekom 2.</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2. </w:t>
              <w:tab/>
              <w:t>Na požiadanie vlastníka požitkov príslušný orgán jeho členského štátu bydliska na daňové účely vydá osvedčenie, ktoré uvádza:</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(a) </w:t>
              <w:tab/>
              <w:t>meno, adresu a daňové alebo iné identifikačné číslo alebo, ak toto chýba, dátum a miesto narodenia vlastníka požitkov;</w:t>
            </w:r>
          </w:p>
          <w:p w:rsidR="00CE793F" w:rsidRPr="00D8617D" w:rsidP="00CE793F">
            <w:pPr>
              <w:ind w:left="540" w:hanging="540"/>
              <w:jc w:val="both"/>
              <w:rPr>
                <w:rFonts w:ascii="Times New Roman" w:hAnsi="Times New Roman" w:cs="Times New Roman"/>
              </w:rPr>
            </w:pPr>
            <w:r w:rsidRPr="00D8617D">
              <w:rPr>
                <w:rFonts w:ascii="Times New Roman" w:hAnsi="Times New Roman" w:cs="Times New Roman"/>
              </w:rPr>
              <w:t xml:space="preserve">(b) </w:t>
              <w:tab/>
              <w:t>meno a adresu vyplácajúceho zástupcu;</w:t>
            </w:r>
          </w:p>
          <w:p w:rsidR="00CE793F" w:rsidRPr="00D8617D" w:rsidP="00252F5B">
            <w:pPr>
              <w:jc w:val="both"/>
              <w:rPr>
                <w:rFonts w:ascii="Times New Roman" w:hAnsi="Times New Roman" w:cs="Times New Roman"/>
              </w:rPr>
            </w:pPr>
            <w:r w:rsidRPr="00D8617D">
              <w:rPr>
                <w:rFonts w:ascii="Times New Roman" w:hAnsi="Times New Roman" w:cs="Times New Roman"/>
              </w:rPr>
              <w:t xml:space="preserve">(c) </w:t>
              <w:tab/>
              <w:t>číslo účtu vlastníka požitkov alebo, pokiaľ chýba, identifikáciu cenného papiera.</w:t>
            </w:r>
          </w:p>
          <w:p w:rsidR="00D1040A" w:rsidRPr="00D8617D" w:rsidP="00086DE5">
            <w:pPr>
              <w:jc w:val="both"/>
              <w:rPr>
                <w:rFonts w:ascii="Times New Roman" w:hAnsi="Times New Roman" w:cs="Times New Roman"/>
              </w:rPr>
            </w:pPr>
            <w:r w:rsidRPr="00D8617D" w:rsidR="00CE793F">
              <w:rPr>
                <w:rFonts w:ascii="Times New Roman" w:hAnsi="Times New Roman" w:cs="Times New Roman"/>
              </w:rPr>
              <w:t>Takéto osvedčenie je platné po dobu nepresahujúcu tri roky. Vydáva sa ktorémukoľvek vlastníkovi požitkov, ktorý oň požiada, do dvoch mesiacov po podaní žiadosti.</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1008AB">
              <w:rPr>
                <w:rFonts w:ascii="Times New Roman" w:hAnsi="Times New Roman" w:cs="Times New Roman"/>
                <w:szCs w:val="24"/>
              </w:rPr>
              <w:t>n.a.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jc w:val="both"/>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r w:rsidRPr="00D8617D" w:rsidR="001008AB">
              <w:rPr>
                <w:rFonts w:ascii="Times New Roman" w:hAnsi="Times New Roman" w:cs="Times New Roman"/>
                <w:szCs w:val="24"/>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r w:rsidRPr="00D8617D" w:rsidR="00192925">
              <w:rPr>
                <w:rFonts w:ascii="Times New Roman" w:hAnsi="Times New Roman" w:cs="Times New Roman"/>
                <w:szCs w:val="24"/>
              </w:rPr>
              <w:t>Čl.</w:t>
            </w:r>
            <w:r w:rsidRPr="00D8617D" w:rsidR="001008AB">
              <w:rPr>
                <w:rFonts w:ascii="Times New Roman" w:hAnsi="Times New Roman" w:cs="Times New Roman"/>
                <w:szCs w:val="24"/>
              </w:rPr>
              <w:t xml:space="preserve"> </w:t>
            </w:r>
            <w:r w:rsidRPr="00D8617D" w:rsidR="00030E53">
              <w:rPr>
                <w:rFonts w:ascii="Times New Roman" w:hAnsi="Times New Roman" w:cs="Times New Roman"/>
                <w:szCs w:val="24"/>
              </w:rPr>
              <w:t>14</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Zamedzenie dvojitého zdanenia</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Členský štát bydliska oprávneného vlastníka požitkov na daňové účely zabezpečí zamedzenie akéhokoľvek dvojitého zdanenia, ktoré by mohlo byť dôsledkom ukladania zrážanej dane uvedenej v článku 11 v súlade s ustanoveniami odsekov 2 a 3.</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2. </w:t>
              <w:tab/>
              <w:t>Ak úrok prijatý vlastníkom požitkov podliehal zrážanej dani v členskom štáte vyplácajúceho zástupcu, členský štát bydliska vlastníka požitkov na daňové účely mu poskytne daňový úver rovný čiastke dane zrazenej v súlade s jeho vnútroštátnym právom. Ak táto čiastka presahuje čiastku dane dlžnej v súlade s jeho vnútroštátnym právom, členský štát bydliska na daňové účely vráti prevyšujúcu čiastku zrazenej dane vlastníkovi požitkov.</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3. </w:t>
              <w:tab/>
              <w:t>Ak okrem zrážanej dni uvedenej v článku 11 úrok prijatý vlastníkom požitkov podliehal akémukoľvek inému typu zrážanej dane a členský štát bydliska na daňové účely poskytuje na takúto zrážanú daň daňový úver v súlade s jeho vnútroštátnym právom alebo dohovormi o dvojitom zdanení, takáto iná zrážaná daň sa pripíše k dobru pred uplatnením postupu stanoveného v odseku 2.</w:t>
            </w:r>
          </w:p>
          <w:p w:rsidR="00F103FD" w:rsidRPr="00D8617D" w:rsidP="00086DE5">
            <w:pPr>
              <w:jc w:val="both"/>
              <w:rPr>
                <w:rFonts w:ascii="Times New Roman" w:hAnsi="Times New Roman" w:cs="Times New Roman"/>
              </w:rPr>
            </w:pPr>
            <w:r w:rsidRPr="00D8617D" w:rsidR="00CE793F">
              <w:rPr>
                <w:rFonts w:ascii="Times New Roman" w:hAnsi="Times New Roman" w:cs="Times New Roman"/>
              </w:rPr>
              <w:t xml:space="preserve">4. </w:t>
              <w:tab/>
              <w:t>Členský štát bydliska vlastníka požitkov na daňové účely môže daňový úverový mechanizmus uvedený v odsekoch 2 a 3 nahradiť náhradou zrážanej dane uvedenej v článku 11.</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r w:rsidRPr="00D8617D" w:rsidR="001008AB">
              <w:rPr>
                <w:rFonts w:ascii="Times New Roman" w:hAnsi="Times New Roman" w:cs="Times New Roman"/>
                <w:szCs w:val="24"/>
              </w:rPr>
              <w:t>n.a.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jc w:val="both"/>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r w:rsidRPr="00D8617D" w:rsidR="001008AB">
              <w:rPr>
                <w:rFonts w:ascii="Times New Roman" w:hAnsi="Times New Roman" w:cs="Times New Roman"/>
                <w:szCs w:val="24"/>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r w:rsidRPr="00D8617D" w:rsidR="00192925">
              <w:rPr>
                <w:rFonts w:ascii="Times New Roman" w:hAnsi="Times New Roman" w:cs="Times New Roman"/>
                <w:szCs w:val="24"/>
              </w:rPr>
              <w:t>Čl.</w:t>
            </w:r>
            <w:r w:rsidRPr="00D8617D" w:rsidR="001008AB">
              <w:rPr>
                <w:rFonts w:ascii="Times New Roman" w:hAnsi="Times New Roman" w:cs="Times New Roman"/>
                <w:szCs w:val="24"/>
              </w:rPr>
              <w:t xml:space="preserve"> </w:t>
            </w:r>
            <w:r w:rsidRPr="00D8617D" w:rsidR="00030E53">
              <w:rPr>
                <w:rFonts w:ascii="Times New Roman" w:hAnsi="Times New Roman" w:cs="Times New Roman"/>
                <w:szCs w:val="24"/>
              </w:rPr>
              <w:t>15</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Obchodovateľné dlžobné cenné papiere</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Počas prechodného obdobia uvedeného v článku 10, ale najneskôr do 31. decembra 2010, domáce a medzinárodné dlhopisy a ostatné obchodovateľné dlžobné cenné papiere, ktoré boli po prvýkrát emitované pred 1. marcom 2001 alebo v prípade ktorých pôvodné emisné prospekty boli schválené príslušnými orgánmi v zmysle smernice Rady 80/390/EHS (</w:t>
            </w:r>
            <w:r>
              <w:rPr>
                <w:rStyle w:val="FootnoteReference"/>
                <w:rFonts w:ascii="Times New Roman" w:hAnsi="Times New Roman" w:cs="Times New Roman"/>
                <w:rtl w:val="0"/>
              </w:rPr>
              <w:footnoteReference w:id="1"/>
            </w:r>
            <w:r w:rsidRPr="00D8617D">
              <w:rPr>
                <w:rFonts w:ascii="Times New Roman" w:hAnsi="Times New Roman" w:cs="Times New Roman"/>
              </w:rPr>
              <w:t>) alebo zodpovednými orgánmi v tretích krajinách pred uvedeným dňom, sa nepovažujú za pohľadávky v zmysle článku 6 ods. 1 písm. a) za podmienky, že sa 1. marca 2002 alebo po ňom nevydávajú žiadne ďalšie emisie takýchto dlžobných cenných papierov. Pokiaľ by však prechodné obdobie uvedené v článku 10 pokračovalo po 31. decembri 2010, ustanovenia tohoto článku sa budú naďalej uplatňovať iba ohľadom takých obchodovateľných dlžobných cenných papierov:</w:t>
            </w:r>
          </w:p>
          <w:p w:rsidR="00CE793F" w:rsidRPr="00D8617D" w:rsidP="00CE793F">
            <w:pPr>
              <w:ind w:left="540" w:hanging="540"/>
              <w:jc w:val="both"/>
              <w:rPr>
                <w:rFonts w:ascii="Times New Roman" w:hAnsi="Times New Roman" w:cs="Times New Roman"/>
              </w:rPr>
            </w:pPr>
            <w:r w:rsidRPr="00D8617D">
              <w:rPr>
                <w:rFonts w:ascii="Times New Roman" w:hAnsi="Times New Roman" w:cs="Times New Roman"/>
              </w:rPr>
              <w:t xml:space="preserve">– </w:t>
              <w:tab/>
              <w:t>ktoré obsahujú klauzuly o pripočítaní úroku zaplateného v inej krajine („gross-up“) alebo predčasnej náhrade a</w:t>
            </w:r>
          </w:p>
          <w:p w:rsidR="00CE793F" w:rsidRPr="00D8617D" w:rsidP="00CE793F">
            <w:pPr>
              <w:ind w:left="540" w:hanging="540"/>
              <w:jc w:val="both"/>
              <w:rPr>
                <w:rFonts w:ascii="Times New Roman" w:hAnsi="Times New Roman" w:cs="Times New Roman"/>
              </w:rPr>
            </w:pPr>
            <w:r w:rsidRPr="00D8617D">
              <w:rPr>
                <w:rFonts w:ascii="Times New Roman" w:hAnsi="Times New Roman" w:cs="Times New Roman"/>
              </w:rPr>
              <w:t xml:space="preserve">– </w:t>
              <w:tab/>
              <w:t>ak vyplácajúci zástupca vymedzený v článku 4 sídli v členskom štáte, ktorý uplatňuje zrážanú daň uvedenú v článku 11, pričom uvedený vyplácajúci zástupca vypláca úrok alebo zabezpečuje výplatu úroku v bezprostredný prospech vlastníka požitkov, ktorý sídli v ďalšom členskom štáte.</w:t>
            </w:r>
          </w:p>
          <w:p w:rsidR="00CE793F" w:rsidRPr="00D8617D" w:rsidP="00CE793F">
            <w:pPr>
              <w:jc w:val="both"/>
              <w:rPr>
                <w:rFonts w:ascii="Times New Roman" w:hAnsi="Times New Roman" w:cs="Times New Roman"/>
              </w:rPr>
            </w:pPr>
            <w:r w:rsidRPr="00D8617D">
              <w:rPr>
                <w:rFonts w:ascii="Times New Roman" w:hAnsi="Times New Roman" w:cs="Times New Roman"/>
              </w:rPr>
              <w:t>Ak sa 1. marca 2002 alebo po ňom uskutoční ďalšia emisia uvedeného obchodovateľného dlžobného cenného papiera emitovaného vládou alebo súvisiacim subjektom, ktorý koná ako správny orgán alebo ktorého úloha je uznávaná medzinárodnou zmluvou, ako sú vymedzené v prílohe, celá emisia takéhoto cenného papiera, pozostávajúca z pôvodnej emisie a akejkoľvek ďalšej emisie, sa považuje za pohľadávku v zmysle článku 6 ods. 1 písm. a).</w:t>
            </w:r>
          </w:p>
          <w:p w:rsidR="00CE793F" w:rsidRPr="00D8617D" w:rsidP="00CE793F">
            <w:pPr>
              <w:jc w:val="both"/>
              <w:rPr>
                <w:rFonts w:ascii="Times New Roman" w:hAnsi="Times New Roman" w:cs="Times New Roman"/>
              </w:rPr>
            </w:pPr>
            <w:r w:rsidRPr="00D8617D">
              <w:rPr>
                <w:rFonts w:ascii="Times New Roman" w:hAnsi="Times New Roman" w:cs="Times New Roman"/>
              </w:rPr>
              <w:t>Ak sa 1. marca 2002 alebo po ňom uskutoční emisia uvedeného obchodovateľného dlžobného cenného papiera emitovaného akýmkoľvek iným emitentom, na ktorého sa nevzťahuje druhý pododsek, takáto ďalšia emisia sa považuje za pohľadávku v zmysle článku 6 ods. 1 písm. a).</w:t>
            </w:r>
          </w:p>
          <w:p w:rsidR="00F103FD" w:rsidRPr="00D8617D" w:rsidP="00086DE5">
            <w:pPr>
              <w:jc w:val="both"/>
              <w:rPr>
                <w:rFonts w:ascii="Times New Roman" w:hAnsi="Times New Roman" w:cs="Times New Roman"/>
              </w:rPr>
            </w:pPr>
            <w:r w:rsidRPr="00D8617D" w:rsidR="00CE793F">
              <w:rPr>
                <w:rFonts w:ascii="Times New Roman" w:hAnsi="Times New Roman" w:cs="Times New Roman"/>
              </w:rPr>
              <w:t xml:space="preserve">2. </w:t>
              <w:tab/>
              <w:t>Nič v tomto článku nebráni členským štátom, aby zdaňovali príjem z obchodovateľných dlžobných cenných papierov uvedených v odseku 1 v súlade so svojimi vnútroštátnymi právami.</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r w:rsidRPr="00D8617D" w:rsidR="001008AB">
              <w:rPr>
                <w:rFonts w:ascii="Times New Roman" w:hAnsi="Times New Roman" w:cs="Times New Roman"/>
                <w:szCs w:val="24"/>
              </w:rPr>
              <w:t>n.a.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jc w:val="both"/>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r w:rsidRPr="00D8617D" w:rsidR="001008AB">
              <w:rPr>
                <w:rFonts w:ascii="Times New Roman" w:hAnsi="Times New Roman" w:cs="Times New Roman"/>
                <w:szCs w:val="24"/>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r w:rsidRPr="00D8617D" w:rsidR="00192925">
              <w:rPr>
                <w:rFonts w:ascii="Times New Roman" w:hAnsi="Times New Roman" w:cs="Times New Roman"/>
                <w:szCs w:val="24"/>
              </w:rPr>
              <w:t>Čl.</w:t>
            </w:r>
            <w:r w:rsidRPr="00D8617D" w:rsidR="000E7DE3">
              <w:rPr>
                <w:rFonts w:ascii="Times New Roman" w:hAnsi="Times New Roman" w:cs="Times New Roman"/>
                <w:szCs w:val="24"/>
              </w:rPr>
              <w:t xml:space="preserve"> </w:t>
            </w:r>
            <w:r w:rsidRPr="00D8617D" w:rsidR="00030E53">
              <w:rPr>
                <w:rFonts w:ascii="Times New Roman" w:hAnsi="Times New Roman" w:cs="Times New Roman"/>
                <w:szCs w:val="24"/>
              </w:rPr>
              <w:t>16</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rPr>
            </w:pPr>
            <w:r w:rsidRPr="00D8617D">
              <w:rPr>
                <w:rFonts w:ascii="Times New Roman" w:hAnsi="Times New Roman" w:cs="Times New Roman"/>
              </w:rPr>
              <w:t>KAPITOLA IV</w:t>
            </w:r>
          </w:p>
          <w:p w:rsidR="00CE793F" w:rsidRPr="00D8617D" w:rsidP="00CE793F">
            <w:pPr>
              <w:jc w:val="center"/>
              <w:rPr>
                <w:rFonts w:ascii="Times New Roman" w:hAnsi="Times New Roman" w:cs="Times New Roman"/>
                <w:b/>
              </w:rPr>
            </w:pPr>
            <w:r w:rsidRPr="00D8617D">
              <w:rPr>
                <w:rFonts w:ascii="Times New Roman" w:hAnsi="Times New Roman" w:cs="Times New Roman"/>
                <w:b/>
              </w:rPr>
              <w:t>RÔZNE A ZÁVEREČNÉ USTANOVENIA</w:t>
            </w:r>
          </w:p>
          <w:p w:rsidR="00CE793F" w:rsidRPr="00D8617D" w:rsidP="00CE793F">
            <w:pPr>
              <w:jc w:val="center"/>
              <w:rPr>
                <w:rFonts w:ascii="Times New Roman" w:hAnsi="Times New Roman" w:cs="Times New Roman"/>
                <w:b/>
              </w:rPr>
            </w:pPr>
            <w:r w:rsidRPr="00D8617D">
              <w:rPr>
                <w:rFonts w:ascii="Times New Roman" w:hAnsi="Times New Roman" w:cs="Times New Roman"/>
                <w:b/>
              </w:rPr>
              <w:t>Ostatné zrážané dane</w:t>
            </w:r>
          </w:p>
          <w:p w:rsidR="00F103FD" w:rsidRPr="00D8617D" w:rsidP="00CE793F">
            <w:pPr>
              <w:jc w:val="both"/>
              <w:rPr>
                <w:rFonts w:ascii="Times New Roman" w:hAnsi="Times New Roman" w:cs="Times New Roman"/>
              </w:rPr>
            </w:pPr>
            <w:r w:rsidRPr="00D8617D" w:rsidR="00CE793F">
              <w:rPr>
                <w:rFonts w:ascii="Times New Roman" w:hAnsi="Times New Roman" w:cs="Times New Roman"/>
              </w:rPr>
              <w:t>Táto smernica nebráni členským štátom vo vyberaní iných druhov zrážanej dane, ako sú uvedené v článku 11, v súlade s ich vnútroštátnymi právami alebo dohovormi o dvojitom zdanení.</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r w:rsidRPr="00D8617D">
              <w:rPr>
                <w:rFonts w:ascii="Times New Roman" w:hAnsi="Times New Roman" w:cs="Times New Roman"/>
                <w:szCs w:val="24"/>
              </w:rPr>
              <w:t>n.a.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jc w:val="both"/>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r w:rsidRPr="00D8617D">
              <w:rPr>
                <w:rFonts w:ascii="Times New Roman" w:hAnsi="Times New Roman" w:cs="Times New Roman"/>
                <w:szCs w:val="24"/>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r w:rsidRPr="00D8617D" w:rsidR="00192925">
              <w:rPr>
                <w:rFonts w:ascii="Times New Roman" w:hAnsi="Times New Roman" w:cs="Times New Roman"/>
                <w:szCs w:val="24"/>
              </w:rPr>
              <w:t>Čl.</w:t>
            </w:r>
            <w:r w:rsidRPr="00D8617D" w:rsidR="000E7DE3">
              <w:rPr>
                <w:rFonts w:ascii="Times New Roman" w:hAnsi="Times New Roman" w:cs="Times New Roman"/>
                <w:szCs w:val="24"/>
              </w:rPr>
              <w:t xml:space="preserve"> </w:t>
            </w:r>
            <w:r w:rsidRPr="00D8617D">
              <w:rPr>
                <w:rFonts w:ascii="Times New Roman" w:hAnsi="Times New Roman" w:cs="Times New Roman"/>
                <w:szCs w:val="24"/>
              </w:rPr>
              <w:t>17</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Transpozícia do vnútroštátneho práva</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1. </w:t>
              <w:tab/>
              <w:t>Do 1. januára 2004 členské štáty prijmú a zverejnia zákony, iné predpisy a správne opatrenia potrebné na dosiahnutie súladu s touto smernicou. Bezodkladne o tom informujú Komisiu.</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2. </w:t>
              <w:tab/>
              <w:t>Členské štáty uplatňujú tieto ustanovenia od 1. januára 2005 za podmienky, že:</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(i) </w:t>
              <w:tab/>
              <w:t>Švajčiarska konfederácia, Lichtenštajnské kniežatstvo, Republika San Marino, Monacké kniežatstvo a Andorrské kniežatstvo od tohoto istého dňa uplatňujú opatrenia, ktoré sú rovnocenné s opatreniami obsiahnutými v tejto smernici v súlade s dohodami uzatvorenými medzi nimi a Európskym spoločenstvom po jednomyseľných rozhodnutiach Rady;</w:t>
            </w:r>
          </w:p>
          <w:p w:rsidR="00CE793F" w:rsidRPr="00D8617D" w:rsidP="00EB4E8F">
            <w:pPr>
              <w:jc w:val="both"/>
              <w:rPr>
                <w:rFonts w:ascii="Times New Roman" w:hAnsi="Times New Roman" w:cs="Times New Roman"/>
              </w:rPr>
            </w:pPr>
            <w:r w:rsidRPr="00D8617D">
              <w:rPr>
                <w:rFonts w:ascii="Times New Roman" w:hAnsi="Times New Roman" w:cs="Times New Roman"/>
              </w:rPr>
              <w:t xml:space="preserve">(ii) </w:t>
              <w:tab/>
              <w:t>jestvujú všetky dohody alebo ostatné úpravy, ktoré stanovujú, že všetky príslušné závislé alebo pridružené územia (Normanské ostrovy, ostrov Man a závislé alebo pridružené územia Karibiku) od tohoto istého dňa uplatňujú automatickú výmenu informácií tým istým spôsobom, ako je ustanovené v kapitole II tejto smernice (alebo počas prechodného obdobia uvedeného v článku 10 uplatňujú zrážanú daň za takých istých podmienok, ako sú obsiahnuté v článkoch 11 a 12).</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3. </w:t>
              <w:tab/>
              <w:t>Rada najneskôr šesť mesiacov pred 1. januárom 2005 jednomyseľne rozhodne, či podmienka stanovená v odseku 2 bude splnená, pričom zohľadní dátumy nadobudnutia účinnosti príslušných opatrení v príslušných tretích krajinách a závislých alebo pridružených územiach. Ak Rada nerozhodne, že podmienka bude splnená, konajúc jednomyseľne na návrh Komisie prijme na účely odseku 2 nový dátum.</w:t>
            </w:r>
          </w:p>
          <w:p w:rsidR="00CE793F" w:rsidRPr="00D8617D" w:rsidP="00CE793F">
            <w:pPr>
              <w:jc w:val="both"/>
              <w:rPr>
                <w:rFonts w:ascii="Times New Roman" w:hAnsi="Times New Roman" w:cs="Times New Roman"/>
              </w:rPr>
            </w:pPr>
            <w:r w:rsidRPr="00D8617D">
              <w:rPr>
                <w:rFonts w:ascii="Times New Roman" w:hAnsi="Times New Roman" w:cs="Times New Roman"/>
              </w:rPr>
              <w:t xml:space="preserve">4. </w:t>
              <w:tab/>
              <w:t>Členské štáty uvedú priamo v prijatých ustanoveniach alebo pri ich úradnom uverejnení odkaz na túto smernicu. Podrobnosti o odkaze upravia členské štáty.</w:t>
            </w:r>
          </w:p>
          <w:p w:rsidR="000E7DE3" w:rsidRPr="00D8617D" w:rsidP="00CE793F">
            <w:pPr>
              <w:jc w:val="both"/>
              <w:rPr>
                <w:rFonts w:ascii="Times New Roman" w:hAnsi="Times New Roman" w:cs="Times New Roman"/>
              </w:rPr>
            </w:pPr>
          </w:p>
          <w:p w:rsidR="00BA210B" w:rsidRPr="00D8617D" w:rsidP="00086DE5">
            <w:pPr>
              <w:jc w:val="both"/>
              <w:rPr>
                <w:rFonts w:ascii="Times New Roman" w:hAnsi="Times New Roman" w:cs="Times New Roman"/>
              </w:rPr>
            </w:pPr>
            <w:r w:rsidRPr="00D8617D" w:rsidR="00CE793F">
              <w:rPr>
                <w:rFonts w:ascii="Times New Roman" w:hAnsi="Times New Roman" w:cs="Times New Roman"/>
              </w:rPr>
              <w:t xml:space="preserve">5. </w:t>
              <w:tab/>
              <w:t>Členské štáty o nich bezodkladne informujú Komisiu a oznámia Komisii znenie hlavných ustanovení vnútroštátnych právnych predpisov, ktoré prijmú v oblasti pôsobnosti tejto smernice spolu s tabuľkou, ktorá uvádza, ako sa ustanovenia tejto smernice zhodujú s prijatými vnútroštátnymi ustanoveniami.</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r w:rsidRPr="00D8617D" w:rsidR="001008AB">
              <w:rPr>
                <w:rFonts w:ascii="Times New Roman" w:hAnsi="Times New Roman" w:cs="Times New Roman"/>
                <w:szCs w:val="24"/>
              </w:rPr>
              <w:t>N</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r w:rsidRPr="00D8617D" w:rsidR="001008AB">
              <w:rPr>
                <w:rFonts w:ascii="Times New Roman" w:hAnsi="Times New Roman" w:cs="Times New Roman"/>
                <w:szCs w:val="24"/>
              </w:rPr>
              <w:t>§ 52a</w:t>
            </w: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008AB" w:rsidRPr="00D8617D">
            <w:pPr>
              <w:rPr>
                <w:rFonts w:ascii="Times New Roman" w:hAnsi="Times New Roman" w:cs="Times New Roman"/>
                <w:szCs w:val="24"/>
              </w:rPr>
            </w:pPr>
          </w:p>
          <w:p w:rsidR="00191315" w:rsidRPr="00D8617D">
            <w:pPr>
              <w:rPr>
                <w:rFonts w:ascii="Times New Roman" w:hAnsi="Times New Roman" w:cs="Times New Roman"/>
                <w:szCs w:val="24"/>
              </w:rPr>
            </w:pPr>
          </w:p>
          <w:p w:rsidR="00191315" w:rsidRPr="00D8617D">
            <w:pPr>
              <w:rPr>
                <w:rFonts w:ascii="Times New Roman" w:hAnsi="Times New Roman" w:cs="Times New Roman"/>
                <w:szCs w:val="24"/>
              </w:rPr>
            </w:pPr>
          </w:p>
          <w:p w:rsidR="00191315" w:rsidRPr="00D8617D">
            <w:pPr>
              <w:rPr>
                <w:rFonts w:ascii="Times New Roman" w:hAnsi="Times New Roman" w:cs="Times New Roman"/>
                <w:szCs w:val="24"/>
              </w:rPr>
            </w:pPr>
          </w:p>
          <w:p w:rsidR="00191315" w:rsidRPr="00D8617D">
            <w:pPr>
              <w:rPr>
                <w:rFonts w:ascii="Times New Roman" w:hAnsi="Times New Roman" w:cs="Times New Roman"/>
                <w:szCs w:val="24"/>
              </w:rPr>
            </w:pPr>
          </w:p>
          <w:p w:rsidR="00191315" w:rsidRPr="00D8617D">
            <w:pPr>
              <w:rPr>
                <w:rFonts w:ascii="Times New Roman" w:hAnsi="Times New Roman" w:cs="Times New Roman"/>
                <w:szCs w:val="24"/>
              </w:rPr>
            </w:pPr>
          </w:p>
          <w:p w:rsidR="00191315" w:rsidRPr="00D8617D">
            <w:pPr>
              <w:rPr>
                <w:rFonts w:ascii="Times New Roman" w:hAnsi="Times New Roman" w:cs="Times New Roman"/>
                <w:szCs w:val="24"/>
              </w:rPr>
            </w:pPr>
          </w:p>
          <w:p w:rsidR="001008AB" w:rsidRPr="00D8617D">
            <w:pPr>
              <w:rPr>
                <w:rFonts w:ascii="Times New Roman" w:hAnsi="Times New Roman" w:cs="Times New Roman"/>
                <w:szCs w:val="24"/>
              </w:rPr>
            </w:pPr>
            <w:r w:rsidRPr="00D8617D">
              <w:rPr>
                <w:rFonts w:ascii="Times New Roman" w:hAnsi="Times New Roman" w:cs="Times New Roman"/>
                <w:szCs w:val="24"/>
              </w:rPr>
              <w:t>Príloha č. 2 zákona č. 595/ 2003 Z.z.</w:t>
            </w: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008AB" w:rsidRPr="00D8617D" w:rsidP="001008AB">
            <w:pPr>
              <w:autoSpaceDE/>
              <w:autoSpaceDN/>
              <w:jc w:val="both"/>
              <w:rPr>
                <w:rFonts w:ascii="Times New Roman" w:hAnsi="Times New Roman" w:cs="Times New Roman"/>
              </w:rPr>
            </w:pPr>
            <w:r w:rsidRPr="00D8617D">
              <w:rPr>
                <w:rFonts w:ascii="Times New Roman" w:hAnsi="Times New Roman" w:cs="Times New Roman"/>
              </w:rPr>
              <w:t>Týmto zákonom sa preberajú právne akty Európskych spoločenstiev a Európskej únie uvedené v prílohe č. 2.</w:t>
            </w:r>
          </w:p>
          <w:p w:rsidR="00BA210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91315" w:rsidRPr="00D8617D">
            <w:pPr>
              <w:jc w:val="both"/>
              <w:rPr>
                <w:rFonts w:ascii="Times New Roman" w:hAnsi="Times New Roman" w:cs="Times New Roman"/>
                <w:szCs w:val="24"/>
              </w:rPr>
            </w:pPr>
          </w:p>
          <w:p w:rsidR="00191315" w:rsidRPr="00D8617D">
            <w:pPr>
              <w:jc w:val="both"/>
              <w:rPr>
                <w:rFonts w:ascii="Times New Roman" w:hAnsi="Times New Roman" w:cs="Times New Roman"/>
                <w:szCs w:val="24"/>
              </w:rPr>
            </w:pPr>
          </w:p>
          <w:p w:rsidR="00191315" w:rsidRPr="00D8617D">
            <w:pPr>
              <w:jc w:val="both"/>
              <w:rPr>
                <w:rFonts w:ascii="Times New Roman" w:hAnsi="Times New Roman" w:cs="Times New Roman"/>
                <w:szCs w:val="24"/>
              </w:rPr>
            </w:pPr>
          </w:p>
          <w:p w:rsidR="00191315" w:rsidRPr="00D8617D">
            <w:pPr>
              <w:jc w:val="both"/>
              <w:rPr>
                <w:rFonts w:ascii="Times New Roman" w:hAnsi="Times New Roman" w:cs="Times New Roman"/>
                <w:szCs w:val="24"/>
              </w:rPr>
            </w:pPr>
          </w:p>
          <w:p w:rsidR="00191315" w:rsidRPr="00D8617D">
            <w:pPr>
              <w:jc w:val="both"/>
              <w:rPr>
                <w:rFonts w:ascii="Times New Roman" w:hAnsi="Times New Roman" w:cs="Times New Roman"/>
                <w:szCs w:val="24"/>
              </w:rPr>
            </w:pPr>
          </w:p>
          <w:p w:rsidR="00191315" w:rsidRPr="00D8617D">
            <w:pPr>
              <w:jc w:val="both"/>
              <w:rPr>
                <w:rFonts w:ascii="Times New Roman" w:hAnsi="Times New Roman" w:cs="Times New Roman"/>
                <w:szCs w:val="24"/>
              </w:rPr>
            </w:pPr>
          </w:p>
          <w:p w:rsidR="00191315" w:rsidRPr="00D8617D">
            <w:pPr>
              <w:jc w:val="both"/>
              <w:rPr>
                <w:rFonts w:ascii="Times New Roman" w:hAnsi="Times New Roman" w:cs="Times New Roman"/>
                <w:szCs w:val="24"/>
              </w:rPr>
            </w:pPr>
          </w:p>
          <w:p w:rsidR="001008AB" w:rsidRPr="00D8617D">
            <w:pPr>
              <w:jc w:val="both"/>
              <w:rPr>
                <w:rFonts w:ascii="Times New Roman" w:hAnsi="Times New Roman" w:cs="Times New Roman"/>
                <w:szCs w:val="24"/>
              </w:rPr>
            </w:pPr>
          </w:p>
          <w:p w:rsidR="001008AB" w:rsidRPr="00D8617D" w:rsidP="001008AB">
            <w:pPr>
              <w:autoSpaceDE/>
              <w:autoSpaceDN/>
              <w:jc w:val="center"/>
              <w:rPr>
                <w:rFonts w:ascii="Times New Roman" w:hAnsi="Times New Roman" w:cs="Times New Roman"/>
                <w:bCs/>
              </w:rPr>
            </w:pPr>
            <w:r w:rsidRPr="00D8617D">
              <w:rPr>
                <w:rFonts w:ascii="Times New Roman" w:hAnsi="Times New Roman" w:cs="Times New Roman"/>
                <w:bCs/>
              </w:rPr>
              <w:t>ZOZNAM PREBERANÝCH PRÁVNYCH AKTOV</w:t>
            </w:r>
          </w:p>
          <w:p w:rsidR="001008AB" w:rsidRPr="00D8617D" w:rsidP="001008AB">
            <w:pPr>
              <w:autoSpaceDE/>
              <w:autoSpaceDN/>
              <w:jc w:val="center"/>
              <w:rPr>
                <w:rFonts w:ascii="Times New Roman" w:hAnsi="Times New Roman" w:cs="Times New Roman"/>
                <w:bCs/>
              </w:rPr>
            </w:pPr>
            <w:r w:rsidRPr="00D8617D">
              <w:rPr>
                <w:rFonts w:ascii="Times New Roman" w:hAnsi="Times New Roman" w:cs="Times New Roman"/>
                <w:bCs/>
              </w:rPr>
              <w:t>EURÓPSKYCH SPOLOČENSTIEV A EURÓPSKEJ ÚNIE</w:t>
            </w:r>
          </w:p>
          <w:p w:rsidR="001008AB" w:rsidRPr="00D8617D">
            <w:pPr>
              <w:jc w:val="both"/>
              <w:rPr>
                <w:rFonts w:ascii="Times New Roman" w:hAnsi="Times New Roman" w:cs="Times New Roman"/>
                <w:szCs w:val="24"/>
              </w:rPr>
            </w:pPr>
          </w:p>
          <w:p w:rsidR="001008AB" w:rsidRPr="00D8617D" w:rsidP="00191315">
            <w:pPr>
              <w:autoSpaceDE/>
              <w:autoSpaceDN/>
              <w:jc w:val="both"/>
              <w:rPr>
                <w:rFonts w:ascii="Times New Roman" w:hAnsi="Times New Roman" w:cs="Times New Roman"/>
              </w:rPr>
            </w:pPr>
            <w:r w:rsidRPr="00D8617D" w:rsidR="0013628D">
              <w:rPr>
                <w:rFonts w:ascii="Times New Roman" w:hAnsi="Times New Roman" w:cs="Times New Roman"/>
              </w:rPr>
              <w:t xml:space="preserve">4. </w:t>
            </w:r>
            <w:r w:rsidRPr="00D8617D">
              <w:rPr>
                <w:rFonts w:ascii="Times New Roman" w:hAnsi="Times New Roman" w:cs="Times New Roman"/>
              </w:rPr>
              <w:t>Smernica Rady 2003/48/ES   (OJ L 157 z 26. 06. 2003, s. 38 –  48).</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r w:rsidRPr="00D8617D" w:rsidR="001008AB">
              <w:rPr>
                <w:rFonts w:ascii="Times New Roman" w:hAnsi="Times New Roman" w:cs="Times New Roman"/>
                <w:szCs w:val="24"/>
              </w:rPr>
              <w:t>Ú</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p>
          <w:p w:rsidR="000E7DE3" w:rsidRPr="00D8617D">
            <w:pPr>
              <w:rPr>
                <w:rFonts w:ascii="Times New Roman" w:hAnsi="Times New Roman" w:cs="Times New Roman"/>
                <w:szCs w:val="24"/>
              </w:rPr>
            </w:pPr>
            <w:r w:rsidRPr="00D8617D">
              <w:rPr>
                <w:rFonts w:ascii="Times New Roman" w:hAnsi="Times New Roman" w:cs="Times New Roman"/>
                <w:szCs w:val="24"/>
              </w:rPr>
              <w:t>SR infor</w:t>
            </w:r>
            <w:r w:rsidRPr="00D8617D" w:rsidR="00191315">
              <w:rPr>
                <w:rFonts w:ascii="Times New Roman" w:hAnsi="Times New Roman" w:cs="Times New Roman"/>
                <w:szCs w:val="24"/>
              </w:rPr>
              <w:t>-</w:t>
            </w:r>
            <w:r w:rsidRPr="00D8617D">
              <w:rPr>
                <w:rFonts w:ascii="Times New Roman" w:hAnsi="Times New Roman" w:cs="Times New Roman"/>
                <w:szCs w:val="24"/>
              </w:rPr>
              <w:t>muje Komisiu prostred</w:t>
            </w:r>
            <w:r w:rsidRPr="00D8617D" w:rsidR="00191315">
              <w:rPr>
                <w:rFonts w:ascii="Times New Roman" w:hAnsi="Times New Roman" w:cs="Times New Roman"/>
                <w:szCs w:val="24"/>
              </w:rPr>
              <w:t>-</w:t>
            </w:r>
            <w:r w:rsidRPr="00D8617D">
              <w:rPr>
                <w:rFonts w:ascii="Times New Roman" w:hAnsi="Times New Roman" w:cs="Times New Roman"/>
                <w:szCs w:val="24"/>
              </w:rPr>
              <w:t>níctvom notifiká</w:t>
            </w:r>
            <w:r w:rsidRPr="00D8617D" w:rsidR="00191315">
              <w:rPr>
                <w:rFonts w:ascii="Times New Roman" w:hAnsi="Times New Roman" w:cs="Times New Roman"/>
                <w:szCs w:val="24"/>
              </w:rPr>
              <w:t>-</w:t>
            </w:r>
            <w:r w:rsidRPr="00D8617D">
              <w:rPr>
                <w:rFonts w:ascii="Times New Roman" w:hAnsi="Times New Roman" w:cs="Times New Roman"/>
                <w:szCs w:val="24"/>
              </w:rPr>
              <w:t>cie</w:t>
            </w: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r w:rsidRPr="00D8617D" w:rsidR="00192925">
              <w:rPr>
                <w:rFonts w:ascii="Times New Roman" w:hAnsi="Times New Roman" w:cs="Times New Roman"/>
                <w:szCs w:val="24"/>
              </w:rPr>
              <w:t>Čl.</w:t>
            </w:r>
            <w:r w:rsidRPr="00D8617D" w:rsidR="000E7DE3">
              <w:rPr>
                <w:rFonts w:ascii="Times New Roman" w:hAnsi="Times New Roman" w:cs="Times New Roman"/>
                <w:szCs w:val="24"/>
              </w:rPr>
              <w:t xml:space="preserve"> </w:t>
            </w:r>
            <w:r w:rsidRPr="00D8617D">
              <w:rPr>
                <w:rFonts w:ascii="Times New Roman" w:hAnsi="Times New Roman" w:cs="Times New Roman"/>
                <w:szCs w:val="24"/>
              </w:rPr>
              <w:t>18</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Prehodnotenie</w:t>
            </w:r>
          </w:p>
          <w:p w:rsidR="00BA210B" w:rsidRPr="00D8617D" w:rsidP="00086DE5">
            <w:pPr>
              <w:jc w:val="both"/>
              <w:rPr>
                <w:rFonts w:ascii="Times New Roman" w:hAnsi="Times New Roman" w:cs="Times New Roman"/>
              </w:rPr>
            </w:pPr>
            <w:r w:rsidRPr="00D8617D" w:rsidR="00CE793F">
              <w:rPr>
                <w:rFonts w:ascii="Times New Roman" w:hAnsi="Times New Roman" w:cs="Times New Roman"/>
              </w:rPr>
              <w:t>Komisia podáva každé tri roky Rade správu o uplatňovaní tejto smernice. Komisia na základe týchto správ, podľa potreby, navrhuje Rade akékoľvek zmeny a doplnenia smernice, ktoré sa ukazujú ako potrebné na lepšie zabezpečenie účinného zdaňovania príjmu z úspor a odstraňovania neželaných deformácií hospodárskej súťaže;</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r w:rsidRPr="00D8617D" w:rsidR="000E7DE3">
              <w:rPr>
                <w:rFonts w:ascii="Times New Roman" w:hAnsi="Times New Roman" w:cs="Times New Roman"/>
                <w:szCs w:val="24"/>
              </w:rPr>
              <w:t>n.a.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jc w:val="both"/>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r w:rsidRPr="00D8617D" w:rsidR="000E7DE3">
              <w:rPr>
                <w:rFonts w:ascii="Times New Roman" w:hAnsi="Times New Roman" w:cs="Times New Roman"/>
                <w:szCs w:val="24"/>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r w:rsidRPr="00D8617D" w:rsidR="00192925">
              <w:rPr>
                <w:rFonts w:ascii="Times New Roman" w:hAnsi="Times New Roman" w:cs="Times New Roman"/>
                <w:szCs w:val="24"/>
              </w:rPr>
              <w:t>Čl.</w:t>
            </w:r>
            <w:r w:rsidRPr="00D8617D" w:rsidR="000E7DE3">
              <w:rPr>
                <w:rFonts w:ascii="Times New Roman" w:hAnsi="Times New Roman" w:cs="Times New Roman"/>
                <w:szCs w:val="24"/>
              </w:rPr>
              <w:t xml:space="preserve"> </w:t>
            </w:r>
            <w:r w:rsidRPr="00D8617D">
              <w:rPr>
                <w:rFonts w:ascii="Times New Roman" w:hAnsi="Times New Roman" w:cs="Times New Roman"/>
                <w:szCs w:val="24"/>
              </w:rPr>
              <w:t>19</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Nadobudnutie účinnosti</w:t>
            </w:r>
          </w:p>
          <w:p w:rsidR="00BA210B" w:rsidRPr="00D8617D" w:rsidP="00CE793F">
            <w:pPr>
              <w:jc w:val="both"/>
              <w:rPr>
                <w:rFonts w:ascii="Times New Roman" w:hAnsi="Times New Roman" w:cs="Times New Roman"/>
              </w:rPr>
            </w:pPr>
            <w:r w:rsidRPr="00D8617D" w:rsidR="00CE793F">
              <w:rPr>
                <w:rFonts w:ascii="Times New Roman" w:hAnsi="Times New Roman" w:cs="Times New Roman"/>
              </w:rPr>
              <w:t>Táto smernica nadobúda účinnosť v 20. deň po jej uverejnení v </w:t>
            </w:r>
            <w:r w:rsidRPr="00D8617D" w:rsidR="00CE793F">
              <w:rPr>
                <w:rFonts w:ascii="Times New Roman" w:hAnsi="Times New Roman" w:cs="Times New Roman"/>
                <w:iCs/>
              </w:rPr>
              <w:t>Úradnom vestníku Európskej únie</w:t>
            </w:r>
            <w:r w:rsidRPr="00D8617D" w:rsidR="00CE793F">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r w:rsidRPr="00D8617D" w:rsidR="000E7DE3">
              <w:rPr>
                <w:rFonts w:ascii="Times New Roman" w:hAnsi="Times New Roman" w:cs="Times New Roman"/>
                <w:szCs w:val="24"/>
              </w:rPr>
              <w:t>n.a.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jc w:val="both"/>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r w:rsidRPr="00D8617D" w:rsidR="000E7DE3">
              <w:rPr>
                <w:rFonts w:ascii="Times New Roman" w:hAnsi="Times New Roman" w:cs="Times New Roman"/>
                <w:szCs w:val="24"/>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D8617D">
            <w:pPr>
              <w:rPr>
                <w:rFonts w:ascii="Times New Roman" w:hAnsi="Times New Roman" w:cs="Times New Roman"/>
                <w:szCs w:val="24"/>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D8617D">
            <w:pPr>
              <w:rPr>
                <w:rFonts w:ascii="Times New Roman" w:hAnsi="Times New Roman" w:cs="Times New Roman"/>
                <w:szCs w:val="24"/>
              </w:rPr>
            </w:pPr>
            <w:r w:rsidRPr="00D8617D" w:rsidR="00192925">
              <w:rPr>
                <w:rFonts w:ascii="Times New Roman" w:hAnsi="Times New Roman" w:cs="Times New Roman"/>
                <w:szCs w:val="24"/>
              </w:rPr>
              <w:t>Čl.</w:t>
            </w:r>
            <w:r w:rsidRPr="00D8617D" w:rsidR="000E7DE3">
              <w:rPr>
                <w:rFonts w:ascii="Times New Roman" w:hAnsi="Times New Roman" w:cs="Times New Roman"/>
                <w:szCs w:val="24"/>
              </w:rPr>
              <w:t xml:space="preserve"> </w:t>
            </w:r>
            <w:r w:rsidRPr="00D8617D">
              <w:rPr>
                <w:rFonts w:ascii="Times New Roman" w:hAnsi="Times New Roman" w:cs="Times New Roman"/>
                <w:szCs w:val="24"/>
              </w:rPr>
              <w:t>20</w:t>
            </w:r>
          </w:p>
        </w:tc>
        <w:tc>
          <w:tcPr>
            <w:tcW w:w="55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793F" w:rsidRPr="00D8617D" w:rsidP="00CE793F">
            <w:pPr>
              <w:jc w:val="center"/>
              <w:rPr>
                <w:rFonts w:ascii="Times New Roman" w:hAnsi="Times New Roman" w:cs="Times New Roman"/>
                <w:b/>
              </w:rPr>
            </w:pPr>
            <w:r w:rsidRPr="00D8617D">
              <w:rPr>
                <w:rFonts w:ascii="Times New Roman" w:hAnsi="Times New Roman" w:cs="Times New Roman"/>
                <w:b/>
              </w:rPr>
              <w:t>Adresáti</w:t>
            </w:r>
          </w:p>
          <w:p w:rsidR="00E44D55" w:rsidRPr="00D8617D" w:rsidP="00086DE5">
            <w:pPr>
              <w:jc w:val="both"/>
              <w:rPr>
                <w:rFonts w:ascii="Times New Roman" w:hAnsi="Times New Roman" w:cs="Times New Roman"/>
              </w:rPr>
            </w:pPr>
            <w:r w:rsidRPr="00D8617D" w:rsidR="00CE793F">
              <w:rPr>
                <w:rFonts w:ascii="Times New Roman" w:hAnsi="Times New Roman" w:cs="Times New Roman"/>
              </w:rPr>
              <w:t>Táto smernica je adresovaná členským štátom.</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D8617D">
            <w:pPr>
              <w:rPr>
                <w:rFonts w:ascii="Times New Roman" w:hAnsi="Times New Roman" w:cs="Times New Roman"/>
                <w:szCs w:val="24"/>
              </w:rPr>
            </w:pPr>
            <w:r w:rsidRPr="00D8617D" w:rsidR="000E7DE3">
              <w:rPr>
                <w:rFonts w:ascii="Times New Roman" w:hAnsi="Times New Roman" w:cs="Times New Roman"/>
                <w:szCs w:val="24"/>
              </w:rPr>
              <w:t>n.a.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D8617D">
            <w:pP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D8617D">
            <w:pPr>
              <w:rPr>
                <w:rFonts w:ascii="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D8617D">
            <w:pPr>
              <w:jc w:val="both"/>
              <w:rPr>
                <w:rFonts w:ascii="Times New Roman"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D8617D">
            <w:pPr>
              <w:rPr>
                <w:rFonts w:ascii="Times New Roman" w:hAnsi="Times New Roman" w:cs="Times New Roman"/>
                <w:szCs w:val="24"/>
              </w:rPr>
            </w:pPr>
            <w:r w:rsidRPr="00D8617D" w:rsidR="000E7DE3">
              <w:rPr>
                <w:rFonts w:ascii="Times New Roman" w:hAnsi="Times New Roman" w:cs="Times New Roman"/>
                <w:szCs w:val="24"/>
              </w:rPr>
              <w:t>N</w:t>
            </w:r>
          </w:p>
        </w:tc>
        <w:tc>
          <w:tcPr>
            <w:tcW w:w="6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D8617D">
            <w:pPr>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D8617D">
            <w:pPr>
              <w:rPr>
                <w:rFonts w:ascii="Times New Roman" w:hAnsi="Times New Roman" w:cs="Times New Roman"/>
                <w:szCs w:val="24"/>
              </w:rPr>
            </w:pPr>
          </w:p>
        </w:tc>
        <w:tc>
          <w:tcPr>
            <w:tcW w:w="5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D8617D">
            <w:pPr>
              <w:rPr>
                <w:rFonts w:ascii="Times New Roman" w:hAnsi="Times New Roman" w:cs="Times New Roman"/>
                <w:szCs w:val="24"/>
              </w:rPr>
            </w:pPr>
          </w:p>
        </w:tc>
      </w:tr>
    </w:tbl>
    <w:p w:rsidR="005F497C" w:rsidRPr="00D8617D" w:rsidP="005E44FD">
      <w:pPr>
        <w:rPr>
          <w:rFonts w:ascii="Times New Roman" w:hAnsi="Times New Roman" w:cs="Times New Roman"/>
        </w:rPr>
      </w:pPr>
      <w:r w:rsidRPr="00D8617D" w:rsidR="00EB4E8F">
        <w:rPr>
          <w:rFonts w:ascii="Times New Roman" w:hAnsi="Times New Roman" w:cs="Times New Roman"/>
        </w:rPr>
        <w:t xml:space="preserve"> </w:t>
      </w:r>
    </w:p>
    <w:sectPr>
      <w:footerReference w:type="even" r:id="rId5"/>
      <w:footerReference w:type="default" r:id="rId6"/>
      <w:pgSz w:w="16840" w:h="11907" w:orient="landscape" w:code="9"/>
      <w:pgMar w:top="1191" w:right="567" w:bottom="1191" w:left="567"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8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28428A">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8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5</w:t>
    </w:r>
    <w:r>
      <w:rPr>
        <w:rStyle w:val="PageNumber"/>
        <w:rFonts w:ascii="Times New Roman" w:hAnsi="Times New Roman" w:cs="Times New Roman"/>
      </w:rPr>
      <w:fldChar w:fldCharType="end"/>
    </w:r>
  </w:p>
  <w:p w:rsidR="0028428A">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R="0028428A" w:rsidP="00CE793F">
      <w:pPr>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rPr>
        <w:t>Ú. v. ES L 166, 28.6.1991, s. 77. Smernica naposledy zmenená a doplnená smernicou 2001/97/ES Európskeho parlamentu a Rady (Ú. v. ES L 344, 28.12.2001, s. 76).</w:t>
      </w:r>
    </w:p>
    <w:p w:rsidP="00CE793F">
      <w:pPr>
        <w:pStyle w:val="FootnoteText"/>
        <w:rPr>
          <w:rFonts w:ascii="Times New Roman" w:hAnsi="Times New Roman" w:cs="Times New Roman"/>
        </w:rPr>
      </w:pPr>
    </w:p>
  </w:footnote>
  <w:footnote w:id="1">
    <w:p w:rsidP="00CE793F">
      <w:pPr>
        <w:pStyle w:val="FootnoteText"/>
        <w:rPr>
          <w:rFonts w:ascii="Times New Roman" w:hAnsi="Times New Roman" w:cs="Times New Roman"/>
        </w:rPr>
      </w:pPr>
      <w:r w:rsidR="0028428A">
        <w:rPr>
          <w:rStyle w:val="FootnoteReference"/>
          <w:rFonts w:ascii="Times New Roman" w:hAnsi="Times New Roman" w:cs="Times New Roman"/>
        </w:rPr>
        <w:footnoteRef/>
      </w:r>
      <w:r w:rsidR="0028428A">
        <w:rPr>
          <w:rFonts w:ascii="Times New Roman" w:hAnsi="Times New Roman" w:cs="Times New Roman"/>
        </w:rPr>
        <w:t xml:space="preserve"> Ú. v. ES L 100, 17.4.1980, s. 1. Smernica naposledy zmenená a doplnená smernicou 2001/34/ES Európskeho parlamentu a Rady (Ú. v. ES L 184, 6.7.2001, s.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0D02A9"/>
    <w:multiLevelType w:val="singleLevel"/>
    <w:tmpl w:val="0405000F"/>
    <w:lvl w:ilvl="0">
      <w:start w:val="1"/>
      <w:numFmt w:val="decimal"/>
      <w:lvlText w:val="%1."/>
      <w:lvlJc w:val="left"/>
      <w:pPr>
        <w:tabs>
          <w:tab w:val="num" w:pos="360"/>
        </w:tabs>
        <w:ind w:left="360" w:hanging="360"/>
      </w:pPr>
    </w:lvl>
  </w:abstractNum>
  <w:abstractNum w:abstractNumId="2">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155B7714"/>
    <w:multiLevelType w:val="singleLevel"/>
    <w:tmpl w:val="60C0363A"/>
    <w:lvl w:ilvl="0">
      <w:start w:val="1"/>
      <w:numFmt w:val="decimal"/>
      <w:lvlText w:val="%1."/>
      <w:lvlJc w:val="left"/>
      <w:pPr>
        <w:tabs>
          <w:tab w:val="num" w:pos="360"/>
        </w:tabs>
        <w:ind w:left="360" w:hanging="360"/>
      </w:pPr>
    </w:lvl>
  </w:abstractNum>
  <w:abstractNum w:abstractNumId="7">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887393"/>
    <w:multiLevelType w:val="singleLevel"/>
    <w:tmpl w:val="74347696"/>
    <w:lvl w:ilvl="0">
      <w:start w:val="1"/>
      <w:numFmt w:val="lowerLetter"/>
      <w:lvlText w:val="(%1)"/>
      <w:lvlJc w:val="left"/>
      <w:pPr>
        <w:tabs>
          <w:tab w:val="num" w:pos="360"/>
        </w:tabs>
        <w:ind w:left="360" w:hanging="360"/>
      </w:pPr>
    </w:lvl>
  </w:abstractNum>
  <w:abstractNum w:abstractNumId="9">
    <w:nsid w:val="24481AC7"/>
    <w:multiLevelType w:val="singleLevel"/>
    <w:tmpl w:val="DCE874A2"/>
    <w:lvl w:ilvl="0">
      <w:start w:val="1"/>
      <w:numFmt w:val="lowerLetter"/>
      <w:lvlText w:val="(%1)"/>
      <w:lvlJc w:val="left"/>
      <w:pPr>
        <w:tabs>
          <w:tab w:val="num" w:pos="405"/>
        </w:tabs>
        <w:ind w:left="405" w:hanging="405"/>
      </w:pPr>
    </w:lvl>
  </w:abstractNum>
  <w:abstractNum w:abstractNumId="10">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2">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3">
    <w:nsid w:val="335E528E"/>
    <w:multiLevelType w:val="singleLevel"/>
    <w:tmpl w:val="04050017"/>
    <w:lvl w:ilvl="0">
      <w:start w:val="1"/>
      <w:numFmt w:val="lowerLetter"/>
      <w:lvlText w:val="%1)"/>
      <w:lvlJc w:val="left"/>
      <w:pPr>
        <w:tabs>
          <w:tab w:val="num" w:pos="360"/>
        </w:tabs>
        <w:ind w:left="360" w:hanging="360"/>
      </w:pPr>
    </w:lvl>
  </w:abstractNum>
  <w:abstractNum w:abstractNumId="14">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6">
    <w:nsid w:val="39621A1C"/>
    <w:multiLevelType w:val="singleLevel"/>
    <w:tmpl w:val="60C0363A"/>
    <w:lvl w:ilvl="0">
      <w:start w:val="1"/>
      <w:numFmt w:val="decimal"/>
      <w:lvlText w:val="%1."/>
      <w:lvlJc w:val="left"/>
      <w:pPr>
        <w:tabs>
          <w:tab w:val="num" w:pos="360"/>
        </w:tabs>
        <w:ind w:left="360" w:hanging="360"/>
      </w:pPr>
    </w:lvl>
  </w:abstractNum>
  <w:abstractNum w:abstractNumId="17">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18">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9">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20">
    <w:nsid w:val="4AB53BF8"/>
    <w:multiLevelType w:val="singleLevel"/>
    <w:tmpl w:val="74347696"/>
    <w:lvl w:ilvl="0">
      <w:start w:val="1"/>
      <w:numFmt w:val="lowerLetter"/>
      <w:lvlText w:val="(%1)"/>
      <w:lvlJc w:val="left"/>
      <w:pPr>
        <w:tabs>
          <w:tab w:val="num" w:pos="360"/>
        </w:tabs>
        <w:ind w:left="360" w:hanging="360"/>
      </w:pPr>
    </w:lvl>
  </w:abstractNum>
  <w:abstractNum w:abstractNumId="21">
    <w:nsid w:val="4D6315C5"/>
    <w:multiLevelType w:val="singleLevel"/>
    <w:tmpl w:val="D4147E0A"/>
    <w:lvl w:ilvl="0">
      <w:start w:val="1"/>
      <w:numFmt w:val="decimal"/>
      <w:lvlText w:val="%1."/>
      <w:lvlJc w:val="left"/>
      <w:pPr>
        <w:tabs>
          <w:tab w:val="num" w:pos="360"/>
        </w:tabs>
        <w:ind w:left="360" w:hanging="360"/>
      </w:pPr>
    </w:lvl>
  </w:abstractNum>
  <w:abstractNum w:abstractNumId="22">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2A306F0"/>
    <w:multiLevelType w:val="singleLevel"/>
    <w:tmpl w:val="D25EFEA4"/>
    <w:lvl w:ilvl="0">
      <w:start w:val="2"/>
      <w:numFmt w:val="decimal"/>
      <w:lvlText w:val="%1."/>
      <w:lvlJc w:val="left"/>
      <w:pPr>
        <w:tabs>
          <w:tab w:val="num" w:pos="360"/>
        </w:tabs>
        <w:ind w:left="360" w:hanging="360"/>
      </w:pPr>
    </w:lvl>
  </w:abstractNum>
  <w:abstractNum w:abstractNumId="25">
    <w:nsid w:val="54C979E8"/>
    <w:multiLevelType w:val="hybridMultilevel"/>
    <w:tmpl w:val="B6B00C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7">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9886CB8"/>
    <w:multiLevelType w:val="singleLevel"/>
    <w:tmpl w:val="47F2A718"/>
    <w:lvl w:ilvl="0">
      <w:start w:val="1"/>
      <w:numFmt w:val="decimal"/>
      <w:lvlText w:val="(%1)"/>
      <w:lvlJc w:val="left"/>
      <w:pPr>
        <w:tabs>
          <w:tab w:val="num" w:pos="941"/>
        </w:tabs>
        <w:ind w:left="941" w:hanging="375"/>
      </w:pPr>
    </w:lvl>
  </w:abstractNum>
  <w:abstractNum w:abstractNumId="29">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1AA1045"/>
    <w:multiLevelType w:val="singleLevel"/>
    <w:tmpl w:val="D4147E0A"/>
    <w:lvl w:ilvl="0">
      <w:start w:val="1"/>
      <w:numFmt w:val="decimal"/>
      <w:lvlText w:val="%1."/>
      <w:lvlJc w:val="left"/>
      <w:pPr>
        <w:tabs>
          <w:tab w:val="num" w:pos="360"/>
        </w:tabs>
        <w:ind w:left="360" w:hanging="360"/>
      </w:pPr>
    </w:lvl>
  </w:abstractNum>
  <w:abstractNum w:abstractNumId="31">
    <w:nsid w:val="6426614B"/>
    <w:multiLevelType w:val="singleLevel"/>
    <w:tmpl w:val="002E4AC0"/>
    <w:lvl w:ilvl="0">
      <w:start w:val="2"/>
      <w:numFmt w:val="bullet"/>
      <w:lvlText w:val="-"/>
      <w:lvlJc w:val="left"/>
      <w:pPr>
        <w:tabs>
          <w:tab w:val="num" w:pos="360"/>
        </w:tabs>
        <w:ind w:left="360" w:hanging="360"/>
      </w:pPr>
    </w:lvl>
  </w:abstractNum>
  <w:abstractNum w:abstractNumId="32">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3">
    <w:nsid w:val="68641F44"/>
    <w:multiLevelType w:val="singleLevel"/>
    <w:tmpl w:val="04050017"/>
    <w:lvl w:ilvl="0">
      <w:start w:val="1"/>
      <w:numFmt w:val="lowerLetter"/>
      <w:lvlText w:val="%1)"/>
      <w:lvlJc w:val="left"/>
      <w:pPr>
        <w:tabs>
          <w:tab w:val="num" w:pos="360"/>
        </w:tabs>
        <w:ind w:left="360" w:hanging="360"/>
      </w:pPr>
    </w:lvl>
  </w:abstractNum>
  <w:abstractNum w:abstractNumId="34">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35">
    <w:nsid w:val="6F817ED8"/>
    <w:multiLevelType w:val="singleLevel"/>
    <w:tmpl w:val="60C0363A"/>
    <w:lvl w:ilvl="0">
      <w:start w:val="1"/>
      <w:numFmt w:val="decimal"/>
      <w:lvlText w:val="%1."/>
      <w:lvlJc w:val="left"/>
      <w:pPr>
        <w:tabs>
          <w:tab w:val="num" w:pos="360"/>
        </w:tabs>
        <w:ind w:left="360" w:hanging="360"/>
      </w:pPr>
    </w:lvl>
  </w:abstractNum>
  <w:abstractNum w:abstractNumId="36">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num w:numId="1">
    <w:abstractNumId w:val="17"/>
  </w:num>
  <w:num w:numId="2">
    <w:abstractNumId w:val="1"/>
  </w:num>
  <w:num w:numId="3">
    <w:abstractNumId w:val="16"/>
  </w:num>
  <w:num w:numId="4">
    <w:abstractNumId w:val="9"/>
  </w:num>
  <w:num w:numId="5">
    <w:abstractNumId w:val="31"/>
  </w:num>
  <w:num w:numId="6">
    <w:abstractNumId w:val="20"/>
  </w:num>
  <w:num w:numId="7">
    <w:abstractNumId w:val="8"/>
  </w:num>
  <w:num w:numId="8">
    <w:abstractNumId w:val="30"/>
  </w:num>
  <w:num w:numId="9">
    <w:abstractNumId w:val="11"/>
  </w:num>
  <w:num w:numId="10">
    <w:abstractNumId w:val="34"/>
  </w:num>
  <w:num w:numId="11">
    <w:abstractNumId w:val="35"/>
  </w:num>
  <w:num w:numId="12">
    <w:abstractNumId w:val="3"/>
  </w:num>
  <w:num w:numId="13">
    <w:abstractNumId w:val="24"/>
  </w:num>
  <w:num w:numId="14">
    <w:abstractNumId w:val="21"/>
  </w:num>
  <w:num w:numId="15">
    <w:abstractNumId w:val="6"/>
  </w:num>
  <w:num w:numId="16">
    <w:abstractNumId w:val="23"/>
  </w:num>
  <w:num w:numId="17">
    <w:abstractNumId w:val="32"/>
  </w:num>
  <w:num w:numId="18">
    <w:abstractNumId w:val="19"/>
  </w:num>
  <w:num w:numId="19">
    <w:abstractNumId w:val="15"/>
  </w:num>
  <w:num w:numId="20">
    <w:abstractNumId w:val="12"/>
  </w:num>
  <w:num w:numId="21">
    <w:abstractNumId w:val="2"/>
  </w:num>
  <w:num w:numId="22">
    <w:abstractNumId w:val="36"/>
  </w:num>
  <w:num w:numId="23">
    <w:abstractNumId w:val="10"/>
  </w:num>
  <w:num w:numId="24">
    <w:abstractNumId w:val="18"/>
  </w:num>
  <w:num w:numId="25">
    <w:abstractNumId w:val="22"/>
  </w:num>
  <w:num w:numId="26">
    <w:abstractNumId w:val="5"/>
  </w:num>
  <w:num w:numId="27">
    <w:abstractNumId w:val="29"/>
  </w:num>
  <w:num w:numId="28">
    <w:abstractNumId w:val="33"/>
  </w:num>
  <w:num w:numId="29">
    <w:abstractNumId w:val="7"/>
  </w:num>
  <w:num w:numId="30">
    <w:abstractNumId w:val="13"/>
  </w:num>
  <w:num w:numId="31">
    <w:abstractNumId w:val="4"/>
  </w:num>
  <w:num w:numId="32">
    <w:abstractNumId w:val="26"/>
  </w:num>
  <w:num w:numId="33">
    <w:abstractNumId w:val="27"/>
  </w:num>
  <w:num w:numId="34">
    <w:abstractNumId w:val="28"/>
  </w:num>
  <w:num w:numId="35">
    <w:abstractNumId w:val="14"/>
  </w:num>
  <w:num w:numId="36">
    <w:abstractNumId w:val="0"/>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0E53"/>
    <w:rsid w:val="00065426"/>
    <w:rsid w:val="0007026D"/>
    <w:rsid w:val="00077476"/>
    <w:rsid w:val="00085799"/>
    <w:rsid w:val="00086DE5"/>
    <w:rsid w:val="00092580"/>
    <w:rsid w:val="000B6870"/>
    <w:rsid w:val="000C7EF1"/>
    <w:rsid w:val="000E7DE3"/>
    <w:rsid w:val="001008AB"/>
    <w:rsid w:val="0013628D"/>
    <w:rsid w:val="00191315"/>
    <w:rsid w:val="00192925"/>
    <w:rsid w:val="001B1E57"/>
    <w:rsid w:val="001C1A52"/>
    <w:rsid w:val="001D0E45"/>
    <w:rsid w:val="00227A97"/>
    <w:rsid w:val="0025003E"/>
    <w:rsid w:val="00252F5B"/>
    <w:rsid w:val="0028428A"/>
    <w:rsid w:val="00290798"/>
    <w:rsid w:val="002A5890"/>
    <w:rsid w:val="00317F51"/>
    <w:rsid w:val="003339A2"/>
    <w:rsid w:val="00402D55"/>
    <w:rsid w:val="00433241"/>
    <w:rsid w:val="0045126B"/>
    <w:rsid w:val="004F1478"/>
    <w:rsid w:val="00502775"/>
    <w:rsid w:val="00531F65"/>
    <w:rsid w:val="005C47CE"/>
    <w:rsid w:val="005E44FD"/>
    <w:rsid w:val="005F390D"/>
    <w:rsid w:val="005F497C"/>
    <w:rsid w:val="00632323"/>
    <w:rsid w:val="00640B74"/>
    <w:rsid w:val="006743E9"/>
    <w:rsid w:val="00674F41"/>
    <w:rsid w:val="006C7016"/>
    <w:rsid w:val="006F2557"/>
    <w:rsid w:val="0075238E"/>
    <w:rsid w:val="00775A4E"/>
    <w:rsid w:val="008C264F"/>
    <w:rsid w:val="008C5C9C"/>
    <w:rsid w:val="008F4F05"/>
    <w:rsid w:val="009271C2"/>
    <w:rsid w:val="00972FF1"/>
    <w:rsid w:val="00987825"/>
    <w:rsid w:val="00A2303A"/>
    <w:rsid w:val="00AB6BDA"/>
    <w:rsid w:val="00AF30A3"/>
    <w:rsid w:val="00B05CB6"/>
    <w:rsid w:val="00B135FE"/>
    <w:rsid w:val="00B32964"/>
    <w:rsid w:val="00B63D8C"/>
    <w:rsid w:val="00B74452"/>
    <w:rsid w:val="00BA210B"/>
    <w:rsid w:val="00BC06EF"/>
    <w:rsid w:val="00BC42E5"/>
    <w:rsid w:val="00C41E17"/>
    <w:rsid w:val="00CE313E"/>
    <w:rsid w:val="00CE793F"/>
    <w:rsid w:val="00CF1893"/>
    <w:rsid w:val="00CF7BD1"/>
    <w:rsid w:val="00D1040A"/>
    <w:rsid w:val="00D6376C"/>
    <w:rsid w:val="00D76DCA"/>
    <w:rsid w:val="00D8617D"/>
    <w:rsid w:val="00E36C75"/>
    <w:rsid w:val="00E44D55"/>
    <w:rsid w:val="00EB29CD"/>
    <w:rsid w:val="00EB4E8F"/>
    <w:rsid w:val="00ED036B"/>
    <w:rsid w:val="00EF2CEF"/>
    <w:rsid w:val="00F103FD"/>
    <w:rsid w:val="00F108EB"/>
    <w:rsid w:val="00F12FF6"/>
    <w:rsid w:val="00FA251F"/>
    <w:rsid w:val="00FB395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97"/>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720"/>
      </w:tabs>
      <w:spacing w:before="120" w:after="120"/>
      <w:ind w:left="720" w:hanging="360"/>
      <w:jc w:val="both"/>
    </w:pPr>
    <w:rPr>
      <w:szCs w:val="24"/>
      <w:lang w:val="en-GB" w:eastAsia="ko-KR"/>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413</TotalTime>
  <Pages>1</Pages>
  <Words>5318</Words>
  <Characters>31382</Characters>
  <Application>Microsoft Office Word</Application>
  <DocSecurity>0</DocSecurity>
  <Lines>0</Lines>
  <Paragraphs>0</Paragraphs>
  <ScaleCrop>false</ScaleCrop>
  <Company>Ministry of Finance</Company>
  <LinksUpToDate>false</LinksUpToDate>
  <CharactersWithSpaces>36627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Zamecnikova Petra</dc:creator>
  <cp:lastModifiedBy>rkurka</cp:lastModifiedBy>
  <cp:revision>11</cp:revision>
  <cp:lastPrinted>2004-07-29T09:19:00Z</cp:lastPrinted>
  <dcterms:created xsi:type="dcterms:W3CDTF">2004-07-28T13:13:00Z</dcterms:created>
  <dcterms:modified xsi:type="dcterms:W3CDTF">2004-08-03T11:59:00Z</dcterms:modified>
</cp:coreProperties>
</file>