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3C2E" w:rsidRPr="0081793F" w:rsidP="00E5758A">
      <w:pPr>
        <w:jc w:val="center"/>
        <w:rPr>
          <w:rFonts w:ascii="Times New Roman" w:hAnsi="Times New Roman" w:cs="Times New Roman"/>
          <w:b/>
          <w:lang w:val="sk-SK"/>
        </w:rPr>
      </w:pPr>
      <w:r w:rsidRPr="0081793F">
        <w:rPr>
          <w:rFonts w:ascii="Times New Roman" w:hAnsi="Times New Roman" w:cs="Times New Roman"/>
          <w:b/>
          <w:lang w:val="sk-SK"/>
        </w:rPr>
        <w:t>TABUĽKA ZHODY</w:t>
      </w:r>
    </w:p>
    <w:p w:rsidR="00E5758A" w:rsidRPr="0081793F" w:rsidP="00E5758A">
      <w:pPr>
        <w:jc w:val="center"/>
        <w:rPr>
          <w:rFonts w:ascii="Times New Roman" w:hAnsi="Times New Roman" w:cs="Times New Roman"/>
          <w:b/>
        </w:rPr>
      </w:pPr>
      <w:r w:rsidRPr="0081793F">
        <w:rPr>
          <w:rFonts w:ascii="Times New Roman" w:hAnsi="Times New Roman" w:cs="Times New Roman"/>
          <w:b/>
          <w:lang w:val="sk-SK"/>
        </w:rPr>
        <w:t>k návrhu zákona,</w:t>
      </w:r>
      <w:r w:rsidRPr="0081793F">
        <w:rPr>
          <w:rFonts w:ascii="Times New Roman" w:hAnsi="Times New Roman" w:cs="Times New Roman"/>
          <w:b/>
        </w:rPr>
        <w:t xml:space="preserve"> ktorým sa mení a dopĺňa zákon č. 595/2003 Z. z. o dani z príjmov v znení neskorších predpisov</w:t>
      </w:r>
    </w:p>
    <w:p w:rsidR="007D3C2E" w:rsidRPr="0081793F" w:rsidP="00CA48DB">
      <w:pPr>
        <w:jc w:val="center"/>
        <w:rPr>
          <w:rFonts w:ascii="Times New Roman" w:hAnsi="Times New Roman" w:cs="Times New Roman"/>
          <w:b/>
          <w:lang w:val="sk-SK"/>
        </w:rPr>
      </w:pPr>
      <w:r w:rsidRPr="0081793F">
        <w:rPr>
          <w:rFonts w:ascii="Times New Roman" w:hAnsi="Times New Roman" w:cs="Times New Roman"/>
          <w:b/>
          <w:lang w:val="sk-SK"/>
        </w:rPr>
        <w:t xml:space="preserve">daniach  z príjmov s právom </w:t>
      </w:r>
      <w:r w:rsidRPr="0081793F" w:rsidR="00B62FB3">
        <w:rPr>
          <w:rFonts w:ascii="Times New Roman" w:hAnsi="Times New Roman" w:cs="Times New Roman"/>
          <w:b/>
          <w:lang w:val="sk-SK"/>
        </w:rPr>
        <w:t>Európskych spoločenstiev a s právom Európskej únie</w:t>
      </w:r>
    </w:p>
    <w:tbl>
      <w:tblPr>
        <w:tblW w:w="1525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25"/>
        <w:gridCol w:w="4565"/>
        <w:gridCol w:w="539"/>
        <w:gridCol w:w="567"/>
        <w:gridCol w:w="708"/>
        <w:gridCol w:w="4536"/>
        <w:gridCol w:w="426"/>
        <w:gridCol w:w="708"/>
        <w:gridCol w:w="2127"/>
        <w:gridCol w:w="651"/>
      </w:tblGrid>
      <w:tr>
        <w:tblPrEx>
          <w:tblW w:w="1525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hRule="auto" w:val="0"/>
        </w:trPr>
        <w:tc>
          <w:tcPr>
            <w:tcW w:w="5529"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7D3C2E" w:rsidRPr="0081793F">
            <w:pPr>
              <w:pStyle w:val="Heading1"/>
              <w:rPr>
                <w:rFonts w:ascii="Times New Roman" w:hAnsi="Times New Roman" w:cs="Times New Roman"/>
              </w:rPr>
            </w:pPr>
            <w:r w:rsidRPr="0081793F">
              <w:rPr>
                <w:rFonts w:ascii="Times New Roman" w:hAnsi="Times New Roman" w:cs="Times New Roman"/>
              </w:rPr>
              <w:t>Právny akt E</w:t>
            </w:r>
            <w:r w:rsidRPr="0081793F" w:rsidR="00B62FB3">
              <w:rPr>
                <w:rFonts w:ascii="Times New Roman" w:hAnsi="Times New Roman" w:cs="Times New Roman"/>
              </w:rPr>
              <w:t>S/E</w:t>
            </w:r>
            <w:r w:rsidRPr="0081793F">
              <w:rPr>
                <w:rFonts w:ascii="Times New Roman" w:hAnsi="Times New Roman" w:cs="Times New Roman"/>
              </w:rPr>
              <w:t>Ú</w:t>
            </w:r>
          </w:p>
          <w:p w:rsidR="00E5758A" w:rsidRPr="0081793F" w:rsidP="00E5758A">
            <w:pPr>
              <w:pStyle w:val="Title"/>
              <w:jc w:val="left"/>
              <w:rPr>
                <w:rFonts w:ascii="Times New Roman" w:hAnsi="Times New Roman" w:cs="Times New Roman"/>
              </w:rPr>
            </w:pPr>
            <w:r w:rsidRPr="0081793F" w:rsidR="007D3C2E">
              <w:rPr>
                <w:rFonts w:ascii="Times New Roman" w:hAnsi="Times New Roman" w:cs="Times New Roman"/>
              </w:rPr>
              <w:t xml:space="preserve">Smernica  </w:t>
            </w:r>
            <w:r w:rsidRPr="0081793F" w:rsidR="002B0042">
              <w:rPr>
                <w:rFonts w:ascii="Times New Roman" w:hAnsi="Times New Roman" w:cs="Times New Roman"/>
              </w:rPr>
              <w:t xml:space="preserve">č. </w:t>
            </w:r>
            <w:r w:rsidRPr="0081793F" w:rsidR="007D3C2E">
              <w:rPr>
                <w:rFonts w:ascii="Times New Roman" w:hAnsi="Times New Roman" w:cs="Times New Roman"/>
              </w:rPr>
              <w:t>90/434</w:t>
            </w:r>
            <w:r w:rsidRPr="0081793F" w:rsidR="00C74A71">
              <w:rPr>
                <w:rFonts w:ascii="Times New Roman" w:hAnsi="Times New Roman" w:cs="Times New Roman"/>
              </w:rPr>
              <w:t>/EHS</w:t>
            </w:r>
            <w:r w:rsidRPr="0081793F" w:rsidR="00B62FB3">
              <w:rPr>
                <w:rFonts w:ascii="Times New Roman" w:hAnsi="Times New Roman" w:cs="Times New Roman"/>
              </w:rPr>
              <w:t xml:space="preserve"> z 23. júla 1990  o spoločnom systéme zdaňovania obchodných spoločností rôznych členských štátov  pri  zlučovaní,  rozdeľovaní a prevode aktív a výmene akcií</w:t>
            </w:r>
          </w:p>
        </w:tc>
        <w:tc>
          <w:tcPr>
            <w:tcW w:w="972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7D3C2E" w:rsidRPr="0081793F">
            <w:pPr>
              <w:rPr>
                <w:rFonts w:ascii="Times New Roman" w:hAnsi="Times New Roman" w:cs="Times New Roman"/>
                <w:b/>
                <w:lang w:val="sk-SK"/>
              </w:rPr>
            </w:pPr>
            <w:r w:rsidRPr="0081793F">
              <w:rPr>
                <w:rFonts w:ascii="Times New Roman" w:hAnsi="Times New Roman" w:cs="Times New Roman"/>
                <w:b/>
                <w:lang w:val="sk-SK"/>
              </w:rPr>
              <w:t>Všeobecne záväzné právne predpisy SR</w:t>
            </w:r>
          </w:p>
          <w:p w:rsidR="00E5758A" w:rsidRPr="0081793F" w:rsidP="00E5758A">
            <w:pPr>
              <w:rPr>
                <w:rFonts w:ascii="Times New Roman" w:hAnsi="Times New Roman" w:cs="Times New Roman"/>
                <w:b/>
              </w:rPr>
            </w:pPr>
            <w:r w:rsidRPr="0081793F">
              <w:rPr>
                <w:rFonts w:ascii="Times New Roman" w:hAnsi="Times New Roman" w:cs="Times New Roman"/>
                <w:b/>
              </w:rPr>
              <w:t>Návrh zákona, ktorým sa mení a dopĺňa zákon č. 595/2003 Z. z. o dani z pr</w:t>
            </w:r>
            <w:r w:rsidRPr="0081793F">
              <w:rPr>
                <w:rFonts w:ascii="Times New Roman" w:hAnsi="Times New Roman" w:cs="Times New Roman"/>
                <w:b/>
              </w:rPr>
              <w:t>íjmov v znení neskorších predpisov</w:t>
            </w:r>
          </w:p>
          <w:p w:rsidR="00E5758A" w:rsidRPr="0081793F" w:rsidP="00E5758A">
            <w:pPr>
              <w:rPr>
                <w:rFonts w:ascii="Times New Roman" w:hAnsi="Times New Roman" w:cs="Times New Roman"/>
                <w:b/>
              </w:rPr>
            </w:pPr>
            <w:r w:rsidRPr="0081793F">
              <w:rPr>
                <w:rFonts w:ascii="Times New Roman" w:hAnsi="Times New Roman" w:cs="Times New Roman"/>
                <w:b/>
              </w:rPr>
              <w:t>Zákon č. 595/2003 Z. z. o dani z príjmov v znení neskorších predpisov</w:t>
            </w:r>
          </w:p>
          <w:p w:rsidR="00B62FB3" w:rsidRPr="0081793F">
            <w:pPr>
              <w:rPr>
                <w:rFonts w:ascii="Times New Roman" w:hAnsi="Times New Roman" w:cs="Times New Roman"/>
                <w:b/>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b/>
                <w:lang w:val="sk-SK"/>
              </w:rPr>
            </w:pPr>
            <w:r w:rsidRPr="0081793F">
              <w:rPr>
                <w:rFonts w:ascii="Times New Roman" w:hAnsi="Times New Roman" w:cs="Times New Roman"/>
                <w:lang w:val="sk-SK"/>
              </w:rPr>
              <w:t xml:space="preserve">   </w:t>
            </w:r>
            <w:r w:rsidRPr="0081793F">
              <w:rPr>
                <w:rFonts w:ascii="Times New Roman" w:hAnsi="Times New Roman" w:cs="Times New Roman"/>
                <w:b/>
                <w:lang w:val="sk-SK"/>
              </w:rPr>
              <w:t>č.</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pStyle w:val="Heading2"/>
              <w:rPr>
                <w:rFonts w:ascii="Times New Roman" w:hAnsi="Times New Roman" w:cs="Times New Roman"/>
              </w:rPr>
            </w:pPr>
            <w:r w:rsidRPr="0081793F">
              <w:rPr>
                <w:rFonts w:ascii="Times New Roman" w:hAnsi="Times New Roman" w:cs="Times New Roman"/>
              </w:rPr>
              <w:t>Text</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b/>
                <w:lang w:val="sk-SK"/>
              </w:rPr>
            </w:pPr>
            <w:r w:rsidRPr="0081793F" w:rsidR="0054087C">
              <w:rPr>
                <w:rFonts w:ascii="Times New Roman" w:hAnsi="Times New Roman" w:cs="Times New Roman"/>
                <w:b/>
                <w:lang w:val="sk-SK"/>
              </w:rPr>
              <w:t>Spô</w:t>
            </w:r>
            <w:r w:rsidRPr="0081793F">
              <w:rPr>
                <w:rFonts w:ascii="Times New Roman" w:hAnsi="Times New Roman" w:cs="Times New Roman"/>
                <w:b/>
                <w:lang w:val="sk-SK"/>
              </w:rPr>
              <w:t>sob transpozície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b/>
                <w:lang w:val="sk-SK"/>
              </w:rPr>
            </w:pPr>
            <w:r w:rsidRPr="0081793F">
              <w:rPr>
                <w:rFonts w:ascii="Times New Roman" w:hAnsi="Times New Roman" w:cs="Times New Roman"/>
                <w:b/>
                <w:lang w:val="sk-SK"/>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b/>
                <w:lang w:val="sk-SK"/>
              </w:rPr>
            </w:pPr>
            <w:r w:rsidRPr="0081793F">
              <w:rPr>
                <w:rFonts w:ascii="Times New Roman" w:hAnsi="Times New Roman" w:cs="Times New Roman"/>
                <w:b/>
                <w:lang w:val="sk-SK"/>
              </w:rPr>
              <w:t>Článok</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pStyle w:val="Heading1"/>
              <w:jc w:val="both"/>
              <w:rPr>
                <w:rFonts w:ascii="Times New Roman" w:hAnsi="Times New Roman" w:cs="Times New Roman"/>
              </w:rPr>
            </w:pPr>
            <w:r w:rsidRPr="0081793F">
              <w:rPr>
                <w:rFonts w:ascii="Times New Roman" w:hAnsi="Times New Roman" w:cs="Times New Roman"/>
              </w:rPr>
              <w:t xml:space="preserve">                     Text</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b/>
                <w:lang w:val="sk-SK"/>
              </w:rPr>
            </w:pPr>
            <w:r w:rsidRPr="0081793F">
              <w:rPr>
                <w:rFonts w:ascii="Times New Roman" w:hAnsi="Times New Roman" w:cs="Times New Roman"/>
                <w:b/>
                <w:lang w:val="sk-SK"/>
              </w:rPr>
              <w:t>Zhoda</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b/>
                <w:lang w:val="sk-SK"/>
              </w:rPr>
            </w:pPr>
            <w:r w:rsidRPr="0081793F">
              <w:rPr>
                <w:rFonts w:ascii="Times New Roman" w:hAnsi="Times New Roman" w:cs="Times New Roman"/>
                <w:b/>
                <w:sz w:val="20"/>
                <w:lang w:val="sk-SK"/>
              </w:rPr>
              <w:t>Administratívna infraštruktúr</w:t>
            </w:r>
            <w:r w:rsidRPr="0081793F">
              <w:rPr>
                <w:rFonts w:ascii="Times New Roman" w:hAnsi="Times New Roman" w:cs="Times New Roman"/>
                <w:b/>
                <w:lang w:val="sk-SK"/>
              </w:rPr>
              <w:t>a</w:t>
            </w: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9F5952">
            <w:pPr>
              <w:jc w:val="both"/>
              <w:rPr>
                <w:rFonts w:ascii="Times New Roman" w:hAnsi="Times New Roman" w:cs="Times New Roman"/>
                <w:b/>
                <w:lang w:val="sk-SK"/>
              </w:rPr>
            </w:pPr>
            <w:r w:rsidRPr="0081793F">
              <w:rPr>
                <w:rFonts w:ascii="Times New Roman" w:hAnsi="Times New Roman" w:cs="Times New Roman"/>
                <w:b/>
                <w:lang w:val="sk-SK"/>
              </w:rPr>
              <w:t>Poznámky</w:t>
            </w: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43CAA">
            <w:pPr>
              <w:rPr>
                <w:rFonts w:ascii="Times New Roman" w:hAnsi="Times New Roman" w:cs="Times New Roman"/>
                <w:b/>
                <w:lang w:val="sk-SK"/>
              </w:rPr>
            </w:pPr>
            <w:r w:rsidRPr="0081793F" w:rsidR="00BC0B0D">
              <w:rPr>
                <w:rFonts w:ascii="Times New Roman" w:hAnsi="Times New Roman" w:cs="Times New Roman"/>
                <w:b/>
                <w:lang w:val="sk-SK"/>
              </w:rPr>
              <w:t>Śtádium legislatívne</w:t>
            </w:r>
            <w:r w:rsidRPr="0081793F" w:rsidR="004B39D1">
              <w:rPr>
                <w:rFonts w:ascii="Times New Roman" w:hAnsi="Times New Roman" w:cs="Times New Roman"/>
                <w:b/>
                <w:lang w:val="sk-SK"/>
              </w:rPr>
              <w:t>ho procesu</w:t>
            </w: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54087C">
              <w:rPr>
                <w:rFonts w:ascii="Times New Roman" w:hAnsi="Times New Roman" w:cs="Times New Roman"/>
                <w:lang w:val="sk-SK"/>
              </w:rPr>
              <w:t>Č</w:t>
            </w:r>
            <w:r w:rsidRPr="0081793F" w:rsidR="0054087C">
              <w:rPr>
                <w:rFonts w:ascii="Times New Roman" w:hAnsi="Times New Roman" w:cs="Times New Roman"/>
                <w:lang w:val="sk-SK"/>
              </w:rPr>
              <w:t>l.</w:t>
            </w:r>
            <w:r w:rsidRPr="0081793F">
              <w:rPr>
                <w:rFonts w:ascii="Times New Roman" w:hAnsi="Times New Roman" w:cs="Times New Roman"/>
                <w:lang w:val="sk-SK"/>
              </w:rPr>
              <w:t>1</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pStyle w:val="BodyText2"/>
              <w:spacing w:line="240" w:lineRule="auto"/>
              <w:ind w:left="72"/>
              <w:jc w:val="both"/>
              <w:rPr>
                <w:rFonts w:ascii="Times New Roman" w:hAnsi="Times New Roman" w:cs="Times New Roman"/>
                <w:lang w:val="sk-SK"/>
              </w:rPr>
            </w:pPr>
            <w:r w:rsidRPr="0081793F">
              <w:rPr>
                <w:rFonts w:ascii="Times New Roman" w:hAnsi="Times New Roman" w:cs="Times New Roman"/>
                <w:lang w:val="sk-SK"/>
              </w:rPr>
              <w:t>Každý členský štát bude uplatňovať túto smernicu za účelom zlučovania,  rozdeľovania a prevodu imania alebo výmeny akcií,  ktorých sa zúčastňujú obchodné spoločnosti dvoch alebo viacerých členských štátov.</w:t>
            </w:r>
          </w:p>
          <w:p w:rsidR="00C43CAA" w:rsidRPr="0081793F" w:rsidP="00777810">
            <w:pPr>
              <w:jc w:val="both"/>
              <w:rPr>
                <w:rFonts w:ascii="Times New Roman" w:hAnsi="Times New Roman" w:cs="Times New Roman"/>
                <w:lang w:val="sk-SK"/>
              </w:rPr>
            </w:pP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BC0B0D">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54087C">
              <w:rPr>
                <w:rFonts w:ascii="Times New Roman" w:hAnsi="Times New Roman" w:cs="Times New Roman"/>
                <w:lang w:val="sk-SK"/>
              </w:rPr>
              <w:t>§ 1 ods.</w:t>
            </w:r>
            <w:r w:rsidRPr="0081793F" w:rsidR="00A54642">
              <w:rPr>
                <w:rFonts w:ascii="Times New Roman" w:hAnsi="Times New Roman" w:cs="Times New Roman"/>
                <w:lang w:val="sk-SK"/>
              </w:rPr>
              <w:t>1</w:t>
            </w:r>
          </w:p>
          <w:p w:rsidR="00540495" w:rsidRPr="0081793F">
            <w:pPr>
              <w:rPr>
                <w:rFonts w:ascii="Times New Roman" w:hAnsi="Times New Roman" w:cs="Times New Roman"/>
                <w:lang w:val="sk-SK"/>
              </w:rPr>
            </w:pPr>
            <w:r w:rsidRPr="0081793F">
              <w:rPr>
                <w:rFonts w:ascii="Times New Roman" w:hAnsi="Times New Roman" w:cs="Times New Roman"/>
                <w:lang w:val="sk-SK"/>
              </w:rPr>
              <w:t xml:space="preserve">pís.a) </w:t>
            </w:r>
          </w:p>
          <w:p w:rsidR="00540495" w:rsidRPr="0081793F">
            <w:pPr>
              <w:rPr>
                <w:rFonts w:ascii="Times New Roman" w:hAnsi="Times New Roman" w:cs="Times New Roman"/>
                <w:lang w:val="sk-SK"/>
              </w:rPr>
            </w:pPr>
          </w:p>
          <w:p w:rsidR="00540495" w:rsidRPr="0081793F">
            <w:pPr>
              <w:rPr>
                <w:rFonts w:ascii="Times New Roman" w:hAnsi="Times New Roman" w:cs="Times New Roman"/>
                <w:lang w:val="sk-SK"/>
              </w:rPr>
            </w:pPr>
            <w:r w:rsidRPr="0081793F">
              <w:rPr>
                <w:rFonts w:ascii="Times New Roman" w:hAnsi="Times New Roman" w:cs="Times New Roman"/>
                <w:lang w:val="sk-SK"/>
              </w:rPr>
              <w:t>p</w:t>
            </w:r>
            <w:r w:rsidRPr="0081793F">
              <w:rPr>
                <w:rFonts w:ascii="Times New Roman" w:hAnsi="Times New Roman" w:cs="Times New Roman"/>
                <w:lang w:val="sk-SK"/>
              </w:rPr>
              <w:t>ís.b)</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087C" w:rsidRPr="0081793F" w:rsidP="00777810">
            <w:pPr>
              <w:jc w:val="both"/>
              <w:rPr>
                <w:rFonts w:ascii="Times New Roman" w:hAnsi="Times New Roman" w:cs="Times New Roman"/>
                <w:lang w:val="sk-SK"/>
              </w:rPr>
            </w:pPr>
            <w:r w:rsidRPr="0081793F">
              <w:rPr>
                <w:rFonts w:ascii="Times New Roman" w:hAnsi="Times New Roman" w:cs="Times New Roman"/>
                <w:lang w:val="sk-SK"/>
              </w:rPr>
              <w:t>Tento zákon upravuje</w:t>
            </w:r>
          </w:p>
          <w:p w:rsidR="0054087C" w:rsidRPr="0081793F" w:rsidP="00777810">
            <w:pPr>
              <w:jc w:val="both"/>
              <w:rPr>
                <w:rFonts w:ascii="Times New Roman" w:hAnsi="Times New Roman" w:cs="Times New Roman"/>
                <w:lang w:val="sk-SK"/>
              </w:rPr>
            </w:pPr>
          </w:p>
          <w:p w:rsidR="0054087C" w:rsidRPr="0081793F" w:rsidP="00777810">
            <w:pPr>
              <w:jc w:val="both"/>
              <w:rPr>
                <w:rFonts w:ascii="Times New Roman" w:hAnsi="Times New Roman" w:cs="Times New Roman"/>
                <w:lang w:val="sk-SK"/>
              </w:rPr>
            </w:pPr>
            <w:r w:rsidRPr="0081793F">
              <w:rPr>
                <w:rFonts w:ascii="Times New Roman" w:hAnsi="Times New Roman" w:cs="Times New Roman"/>
                <w:lang w:val="sk-SK"/>
              </w:rPr>
              <w:t>daň z príjmov fyzickej osoby aleb</w:t>
            </w:r>
            <w:r w:rsidR="00777810">
              <w:rPr>
                <w:rFonts w:ascii="Times New Roman" w:hAnsi="Times New Roman" w:cs="Times New Roman"/>
                <w:lang w:val="sk-SK"/>
              </w:rPr>
              <w:t>o právnickej osoby (ďalej len</w:t>
            </w:r>
            <w:r w:rsidRPr="0081793F">
              <w:rPr>
                <w:rFonts w:ascii="Times New Roman" w:hAnsi="Times New Roman" w:cs="Times New Roman"/>
                <w:lang w:val="sk-SK"/>
              </w:rPr>
              <w:t xml:space="preserve"> "daň"),</w:t>
            </w:r>
          </w:p>
          <w:p w:rsidR="00C43CAA" w:rsidRPr="0081793F" w:rsidP="00777810">
            <w:pPr>
              <w:jc w:val="both"/>
              <w:rPr>
                <w:rFonts w:ascii="Times New Roman" w:hAnsi="Times New Roman" w:cs="Times New Roman"/>
                <w:lang w:val="sk-SK"/>
              </w:rPr>
            </w:pPr>
            <w:r w:rsidRPr="0081793F" w:rsidR="0054087C">
              <w:rPr>
                <w:rFonts w:ascii="Times New Roman" w:hAnsi="Times New Roman" w:cs="Times New Roman"/>
                <w:lang w:val="sk-SK"/>
              </w:rPr>
              <w:t>spôsob platenia a vyberania dane.</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540495">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0495" w:rsidRPr="0081793F">
            <w:pPr>
              <w:rPr>
                <w:rFonts w:ascii="Times New Roman" w:hAnsi="Times New Roman" w:cs="Times New Roman"/>
                <w:lang w:val="sk-SK"/>
              </w:rPr>
            </w:pPr>
            <w:r w:rsidRPr="0081793F">
              <w:rPr>
                <w:rFonts w:ascii="Times New Roman" w:hAnsi="Times New Roman" w:cs="Times New Roman"/>
                <w:lang w:val="sk-SK"/>
              </w:rPr>
              <w:t xml:space="preserve">MF SR, </w:t>
            </w:r>
          </w:p>
          <w:p w:rsidR="00C43CAA" w:rsidRPr="0081793F">
            <w:pPr>
              <w:rPr>
                <w:rFonts w:ascii="Times New Roman" w:hAnsi="Times New Roman" w:cs="Times New Roman"/>
                <w:lang w:val="sk-SK"/>
              </w:rPr>
            </w:pPr>
            <w:r w:rsidRPr="0081793F" w:rsidR="00540495">
              <w:rPr>
                <w:rFonts w:ascii="Times New Roman" w:hAnsi="Times New Roman" w:cs="Times New Roman"/>
                <w:lang w:val="sk-SK"/>
              </w:rPr>
              <w:t>d</w:t>
            </w:r>
            <w:r w:rsidRPr="0081793F">
              <w:rPr>
                <w:rFonts w:ascii="Times New Roman" w:hAnsi="Times New Roman" w:cs="Times New Roman"/>
                <w:lang w:val="sk-SK"/>
              </w:rPr>
              <w:t xml:space="preserve">aňové </w:t>
            </w:r>
            <w:r w:rsidRPr="0081793F" w:rsidR="00540495">
              <w:rPr>
                <w:rFonts w:ascii="Times New Roman" w:hAnsi="Times New Roman" w:cs="Times New Roman"/>
                <w:lang w:val="sk-SK"/>
              </w:rPr>
              <w:t>orgány</w:t>
            </w: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BC0B0D">
              <w:rPr>
                <w:rFonts w:ascii="Times New Roman" w:hAnsi="Times New Roman" w:cs="Times New Roman"/>
                <w:lang w:val="sk-SK"/>
              </w:rPr>
              <w:t>Čl.</w:t>
            </w:r>
            <w:r w:rsidRPr="0081793F">
              <w:rPr>
                <w:rFonts w:ascii="Times New Roman" w:hAnsi="Times New Roman" w:cs="Times New Roman"/>
                <w:lang w:val="sk-SK"/>
              </w:rPr>
              <w:t xml:space="preserve"> 2</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Na účely tejto smernice:</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(a) „zlúčenie“ znamená operáciu,  pomocou ktorej:</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jedna alebo viac spoločností pri zrušení bez likvidácie prevedie všetky svoje aktíva a pasíva na inú existujúcu spoločnosť výmenou za vydanie cenných papierov svojim akcionárom , ktoré reprezentujú kapitál tejto druhej spoločnosti a,  prípadne,  za platbu v hotovosti nepresahujúcu 10% nominálnej hodnoty,  alebo, pri absencii nominálnej hodnoty za účtovnú nominálnu hodnotu týchto cenných papierov; </w:t>
            </w:r>
          </w:p>
          <w:p w:rsidR="00C43CAA" w:rsidRPr="0081793F" w:rsidP="00777810">
            <w:pPr>
              <w:pStyle w:val="BodyText2"/>
              <w:spacing w:after="0" w:line="240" w:lineRule="auto"/>
              <w:jc w:val="both"/>
              <w:rPr>
                <w:rFonts w:ascii="Times New Roman" w:hAnsi="Times New Roman" w:cs="Times New Roman"/>
                <w:lang w:val="sk-SK"/>
              </w:rPr>
            </w:pPr>
            <w:r w:rsidRPr="0081793F">
              <w:rPr>
                <w:rFonts w:ascii="Times New Roman" w:hAnsi="Times New Roman" w:cs="Times New Roman"/>
                <w:lang w:val="sk-SK"/>
              </w:rPr>
              <w:t>- dve alebo viac spoločností pri zrušení bez likvidácie prevedú všetky svoje aktíva a pasíva na spoločnosť, ktorú vytvoria, výmenou za vydanie cenných papierov reprezentujúcich kapitál tejto novej spoločnosti svojim akcionárom a prípadne za platbu v hotovosti nepresahujúcu 10% nominálnej hodnoty, alebo pri absencii nominálnej hodnoty za  účtovnú nominálnu hodnotu týchto cenných</w:t>
            </w:r>
            <w:r w:rsidRPr="0081793F">
              <w:rPr>
                <w:rFonts w:ascii="Times New Roman" w:hAnsi="Times New Roman" w:cs="Times New Roman"/>
                <w:lang w:val="sk-SK"/>
              </w:rPr>
              <w:t xml:space="preserve"> papierov;</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 spoločnosť pri zrušení bez likvidácie prevedie všetky aktíva a pasíva na spoločnosť,  ktorá má v držbe všetky cenné papiere reprezentujúce jej kapitál;</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(b) „rozdelenie“ bude znamenať operáciu,  pomocou ktorej spoločnosť pri zrušení bez likvidácie prevedie všetky svoje aktíva a pasíva na dve alebo viac existujúcich alebo nových spoločností  výmenou za vydanie pomerného dielu cenných papierov reprezentujúceho kapitál spoločnosti svojim akcionárom,  ktorí získavajú aktíva a pasíva,  prípadne  za platbu v hotovosti nepresahujúcu 10% nominálnej hodnoty, alebo pri absencii nominálnej hodnoty za  účtovnú nominálnu hodnotu týchto cenných papierov; </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(c) „prevod aktív“ bude znamenať operáciu, pomocou ktorej spoločnosť bez toho, aby bola zrušená, prevedie jedno alebo viacej odvetví svojej činnosti na inú spoločnosť výmenou za prevod cenných papierov,  reprezentujúcich kapitál spoločnosti uznávajúcej prevod;</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(d) „výmena akcií“ bude znamenať operáciu, pomocou ktorej daná spoločnosť nadobúda držbu v kapitále inej spoločnosti takým spôsobom, že získa väčšinu hlasovacích práv v tejto spoločnosti výmenou za vydanie akcionárom tejto spoločnosti , výmenou za ich cenné papiere , cenných papierov reprezentujúcich kapitál danej spoločnosti, prípadne za platbu v hotovosti nepresahujúcu 10 % nominálnej hodnoty, alebo pri absencii nominálnej hodnoty za účtovnú nominálnu hodnotu cenných papierov vydaných za výmenu;</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(e) „prevádzajúca spoločnosť“ bude znamenať spoločnosť  prevádzajúcu svoje aktíva a pasíva alebo ktorá prevádza všetky, alebo jedno, či viac odvetví svojej činnosti;</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(f)  „preberajúca spoločnosť“ bude znamenať spoločnosť preberajúcu  aktíva a pasíva alebo všetky, alebo jedno, či viac odvetví prevádzajúcej spoločnosti;</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(g) „nadobudnutá spoločnosť“  znamená spoločnosť, v ktorej   držba je nadobudnutá inou spoločnosťou prostredníctvom výmeny cenných papierov;</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(h) „nadobúdajúca spoločnosť“  znamená spoločnosť,  ktorá nadobúda  držbu  prostredníctvom výmeny cenných papierov;</w:t>
            </w: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(i) „odvetvie činnosti“  znamená všetky  aktíva a pasíva divízie spoločnosti, ktorá z organizačného hľadiska predstavuje nezávislé podnikanie, to znamená, jednotku schopnú prevádzky  vlastnými prostriedkami;</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jc w:val="both"/>
              <w:rPr>
                <w:rFonts w:ascii="Times New Roman" w:hAnsi="Times New Roman" w:cs="Times New Roman"/>
                <w:lang w:val="sk-SK"/>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9F5952">
            <w:pPr>
              <w:jc w:val="both"/>
              <w:rPr>
                <w:rFonts w:ascii="Times New Roman" w:hAnsi="Times New Roman" w:cs="Times New Roman"/>
                <w:lang w:val="sk-SK"/>
              </w:rPr>
            </w:pPr>
            <w:r w:rsidRPr="0081793F" w:rsidR="004B39D1">
              <w:rPr>
                <w:rFonts w:ascii="Times New Roman" w:hAnsi="Times New Roman" w:cs="Times New Roman"/>
                <w:lang w:val="sk-SK"/>
              </w:rPr>
              <w:t>Zákon o daniach z príjmov aplikuje na účely pojmov „zlúčenie“, „rozdelenie“ daňovníka</w:t>
            </w:r>
            <w:r w:rsidRPr="0081793F" w:rsidR="004B39D1">
              <w:rPr>
                <w:rFonts w:ascii="Times New Roman" w:hAnsi="Times New Roman" w:cs="Times New Roman"/>
                <w:lang w:val="sk-SK"/>
              </w:rPr>
              <w:t xml:space="preserve"> a zmena právnej formy ustanovenia </w:t>
            </w:r>
            <w:r w:rsidRPr="0081793F" w:rsidR="00D63FCA">
              <w:rPr>
                <w:rFonts w:ascii="Times New Roman" w:hAnsi="Times New Roman" w:cs="Times New Roman"/>
                <w:lang w:val="sk-SK"/>
              </w:rPr>
              <w:t xml:space="preserve">§ 69 ods. 3 a 4 </w:t>
            </w:r>
            <w:r w:rsidRPr="0081793F" w:rsidR="004B39D1">
              <w:rPr>
                <w:rFonts w:ascii="Times New Roman" w:hAnsi="Times New Roman" w:cs="Times New Roman"/>
                <w:lang w:val="sk-SK"/>
              </w:rPr>
              <w:t>zákona č. 513/1991 Zb. Obchodný zákonník v znení neskorších predpisov</w:t>
            </w: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BC0B0D">
              <w:rPr>
                <w:rFonts w:ascii="Times New Roman" w:hAnsi="Times New Roman" w:cs="Times New Roman"/>
                <w:lang w:val="sk-SK"/>
              </w:rPr>
              <w:t>Čl.</w:t>
            </w:r>
            <w:r w:rsidRPr="0081793F">
              <w:rPr>
                <w:rFonts w:ascii="Times New Roman" w:hAnsi="Times New Roman" w:cs="Times New Roman"/>
                <w:lang w:val="sk-SK"/>
              </w:rPr>
              <w:t xml:space="preserve"> 3</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pStyle w:val="BodyTextIndent"/>
              <w:spacing w:after="0"/>
              <w:ind w:left="0"/>
              <w:jc w:val="both"/>
              <w:rPr>
                <w:rFonts w:ascii="Times New Roman" w:hAnsi="Times New Roman" w:cs="Times New Roman"/>
                <w:lang w:val="sk-SK"/>
              </w:rPr>
            </w:pPr>
            <w:r w:rsidRPr="0081793F">
              <w:rPr>
                <w:rFonts w:ascii="Times New Roman" w:hAnsi="Times New Roman" w:cs="Times New Roman"/>
                <w:lang w:val="sk-SK"/>
              </w:rPr>
              <w:t>Na účely tejto smernice „spoločnosť členského štátu“  znamená každú spoločnosť, ktorá:</w:t>
            </w:r>
          </w:p>
          <w:p w:rsidR="00C43CAA" w:rsidRPr="0081793F" w:rsidP="00777810">
            <w:pPr>
              <w:numPr>
                <w:ilvl w:val="0"/>
                <w:numId w:val="1"/>
              </w:numPr>
              <w:tabs>
                <w:tab w:val="left" w:pos="360"/>
              </w:tabs>
              <w:ind w:firstLine="0"/>
              <w:jc w:val="both"/>
              <w:rPr>
                <w:rFonts w:ascii="Times New Roman" w:hAnsi="Times New Roman" w:cs="Times New Roman"/>
                <w:lang w:val="sk-SK"/>
              </w:rPr>
            </w:pPr>
            <w:r w:rsidRPr="0081793F">
              <w:rPr>
                <w:rFonts w:ascii="Times New Roman" w:hAnsi="Times New Roman" w:cs="Times New Roman"/>
                <w:lang w:val="sk-SK"/>
              </w:rPr>
              <w:t xml:space="preserve">má jednu z foriem uvedených v prílohe k </w:t>
            </w:r>
            <w:r w:rsidRPr="0081793F">
              <w:rPr>
                <w:rFonts w:ascii="Times New Roman" w:hAnsi="Times New Roman" w:cs="Times New Roman"/>
                <w:lang w:val="sk-SK"/>
              </w:rPr>
              <w:t>tejto smernici;</w:t>
            </w:r>
          </w:p>
          <w:p w:rsidR="00C43CAA" w:rsidRPr="0081793F" w:rsidP="00777810">
            <w:pPr>
              <w:numPr>
                <w:ilvl w:val="0"/>
                <w:numId w:val="1"/>
              </w:numPr>
              <w:tabs>
                <w:tab w:val="left" w:pos="360"/>
              </w:tabs>
              <w:ind w:firstLine="0"/>
              <w:jc w:val="both"/>
              <w:rPr>
                <w:rFonts w:ascii="Times New Roman" w:hAnsi="Times New Roman" w:cs="Times New Roman"/>
                <w:lang w:val="sk-SK"/>
              </w:rPr>
            </w:pPr>
            <w:r w:rsidRPr="0081793F">
              <w:rPr>
                <w:rFonts w:ascii="Times New Roman" w:hAnsi="Times New Roman" w:cs="Times New Roman"/>
                <w:lang w:val="sk-SK"/>
              </w:rPr>
              <w:t xml:space="preserve"> podľa daňových zákonov niektorého členského štátu, sa pre daňové účely  považuje za sídliacu v tomto štáte a na základe podmienok dohody o dvojitom zdanení uzavretej s tretím štátom, sa pre daňové účely  nepovažuje za sídliacu mimo spoločenstva;</w:t>
            </w:r>
          </w:p>
          <w:p w:rsidR="00C43CAA" w:rsidRPr="0081793F" w:rsidP="00777810">
            <w:pPr>
              <w:numPr>
                <w:ilvl w:val="0"/>
                <w:numId w:val="1"/>
              </w:numPr>
              <w:tabs>
                <w:tab w:val="left" w:pos="360"/>
              </w:tabs>
              <w:jc w:val="both"/>
              <w:rPr>
                <w:rFonts w:ascii="Times New Roman" w:hAnsi="Times New Roman" w:cs="Times New Roman"/>
                <w:lang w:val="sk-SK"/>
              </w:rPr>
            </w:pPr>
            <w:r w:rsidRPr="0081793F">
              <w:rPr>
                <w:rFonts w:ascii="Times New Roman" w:hAnsi="Times New Roman" w:cs="Times New Roman"/>
                <w:lang w:val="sk-SK"/>
              </w:rPr>
              <w:t>naviac podlieha jednej z nasledujúcich daní, bez možnosti voľby alebo oslobodenia;</w:t>
            </w:r>
          </w:p>
          <w:p w:rsidR="00C43CAA" w:rsidRPr="0081793F" w:rsidP="00777810">
            <w:pPr>
              <w:jc w:val="both"/>
              <w:rPr>
                <w:rFonts w:ascii="Times New Roman" w:hAnsi="Times New Roman" w:cs="Times New Roman"/>
                <w:lang w:val="de-DE"/>
              </w:rPr>
            </w:pPr>
            <w:r w:rsidRPr="0081793F">
              <w:rPr>
                <w:rFonts w:ascii="Times New Roman" w:hAnsi="Times New Roman" w:cs="Times New Roman"/>
                <w:lang w:val="sk-SK"/>
              </w:rPr>
              <w:t xml:space="preserve">  </w:t>
            </w:r>
            <w:r w:rsidRPr="0081793F">
              <w:rPr>
                <w:rFonts w:ascii="Times New Roman" w:hAnsi="Times New Roman" w:cs="Times New Roman"/>
                <w:lang w:val="de-DE"/>
              </w:rPr>
              <w:t xml:space="preserve">- impôt des sociétes /vennootschapsbelasting v Belgicku, </w:t>
            </w:r>
          </w:p>
          <w:p w:rsidR="00C43CAA" w:rsidRPr="0081793F" w:rsidP="00777810">
            <w:pPr>
              <w:jc w:val="both"/>
              <w:rPr>
                <w:rFonts w:ascii="Times New Roman" w:hAnsi="Times New Roman" w:cs="Times New Roman"/>
                <w:lang w:val="de-DE"/>
              </w:rPr>
            </w:pPr>
            <w:r w:rsidRPr="0081793F">
              <w:rPr>
                <w:rFonts w:ascii="Times New Roman" w:hAnsi="Times New Roman" w:cs="Times New Roman"/>
                <w:lang w:val="de-DE"/>
              </w:rPr>
              <w:t xml:space="preserve"> -  selskabsskat  v Dánsku, </w:t>
            </w:r>
          </w:p>
          <w:p w:rsidR="00C43CAA" w:rsidRPr="0081793F" w:rsidP="00777810">
            <w:pPr>
              <w:jc w:val="both"/>
              <w:rPr>
                <w:rFonts w:ascii="Times New Roman" w:hAnsi="Times New Roman" w:cs="Times New Roman"/>
                <w:lang w:val="de-DE"/>
              </w:rPr>
            </w:pPr>
            <w:r w:rsidRPr="0081793F">
              <w:rPr>
                <w:rFonts w:ascii="Times New Roman" w:hAnsi="Times New Roman" w:cs="Times New Roman"/>
                <w:lang w:val="de-DE"/>
              </w:rPr>
              <w:t xml:space="preserve"> -  Koerperschaftsteuer v Spolkovej republike Nemecko, </w:t>
            </w:r>
          </w:p>
          <w:p w:rsidR="00C43CAA" w:rsidRPr="0081793F" w:rsidP="00777810">
            <w:pPr>
              <w:jc w:val="both"/>
              <w:rPr>
                <w:rFonts w:ascii="Times New Roman" w:hAnsi="Times New Roman" w:cs="Times New Roman"/>
                <w:lang w:val="de-DE"/>
              </w:rPr>
            </w:pPr>
            <w:r w:rsidRPr="0081793F">
              <w:rPr>
                <w:rFonts w:ascii="Times New Roman" w:hAnsi="Times New Roman" w:cs="Times New Roman"/>
                <w:lang w:val="de-DE"/>
              </w:rPr>
              <w:t xml:space="preserve"> -  </w:t>
            </w:r>
            <w:r w:rsidRPr="0081793F">
              <w:rPr>
                <w:rFonts w:ascii="Times New Roman" w:hAnsi="Times New Roman" w:cs="Times New Roman"/>
              </w:rPr>
              <w:t>φόρос</w:t>
            </w:r>
            <w:r w:rsidRPr="0081793F">
              <w:rPr>
                <w:rFonts w:ascii="Times New Roman" w:hAnsi="Times New Roman" w:cs="Times New Roman"/>
                <w:lang w:val="de-DE"/>
              </w:rPr>
              <w:t xml:space="preserve"> </w:t>
            </w:r>
            <w:r w:rsidRPr="0081793F">
              <w:rPr>
                <w:rFonts w:ascii="Times New Roman" w:hAnsi="Times New Roman" w:cs="Times New Roman"/>
              </w:rPr>
              <w:t>εισоδήμаτος</w:t>
            </w:r>
            <w:r w:rsidRPr="0081793F">
              <w:rPr>
                <w:rFonts w:ascii="Times New Roman" w:hAnsi="Times New Roman" w:cs="Times New Roman"/>
                <w:lang w:val="de-DE"/>
              </w:rPr>
              <w:t xml:space="preserve"> </w:t>
            </w:r>
            <w:r w:rsidRPr="0081793F">
              <w:rPr>
                <w:rFonts w:ascii="Times New Roman" w:hAnsi="Times New Roman" w:cs="Times New Roman"/>
              </w:rPr>
              <w:t>νομικών</w:t>
            </w:r>
            <w:r w:rsidRPr="0081793F">
              <w:rPr>
                <w:rFonts w:ascii="Times New Roman" w:hAnsi="Times New Roman" w:cs="Times New Roman"/>
                <w:lang w:val="de-DE"/>
              </w:rPr>
              <w:t xml:space="preserve"> </w:t>
            </w:r>
            <w:r w:rsidRPr="0081793F">
              <w:rPr>
                <w:rFonts w:ascii="Times New Roman" w:hAnsi="Times New Roman" w:cs="Times New Roman"/>
              </w:rPr>
              <w:t>προδώπων</w:t>
            </w:r>
            <w:r w:rsidRPr="0081793F">
              <w:rPr>
                <w:rFonts w:ascii="Times New Roman" w:hAnsi="Times New Roman" w:cs="Times New Roman"/>
                <w:lang w:val="de-DE"/>
              </w:rPr>
              <w:t xml:space="preserve"> </w:t>
            </w:r>
            <w:r w:rsidRPr="0081793F">
              <w:rPr>
                <w:rFonts w:ascii="Times New Roman" w:hAnsi="Times New Roman" w:cs="Times New Roman"/>
              </w:rPr>
              <w:t>κερδοκοπικού</w:t>
            </w:r>
            <w:r w:rsidRPr="0081793F">
              <w:rPr>
                <w:rFonts w:ascii="Times New Roman" w:hAnsi="Times New Roman" w:cs="Times New Roman"/>
                <w:lang w:val="de-DE"/>
              </w:rPr>
              <w:t xml:space="preserve"> </w:t>
            </w:r>
            <w:r w:rsidRPr="0081793F">
              <w:rPr>
                <w:rFonts w:ascii="Times New Roman" w:hAnsi="Times New Roman" w:cs="Times New Roman"/>
              </w:rPr>
              <w:t>χαρακτήρα</w:t>
            </w:r>
            <w:r w:rsidRPr="0081793F">
              <w:rPr>
                <w:rFonts w:ascii="Times New Roman" w:hAnsi="Times New Roman" w:cs="Times New Roman"/>
                <w:lang w:val="de-DE"/>
              </w:rPr>
              <w:t xml:space="preserve"> v Grécku</w:t>
            </w:r>
          </w:p>
          <w:p w:rsidR="00C43CAA" w:rsidRPr="0081793F" w:rsidP="00777810">
            <w:pPr>
              <w:jc w:val="both"/>
              <w:rPr>
                <w:rFonts w:ascii="Times New Roman" w:hAnsi="Times New Roman" w:cs="Times New Roman"/>
              </w:rPr>
            </w:pPr>
            <w:r w:rsidRPr="0081793F">
              <w:rPr>
                <w:rFonts w:ascii="Times New Roman" w:hAnsi="Times New Roman" w:cs="Times New Roman"/>
                <w:lang w:val="de-DE"/>
              </w:rPr>
              <w:t xml:space="preserve"> </w:t>
            </w:r>
            <w:r w:rsidRPr="0081793F">
              <w:rPr>
                <w:rFonts w:ascii="Times New Roman" w:hAnsi="Times New Roman" w:cs="Times New Roman"/>
              </w:rPr>
              <w:t>-  impuesto sobre sociedadeas v Španielsku</w:t>
            </w:r>
          </w:p>
          <w:p w:rsidR="00C43CAA" w:rsidRPr="0081793F" w:rsidP="00777810">
            <w:pPr>
              <w:ind w:left="60"/>
              <w:jc w:val="both"/>
              <w:rPr>
                <w:rFonts w:ascii="Times New Roman" w:hAnsi="Times New Roman" w:cs="Times New Roman"/>
              </w:rPr>
            </w:pPr>
            <w:r w:rsidRPr="0081793F">
              <w:rPr>
                <w:rFonts w:ascii="Times New Roman" w:hAnsi="Times New Roman" w:cs="Times New Roman"/>
              </w:rPr>
              <w:t xml:space="preserve">-  impôt sur les societés vo Francúzsku, </w:t>
            </w:r>
          </w:p>
          <w:p w:rsidR="00C43CAA" w:rsidRPr="0081793F" w:rsidP="00777810">
            <w:pPr>
              <w:numPr>
                <w:ilvl w:val="0"/>
                <w:numId w:val="2"/>
              </w:numPr>
              <w:tabs>
                <w:tab w:val="left" w:pos="284"/>
                <w:tab w:val="clear" w:pos="420"/>
              </w:tabs>
              <w:ind w:left="284" w:hanging="224"/>
              <w:jc w:val="both"/>
              <w:rPr>
                <w:rFonts w:ascii="Times New Roman" w:hAnsi="Times New Roman" w:cs="Times New Roman"/>
              </w:rPr>
            </w:pPr>
            <w:r w:rsidRPr="0081793F">
              <w:rPr>
                <w:rFonts w:ascii="Times New Roman" w:hAnsi="Times New Roman" w:cs="Times New Roman"/>
              </w:rPr>
              <w:t xml:space="preserve">corporation tax (daň zo zisku právnických osôb ) v Írsku  </w:t>
            </w:r>
          </w:p>
          <w:p w:rsidR="00C43CAA" w:rsidRPr="0081793F" w:rsidP="00777810">
            <w:pPr>
              <w:numPr>
                <w:ilvl w:val="0"/>
                <w:numId w:val="2"/>
              </w:numPr>
              <w:tabs>
                <w:tab w:val="left" w:pos="284"/>
                <w:tab w:val="clear" w:pos="420"/>
              </w:tabs>
              <w:ind w:left="284" w:hanging="224"/>
              <w:jc w:val="both"/>
              <w:rPr>
                <w:rFonts w:ascii="Times New Roman" w:hAnsi="Times New Roman" w:cs="Times New Roman"/>
              </w:rPr>
            </w:pPr>
            <w:r w:rsidRPr="0081793F">
              <w:rPr>
                <w:rFonts w:ascii="Times New Roman" w:hAnsi="Times New Roman" w:cs="Times New Roman"/>
              </w:rPr>
              <w:t>imposta sul reddito delle persone guiridiche v Taliansku</w:t>
            </w:r>
          </w:p>
          <w:p w:rsidR="00C43CAA" w:rsidRPr="0081793F" w:rsidP="00777810">
            <w:pPr>
              <w:jc w:val="both"/>
              <w:rPr>
                <w:rFonts w:ascii="Times New Roman" w:hAnsi="Times New Roman" w:cs="Times New Roman"/>
              </w:rPr>
            </w:pPr>
            <w:r w:rsidRPr="0081793F">
              <w:rPr>
                <w:rFonts w:ascii="Times New Roman" w:hAnsi="Times New Roman" w:cs="Times New Roman"/>
              </w:rPr>
              <w:t xml:space="preserve"> -  </w:t>
            </w:r>
            <w:r w:rsidRPr="0081793F">
              <w:rPr>
                <w:rFonts w:ascii="Times New Roman" w:hAnsi="Times New Roman" w:cs="Times New Roman"/>
              </w:rPr>
              <w:t>impôt sur le revenu des collectivités v Luxemburgu</w:t>
            </w:r>
          </w:p>
          <w:p w:rsidR="00C43CAA" w:rsidRPr="0081793F" w:rsidP="00777810">
            <w:pPr>
              <w:numPr>
                <w:ilvl w:val="0"/>
                <w:numId w:val="2"/>
              </w:numPr>
              <w:tabs>
                <w:tab w:val="left" w:pos="284"/>
                <w:tab w:val="clear" w:pos="420"/>
              </w:tabs>
              <w:jc w:val="both"/>
              <w:rPr>
                <w:rFonts w:ascii="Times New Roman" w:hAnsi="Times New Roman" w:cs="Times New Roman"/>
              </w:rPr>
            </w:pPr>
            <w:r w:rsidRPr="0081793F">
              <w:rPr>
                <w:rFonts w:ascii="Times New Roman" w:hAnsi="Times New Roman" w:cs="Times New Roman"/>
              </w:rPr>
              <w:t>vennootschapsbelasting v Holandsku</w:t>
            </w:r>
          </w:p>
          <w:p w:rsidR="00C43CAA" w:rsidRPr="0081793F" w:rsidP="00777810">
            <w:pPr>
              <w:numPr>
                <w:ilvl w:val="0"/>
                <w:numId w:val="2"/>
              </w:numPr>
              <w:tabs>
                <w:tab w:val="left" w:pos="0"/>
                <w:tab w:val="clear" w:pos="420"/>
              </w:tabs>
              <w:ind w:left="284" w:hanging="224"/>
              <w:jc w:val="both"/>
              <w:rPr>
                <w:rFonts w:ascii="Times New Roman" w:hAnsi="Times New Roman" w:cs="Times New Roman"/>
              </w:rPr>
            </w:pPr>
            <w:r w:rsidRPr="0081793F">
              <w:rPr>
                <w:rFonts w:ascii="Times New Roman" w:hAnsi="Times New Roman" w:cs="Times New Roman"/>
              </w:rPr>
              <w:t>imposto sobre o rendimento das pessoas colectivas v Portugalsku</w:t>
            </w:r>
          </w:p>
          <w:p w:rsidR="00C43CAA" w:rsidRPr="0081793F" w:rsidP="00777810">
            <w:pPr>
              <w:numPr>
                <w:ilvl w:val="0"/>
                <w:numId w:val="2"/>
              </w:numPr>
              <w:tabs>
                <w:tab w:val="left" w:pos="284"/>
                <w:tab w:val="clear" w:pos="420"/>
              </w:tabs>
              <w:jc w:val="both"/>
              <w:rPr>
                <w:rFonts w:ascii="Times New Roman" w:hAnsi="Times New Roman" w:cs="Times New Roman"/>
              </w:rPr>
            </w:pPr>
            <w:r w:rsidRPr="0081793F">
              <w:rPr>
                <w:rFonts w:ascii="Times New Roman" w:hAnsi="Times New Roman" w:cs="Times New Roman"/>
              </w:rPr>
              <w:t>corporation tax (daň zo zisku právnických osôb) v Spojenom kráľovstve Veľkej Británie a Severného Írska</w:t>
            </w:r>
          </w:p>
          <w:p w:rsidR="00C43CAA" w:rsidRPr="0081793F" w:rsidP="00777810">
            <w:pPr>
              <w:ind w:left="60"/>
              <w:jc w:val="both"/>
              <w:rPr>
                <w:rFonts w:ascii="Times New Roman" w:hAnsi="Times New Roman" w:cs="Times New Roman"/>
              </w:rPr>
            </w:pPr>
            <w:r w:rsidRPr="0081793F">
              <w:rPr>
                <w:rFonts w:ascii="Times New Roman" w:hAnsi="Times New Roman" w:cs="Times New Roman"/>
              </w:rPr>
              <w:t xml:space="preserve">alebo akejkoľvek inej dane, ktorá môže  nahradiť  uvedené dane. </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BC0B0D">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0C0EFA">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9D1" w:rsidRPr="0081793F">
            <w:pPr>
              <w:rPr>
                <w:rFonts w:ascii="Times New Roman" w:hAnsi="Times New Roman" w:cs="Times New Roman"/>
                <w:lang w:val="sk-SK"/>
              </w:rPr>
            </w:pPr>
            <w:r w:rsidRPr="0081793F" w:rsidR="00C43CAA">
              <w:rPr>
                <w:rFonts w:ascii="Times New Roman" w:hAnsi="Times New Roman" w:cs="Times New Roman"/>
                <w:lang w:val="sk-SK"/>
              </w:rPr>
              <w:t>§ 2 pís</w:t>
            </w:r>
            <w:r w:rsidRPr="0081793F" w:rsidR="00AB0A2E">
              <w:rPr>
                <w:rFonts w:ascii="Times New Roman" w:hAnsi="Times New Roman" w:cs="Times New Roman"/>
                <w:lang w:val="sk-SK"/>
              </w:rPr>
              <w:t>. d</w:t>
            </w:r>
            <w:r w:rsidRPr="0081793F">
              <w:rPr>
                <w:rFonts w:ascii="Times New Roman" w:hAnsi="Times New Roman" w:cs="Times New Roman"/>
                <w:lang w:val="sk-SK"/>
              </w:rPr>
              <w:t xml:space="preserve">) </w:t>
            </w: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4B39D1" w:rsidRPr="0081793F">
            <w:pPr>
              <w:rPr>
                <w:rFonts w:ascii="Times New Roman" w:hAnsi="Times New Roman" w:cs="Times New Roman"/>
                <w:lang w:val="sk-SK"/>
              </w:rPr>
            </w:pPr>
          </w:p>
          <w:p w:rsidR="00C43CAA" w:rsidRPr="0081793F" w:rsidP="00CA48DB">
            <w:pPr>
              <w:ind w:hanging="70"/>
              <w:rPr>
                <w:rFonts w:ascii="Times New Roman" w:hAnsi="Times New Roman" w:cs="Times New Roman"/>
                <w:lang w:val="sk-SK"/>
              </w:rPr>
            </w:pPr>
            <w:r w:rsidRPr="0081793F" w:rsidR="004B39D1">
              <w:rPr>
                <w:rFonts w:ascii="Times New Roman" w:hAnsi="Times New Roman" w:cs="Times New Roman"/>
                <w:lang w:val="sk-SK"/>
              </w:rPr>
              <w:t xml:space="preserve"> </w:t>
            </w:r>
            <w:r w:rsidRPr="0081793F" w:rsidR="00CA48DB">
              <w:rPr>
                <w:rFonts w:ascii="Times New Roman" w:hAnsi="Times New Roman" w:cs="Times New Roman"/>
                <w:lang w:val="sk-SK"/>
              </w:rPr>
              <w:t>p</w:t>
            </w:r>
            <w:r w:rsidRPr="0081793F" w:rsidR="004B39D1">
              <w:rPr>
                <w:rFonts w:ascii="Times New Roman" w:hAnsi="Times New Roman" w:cs="Times New Roman"/>
                <w:lang w:val="sk-SK"/>
              </w:rPr>
              <w:t>ís.</w:t>
            </w:r>
            <w:r w:rsidRPr="0081793F" w:rsidR="00AB0A2E">
              <w:rPr>
                <w:rFonts w:ascii="Times New Roman" w:hAnsi="Times New Roman" w:cs="Times New Roman"/>
                <w:lang w:val="sk-SK"/>
              </w:rPr>
              <w:t>e</w:t>
            </w:r>
            <w:r w:rsidRPr="0081793F">
              <w:rPr>
                <w:rFonts w:ascii="Times New Roman" w:hAnsi="Times New Roman" w:cs="Times New Roman"/>
                <w:lang w:val="sk-SK"/>
              </w:rPr>
              <w:t>)</w:t>
            </w:r>
            <w:r w:rsidRPr="0081793F" w:rsidR="00AB0A2E">
              <w:rPr>
                <w:rFonts w:ascii="Times New Roman" w:hAnsi="Times New Roman" w:cs="Times New Roman"/>
                <w:lang w:val="sk-SK"/>
              </w:rPr>
              <w:t xml:space="preserve"> bod 3.</w:t>
            </w:r>
            <w:r w:rsidRPr="0081793F">
              <w:rPr>
                <w:rFonts w:ascii="Times New Roman" w:hAnsi="Times New Roman" w:cs="Times New Roman"/>
                <w:lang w:val="sk-SK"/>
              </w:rPr>
              <w:t xml:space="preserve"> </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jc w:val="both"/>
              <w:rPr>
                <w:rFonts w:ascii="Times New Roman" w:hAnsi="Times New Roman" w:cs="Times New Roman"/>
                <w:szCs w:val="24"/>
                <w:lang w:val="sk-SK"/>
              </w:rPr>
            </w:pPr>
            <w:r w:rsidRPr="0081793F">
              <w:rPr>
                <w:rFonts w:ascii="Times New Roman" w:hAnsi="Times New Roman" w:cs="Times New Roman"/>
                <w:szCs w:val="24"/>
                <w:lang w:val="sk-SK"/>
              </w:rPr>
              <w:t>Na účely tohto zákona sa rozumie</w:t>
            </w:r>
          </w:p>
          <w:p w:rsidR="00BC0B0D" w:rsidRPr="0081793F" w:rsidP="00777810">
            <w:pPr>
              <w:jc w:val="both"/>
              <w:rPr>
                <w:rFonts w:ascii="Times New Roman" w:hAnsi="Times New Roman" w:cs="Times New Roman"/>
                <w:szCs w:val="24"/>
                <w:lang w:val="sk-SK"/>
              </w:rPr>
            </w:pPr>
            <w:r w:rsidRPr="0081793F">
              <w:rPr>
                <w:rFonts w:ascii="Times New Roman" w:hAnsi="Times New Roman" w:cs="Times New Roman"/>
                <w:szCs w:val="24"/>
                <w:lang w:val="sk-SK"/>
              </w:rPr>
              <w:t>daňovníkom s neobmedzenou daňovou povinnosťou</w:t>
            </w:r>
          </w:p>
          <w:p w:rsidR="00BC0B0D" w:rsidRPr="0081793F" w:rsidP="00777810">
            <w:pPr>
              <w:jc w:val="both"/>
              <w:rPr>
                <w:rFonts w:ascii="Times New Roman" w:hAnsi="Times New Roman" w:cs="Times New Roman"/>
                <w:szCs w:val="24"/>
                <w:lang w:val="sk-SK"/>
              </w:rPr>
            </w:pPr>
            <w:r w:rsidRPr="0081793F">
              <w:rPr>
                <w:rFonts w:ascii="Times New Roman" w:hAnsi="Times New Roman" w:cs="Times New Roman"/>
                <w:szCs w:val="24"/>
                <w:lang w:val="sk-SK"/>
              </w:rPr>
              <w:t xml:space="preserve"> 1. fyzická  osoba,  ktorá  má  na  území  Slovenskej republiky  trvalý pobyt alebo sa tu obvykle zdržiava; fyzická osoba sa obvykle zdržiava na území Slovenskej republiky, ak na území Slovenskej republiky nemá trvalý  pobyt, ale sa tu zdržiava  aspoň 183  dní v príslušnom kalendárnom  roku, a to súvisle alebo   v  niekoľkých   obdobiach;  do   tohto  obdobia  sa započítava každý, aj začatý deň pobytu,</w:t>
            </w:r>
          </w:p>
          <w:p w:rsidR="00C43CAA" w:rsidRPr="0081793F" w:rsidP="00777810">
            <w:pPr>
              <w:jc w:val="both"/>
              <w:rPr>
                <w:rFonts w:ascii="Times New Roman" w:hAnsi="Times New Roman" w:cs="Times New Roman"/>
                <w:szCs w:val="24"/>
                <w:lang w:val="sk-SK"/>
              </w:rPr>
            </w:pPr>
            <w:r w:rsidRPr="0081793F" w:rsidR="00BC0B0D">
              <w:rPr>
                <w:rFonts w:ascii="Times New Roman" w:hAnsi="Times New Roman" w:cs="Times New Roman"/>
                <w:szCs w:val="24"/>
                <w:lang w:val="sk-SK"/>
              </w:rPr>
              <w:t xml:space="preserve">2. právnická  osoba, ktorá  má na  území Slovenskej  republiky sídlo alebo  miesto skutočného vedenia;  miestom skutočného vedenia  je miesto,  kde </w:t>
            </w:r>
            <w:r w:rsidRPr="0081793F" w:rsidR="00BC0B0D">
              <w:rPr>
                <w:rFonts w:ascii="Times New Roman" w:hAnsi="Times New Roman" w:cs="Times New Roman"/>
                <w:szCs w:val="24"/>
                <w:lang w:val="sk-SK"/>
              </w:rPr>
              <w:t>sa  prijímajú riadiace  a obchodné rozhodnutia   štatutárnych  orgánov   a  dozorných  orgánov právnickej osoby, aj ak adresa tohto miesta nie je zapísaná v obchodnom registri</w:t>
            </w:r>
          </w:p>
          <w:p w:rsidR="00C43CAA" w:rsidRPr="0081793F" w:rsidP="00777810">
            <w:pPr>
              <w:ind w:left="360" w:hanging="360"/>
              <w:jc w:val="both"/>
              <w:rPr>
                <w:rFonts w:ascii="Times New Roman" w:hAnsi="Times New Roman" w:cs="Times New Roman"/>
                <w:szCs w:val="24"/>
                <w:lang w:val="sk-SK"/>
              </w:rPr>
            </w:pPr>
          </w:p>
          <w:p w:rsidR="00C43CAA" w:rsidRPr="0081793F" w:rsidP="00777810">
            <w:pPr>
              <w:jc w:val="both"/>
              <w:rPr>
                <w:rFonts w:ascii="Times New Roman" w:hAnsi="Times New Roman" w:cs="Times New Roman"/>
                <w:lang w:val="sk-SK"/>
              </w:rPr>
            </w:pPr>
            <w:r w:rsidRPr="0081793F" w:rsidR="00AB0A2E">
              <w:rPr>
                <w:rFonts w:ascii="Times New Roman" w:hAnsi="Times New Roman" w:cs="Times New Roman"/>
                <w:lang w:val="sk-SK"/>
              </w:rPr>
              <w:t>daňovníkom s obmedzenou daňovou povinnosťou</w:t>
            </w:r>
          </w:p>
          <w:p w:rsidR="00AB0A2E" w:rsidRPr="0081793F" w:rsidP="00777810">
            <w:pPr>
              <w:jc w:val="both"/>
              <w:rPr>
                <w:rFonts w:ascii="Times New Roman" w:hAnsi="Times New Roman" w:cs="Times New Roman"/>
                <w:lang w:val="sk-SK"/>
              </w:rPr>
            </w:pPr>
            <w:r w:rsidRPr="0081793F">
              <w:rPr>
                <w:rFonts w:ascii="Times New Roman" w:hAnsi="Times New Roman" w:cs="Times New Roman"/>
                <w:lang w:val="sk-SK"/>
              </w:rPr>
              <w:t>3. právnická osoba neuvedená v písm</w:t>
            </w:r>
            <w:r w:rsidRPr="0081793F">
              <w:rPr>
                <w:rFonts w:ascii="Times New Roman" w:hAnsi="Times New Roman" w:cs="Times New Roman"/>
                <w:lang w:val="sk-SK"/>
              </w:rPr>
              <w:t>ene d) druhom bode,</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4B39D1">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565ABE">
              <w:rPr>
                <w:rFonts w:ascii="Times New Roman" w:hAnsi="Times New Roman" w:cs="Times New Roman"/>
                <w:lang w:val="sk-SK"/>
              </w:rPr>
              <w:t>Čl.</w:t>
            </w:r>
            <w:r w:rsidRPr="0081793F">
              <w:rPr>
                <w:rFonts w:ascii="Times New Roman" w:hAnsi="Times New Roman" w:cs="Times New Roman"/>
                <w:lang w:val="sk-SK"/>
              </w:rPr>
              <w:t xml:space="preserve"> 4</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numPr>
                <w:ilvl w:val="0"/>
                <w:numId w:val="3"/>
              </w:numPr>
              <w:tabs>
                <w:tab w:val="left" w:pos="360"/>
              </w:tabs>
              <w:jc w:val="both"/>
              <w:rPr>
                <w:rFonts w:ascii="Times New Roman" w:hAnsi="Times New Roman" w:cs="Times New Roman"/>
                <w:lang w:val="sk-SK"/>
              </w:rPr>
            </w:pPr>
            <w:r w:rsidRPr="0081793F">
              <w:rPr>
                <w:rFonts w:ascii="Times New Roman" w:hAnsi="Times New Roman" w:cs="Times New Roman"/>
                <w:lang w:val="sk-SK"/>
              </w:rPr>
              <w:t xml:space="preserve">Zlúčenie alebo rozdelenie nemá mať za následok  zdanenie kapitálových ziskov  počítaných ako rozdiel medzi reálnou hodnotou prevedených aktív a pasív a ich hodnotu pre daňové účely. Nasledujúce výrazy majú význam , ktorý je </w:t>
            </w:r>
            <w:r w:rsidRPr="0081793F">
              <w:rPr>
                <w:rFonts w:ascii="Times New Roman" w:hAnsi="Times New Roman" w:cs="Times New Roman"/>
                <w:lang w:val="sk-SK"/>
              </w:rPr>
              <w:t>im priradený:</w:t>
            </w:r>
          </w:p>
          <w:p w:rsidR="00A6679D" w:rsidRPr="0081793F" w:rsidP="00777810">
            <w:pPr>
              <w:jc w:val="both"/>
              <w:rPr>
                <w:rFonts w:ascii="Times New Roman" w:hAnsi="Times New Roman" w:cs="Times New Roman"/>
                <w:lang w:val="sk-SK"/>
              </w:rPr>
            </w:pP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 hodnota pre daňové účely: hodnota,  na základe ktorej sa vypočíta  prírastok alebo úbytok, zisku alebo kapitálových ziskov prevádzajúcej spoločnosti za účelom dane z príjmu , ak by takéto aktíva alebo pasíva boli predané v dobe zlúčenia al</w:t>
            </w:r>
            <w:r w:rsidRPr="0081793F">
              <w:rPr>
                <w:rFonts w:ascii="Times New Roman" w:hAnsi="Times New Roman" w:cs="Times New Roman"/>
                <w:lang w:val="sk-SK"/>
              </w:rPr>
              <w:t xml:space="preserve">ebo rozdelenia, avšak nezávisle od neho, </w:t>
            </w:r>
          </w:p>
          <w:p w:rsidR="00C43CAA" w:rsidRPr="0081793F" w:rsidP="00777810">
            <w:pPr>
              <w:jc w:val="both"/>
              <w:rPr>
                <w:rFonts w:ascii="Times New Roman" w:hAnsi="Times New Roman" w:cs="Times New Roman"/>
                <w:lang w:val="sk-SK"/>
              </w:rPr>
            </w:pP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 prevedené aktíva alebo pasíva: tie aktíva a pasíva prevádzajúcej spoločnosti, ktoré v dôsledku zlúčenia alebo rozdelenia sú efektívne spojené s trvalým sídlom preberajúcej spoločnosti v  členskom štáte prevádzajúcej spoločnosti a majú účasť na tvorbe zisku alebo strát, ktoré sa berú do úvahy na daňové účely.</w:t>
            </w:r>
          </w:p>
          <w:p w:rsidR="007C14E2" w:rsidRPr="0081793F" w:rsidP="00777810">
            <w:pPr>
              <w:jc w:val="both"/>
              <w:rPr>
                <w:rFonts w:ascii="Times New Roman" w:hAnsi="Times New Roman" w:cs="Times New Roman"/>
                <w:lang w:val="sk-SK"/>
              </w:rPr>
            </w:pPr>
          </w:p>
          <w:p w:rsidR="00C43CAA" w:rsidRPr="0081793F" w:rsidP="00777810">
            <w:pPr>
              <w:pStyle w:val="BodyText2"/>
              <w:spacing w:line="240" w:lineRule="auto"/>
              <w:jc w:val="both"/>
              <w:rPr>
                <w:rFonts w:ascii="Times New Roman" w:hAnsi="Times New Roman" w:cs="Times New Roman"/>
                <w:lang w:val="sk-SK"/>
              </w:rPr>
            </w:pPr>
            <w:r w:rsidRPr="0081793F">
              <w:rPr>
                <w:rFonts w:ascii="Times New Roman" w:hAnsi="Times New Roman" w:cs="Times New Roman"/>
                <w:lang w:val="sk-SK"/>
              </w:rPr>
              <w:t>2. Členské štáty uplatnia odsek 1 s podmienkou, že preberajúca spoločnosť vypočíta všetky nové odpisy hodnoty akcií, všetky prírastky alebo straty vzhľadom na aktíva a pasíva prevedené podľa pravidiel, ktoré by platili pre prevádzajúcu spoločnosť alebo spoločnosti, ak by nedošlo k zlučovaniu alebo rozdeleniu.</w:t>
            </w:r>
          </w:p>
          <w:p w:rsidR="007C14E2" w:rsidRPr="0081793F" w:rsidP="00777810">
            <w:pPr>
              <w:pStyle w:val="BodyText2"/>
              <w:spacing w:line="240" w:lineRule="auto"/>
              <w:jc w:val="both"/>
              <w:rPr>
                <w:rFonts w:ascii="Times New Roman" w:hAnsi="Times New Roman" w:cs="Times New Roman"/>
                <w:lang w:val="sk-SK"/>
              </w:rPr>
            </w:pPr>
          </w:p>
          <w:p w:rsidR="007C14E2" w:rsidRPr="0081793F" w:rsidP="00777810">
            <w:pPr>
              <w:pStyle w:val="BodyText2"/>
              <w:spacing w:line="240" w:lineRule="auto"/>
              <w:jc w:val="both"/>
              <w:rPr>
                <w:rFonts w:ascii="Times New Roman" w:hAnsi="Times New Roman" w:cs="Times New Roman"/>
                <w:lang w:val="sk-SK"/>
              </w:rPr>
            </w:pPr>
          </w:p>
          <w:p w:rsidR="007C14E2" w:rsidRPr="0081793F" w:rsidP="00777810">
            <w:pPr>
              <w:pStyle w:val="BodyText2"/>
              <w:spacing w:line="240" w:lineRule="auto"/>
              <w:jc w:val="both"/>
              <w:rPr>
                <w:rFonts w:ascii="Times New Roman" w:hAnsi="Times New Roman" w:cs="Times New Roman"/>
                <w:lang w:val="sk-SK"/>
              </w:rPr>
            </w:pPr>
          </w:p>
          <w:p w:rsidR="00C43CAA" w:rsidRPr="0081793F" w:rsidP="00777810">
            <w:pPr>
              <w:jc w:val="both"/>
              <w:rPr>
                <w:rFonts w:ascii="Times New Roman" w:hAnsi="Times New Roman" w:cs="Times New Roman"/>
                <w:lang w:val="sk-SK"/>
              </w:rPr>
            </w:pPr>
          </w:p>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3. Ak podľa zákonov členského štátu prevádzajúcej spoločnosti, je preberajúca spoločnosť  oprávnená mať  nové odpisy alebo  zisky a straty vzhľadom na prevedené aktíva a pasíva počítané na odlišnom základe ako je stanové v odseku 2, odsek 1 sa neuplatní na aktíva a pasíva, na ktoré sa uplatňuje  táto možnosť . </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r w:rsidRPr="0081793F">
              <w:rPr>
                <w:rFonts w:ascii="Times New Roman" w:hAnsi="Times New Roman" w:cs="Times New Roman"/>
                <w:lang w:val="sk-SK"/>
              </w:rPr>
              <w:t>Zákon č. 595/</w:t>
            </w:r>
            <w:r w:rsidRPr="0081793F">
              <w:rPr>
                <w:rFonts w:ascii="Times New Roman" w:hAnsi="Times New Roman" w:cs="Times New Roman"/>
                <w:lang w:val="sk-SK"/>
              </w:rPr>
              <w:t>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r w:rsidRPr="0081793F">
              <w:rPr>
                <w:rFonts w:ascii="Times New Roman" w:hAnsi="Times New Roman" w:cs="Times New Roman"/>
                <w:lang w:val="sk-SK"/>
              </w:rPr>
              <w:t>§ 22 ods. 13</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jc w:val="both"/>
              <w:rPr>
                <w:rFonts w:ascii="Times New Roman" w:hAnsi="Times New Roman" w:cs="Times New Roman"/>
                <w:lang w:val="sk-SK"/>
              </w:rPr>
            </w:pPr>
          </w:p>
          <w:p w:rsidR="00C43CAA" w:rsidRPr="0081793F" w:rsidP="00777810">
            <w:pPr>
              <w:jc w:val="both"/>
              <w:rPr>
                <w:rFonts w:ascii="Times New Roman" w:hAnsi="Times New Roman" w:cs="Times New Roman"/>
                <w:lang w:val="sk-SK"/>
              </w:rPr>
            </w:pPr>
          </w:p>
          <w:p w:rsidR="00C43CAA"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r w:rsidRPr="0081793F">
              <w:rPr>
                <w:rFonts w:ascii="Times New Roman" w:hAnsi="Times New Roman" w:cs="Times New Roman"/>
                <w:lang w:val="sk-SK"/>
              </w:rPr>
              <w:t>(13) Daňovník, ktorý sa zrušuje bez  likvidácie, uplatní z vypočítaného ročného  odpisu alikvotnú časť pripadajúcu na celé mesiace, počas ktorých daňovník majetok  účtoval. Zvyšnú časť ročného odpisu prepočítaného na  kalendárne mesiace uplatní právny nástupca zaniknutého daňovníka;  zvyšná  časť  ročného odpisu sa uplatňuje už v mesiaci, v ktorom bol majetok zaevidovaný v majetku právneho nástupcu. Rovnako sa  postupuje  aj pri  prevod</w:t>
            </w:r>
            <w:r w:rsidRPr="0081793F">
              <w:rPr>
                <w:rFonts w:ascii="Times New Roman" w:hAnsi="Times New Roman" w:cs="Times New Roman"/>
                <w:lang w:val="sk-SK"/>
              </w:rPr>
              <w:t>e správy majetku štátu, obce alebo vyššieho územného celku.</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7C14E2">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473" w:rsidRPr="0081793F" w:rsidP="009F5952">
            <w:pPr>
              <w:jc w:val="both"/>
              <w:rPr>
                <w:rFonts w:ascii="Times New Roman" w:hAnsi="Times New Roman" w:cs="Times New Roman"/>
                <w:lang w:val="sk-SK"/>
              </w:rPr>
            </w:pPr>
            <w:r w:rsidRPr="0081793F">
              <w:rPr>
                <w:rFonts w:ascii="Times New Roman" w:hAnsi="Times New Roman" w:cs="Times New Roman"/>
                <w:lang w:val="sk-SK"/>
              </w:rPr>
              <w:t xml:space="preserve">§ 27 ods. 1 písm. d) zákona č. 431/2002 Z.z. o účtovníctve upravuje spôsob ocenenia v účtovníctve a následne Opatrenie č. 23054/2002-92, ktorým sa ustanovujú podrobnosti o postupoch účtovania a rámcovej účtovej osnove pre podnikateľov účtujúcich v sústave podvojného účtovníctva upravuje,  aby oceňovacie rozdiely boli účtované na účtoch účtových skupín 41 Základné imanie a kapitálové fondy a 42 – Fondy zo zisku a prevedené výsledky hospodárenia podľa zmluvy  </w:t>
            </w:r>
            <w:r w:rsidRPr="0081793F" w:rsidR="00E0007A">
              <w:rPr>
                <w:rFonts w:ascii="Times New Roman" w:hAnsi="Times New Roman" w:cs="Times New Roman"/>
                <w:lang w:val="sk-SK"/>
              </w:rPr>
              <w:t xml:space="preserve">o </w:t>
            </w:r>
            <w:r w:rsidRPr="0081793F">
              <w:rPr>
                <w:rFonts w:ascii="Times New Roman" w:hAnsi="Times New Roman" w:cs="Times New Roman"/>
                <w:lang w:val="sk-SK"/>
              </w:rPr>
              <w:t>splynutí alebo</w:t>
            </w:r>
            <w:r w:rsidRPr="0081793F" w:rsidR="00E0007A">
              <w:rPr>
                <w:rFonts w:ascii="Times New Roman" w:hAnsi="Times New Roman" w:cs="Times New Roman"/>
                <w:lang w:val="sk-SK"/>
              </w:rPr>
              <w:t xml:space="preserve">  </w:t>
            </w:r>
            <w:r w:rsidRPr="0081793F">
              <w:rPr>
                <w:rFonts w:ascii="Times New Roman" w:hAnsi="Times New Roman" w:cs="Times New Roman"/>
                <w:lang w:val="sk-SK"/>
              </w:rPr>
              <w:t xml:space="preserve">zmluvy o rozdelení (§ 26 ods. 2 a 3 opatrenia č. 23054/2002-92). </w:t>
            </w:r>
          </w:p>
          <w:p w:rsidR="00110473" w:rsidRPr="0081793F" w:rsidP="009F5952">
            <w:pPr>
              <w:jc w:val="both"/>
              <w:rPr>
                <w:rFonts w:ascii="Times New Roman" w:hAnsi="Times New Roman" w:cs="Times New Roman"/>
                <w:lang w:val="sk-SK"/>
              </w:rPr>
            </w:pPr>
          </w:p>
          <w:p w:rsidR="00C43CAA" w:rsidRPr="0081793F" w:rsidP="009F5952">
            <w:pPr>
              <w:jc w:val="both"/>
              <w:rPr>
                <w:rFonts w:ascii="Times New Roman" w:hAnsi="Times New Roman" w:cs="Times New Roman"/>
                <w:lang w:val="sk-SK"/>
              </w:rPr>
            </w:pPr>
            <w:r w:rsidRPr="0081793F" w:rsidR="00110473">
              <w:rPr>
                <w:rFonts w:ascii="Times New Roman" w:hAnsi="Times New Roman" w:cs="Times New Roman"/>
                <w:lang w:val="sk-SK"/>
              </w:rPr>
              <w:t>V súlade s § 17 ods. 1 zákona o daniach z príjmov sa pri vyčíslení základu dane vychádza z účtovného hospodárskeho výsledku, t.j. na daňové účely sú akceptované aj vyššie uvedené účtovné úpravy.</w:t>
            </w: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val="273"/>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r w:rsidRPr="0081793F" w:rsidR="00E85437">
              <w:rPr>
                <w:rFonts w:ascii="Times New Roman" w:hAnsi="Times New Roman" w:cs="Times New Roman"/>
                <w:lang w:val="sk-SK"/>
              </w:rPr>
              <w:t>Čl.</w:t>
            </w:r>
            <w:r w:rsidRPr="0081793F">
              <w:rPr>
                <w:rFonts w:ascii="Times New Roman" w:hAnsi="Times New Roman" w:cs="Times New Roman"/>
                <w:lang w:val="sk-SK"/>
              </w:rPr>
              <w:t xml:space="preserve"> 5</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Členské štáty urobia nevyhnutné opatrenia, aby sa zabezpečilo, že tam, kde zásoby alebo rezervy, správne ustanovené prevádzajúcou  spoločnosťou, sú čiastočne alebo úplne oslobodené od dane a nie sú odvodené od materských podnikov v zahraničí, takéto zásoby alebo rezervy môžu byť prenesené s tým istým oslobodením od dane materskými podnikmi preberajúcej spoločnosti so sídlom v členskom štáte prevádzajúcej spoločnosti, čím preberajúca spoločnosť preberá práva a povinnosti prevádzajúcej spoločnosti.</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r w:rsidRPr="0081793F" w:rsidR="00ED330A">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r w:rsidRPr="0081793F">
              <w:rPr>
                <w:rFonts w:ascii="Times New Roman" w:hAnsi="Times New Roman" w:cs="Times New Roman"/>
                <w:lang w:val="sk-SK"/>
              </w:rPr>
              <w:t>§17</w:t>
            </w:r>
            <w:r w:rsidRPr="0081793F" w:rsidR="00AB184D">
              <w:rPr>
                <w:rFonts w:ascii="Times New Roman" w:hAnsi="Times New Roman" w:cs="Times New Roman"/>
                <w:lang w:val="sk-SK"/>
              </w:rPr>
              <w:t xml:space="preserve"> </w:t>
            </w:r>
            <w:r w:rsidRPr="0081793F">
              <w:rPr>
                <w:rFonts w:ascii="Times New Roman" w:hAnsi="Times New Roman" w:cs="Times New Roman"/>
                <w:lang w:val="sk-SK"/>
              </w:rPr>
              <w:t>ods.</w:t>
            </w:r>
            <w:r w:rsidRPr="0081793F" w:rsidR="00AB184D">
              <w:rPr>
                <w:rFonts w:ascii="Times New Roman" w:hAnsi="Times New Roman" w:cs="Times New Roman"/>
                <w:lang w:val="sk-SK"/>
              </w:rPr>
              <w:t xml:space="preserve"> </w:t>
            </w:r>
            <w:r w:rsidRPr="0081793F" w:rsidR="00ED330A">
              <w:rPr>
                <w:rFonts w:ascii="Times New Roman" w:hAnsi="Times New Roman" w:cs="Times New Roman"/>
                <w:lang w:val="sk-SK"/>
              </w:rPr>
              <w:t>13</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330A" w:rsidRPr="0081793F" w:rsidP="00777810">
            <w:pPr>
              <w:jc w:val="both"/>
              <w:rPr>
                <w:rFonts w:ascii="Times New Roman" w:hAnsi="Times New Roman" w:cs="Times New Roman"/>
                <w:szCs w:val="24"/>
                <w:lang w:val="sk-SK"/>
              </w:rPr>
            </w:pPr>
            <w:r w:rsidRPr="0081793F">
              <w:rPr>
                <w:rFonts w:ascii="Times New Roman" w:hAnsi="Times New Roman" w:cs="Times New Roman"/>
                <w:szCs w:val="24"/>
                <w:lang w:val="sk-SK"/>
              </w:rPr>
              <w:t xml:space="preserve">Pri  zrušení  daňovníka  účtujúceho  v sústave podvojného účtovníctva  bez  likvidácie  sa  základ  dane  ku dňu jeho zániku upraví o zostatky vytvorených  rezerv a opravných položiek </w:t>
            </w:r>
            <w:r w:rsidRPr="0081793F">
              <w:rPr>
                <w:rFonts w:ascii="Times New Roman" w:hAnsi="Times New Roman" w:cs="Times New Roman"/>
                <w:szCs w:val="24"/>
                <w:lang w:val="sk-SK"/>
              </w:rPr>
              <w:t>vrátane</w:t>
            </w:r>
            <w:r w:rsidRPr="0081793F" w:rsidR="009F5952">
              <w:rPr>
                <w:rFonts w:ascii="Times New Roman" w:hAnsi="Times New Roman" w:cs="Times New Roman"/>
                <w:szCs w:val="24"/>
                <w:lang w:val="sk-SK"/>
              </w:rPr>
              <w:t xml:space="preserve"> </w:t>
            </w:r>
            <w:r w:rsidRPr="0081793F">
              <w:rPr>
                <w:rFonts w:ascii="Times New Roman" w:hAnsi="Times New Roman" w:cs="Times New Roman"/>
                <w:szCs w:val="24"/>
                <w:lang w:val="sk-SK"/>
              </w:rPr>
              <w:t>o</w:t>
            </w:r>
            <w:r w:rsidRPr="0081793F" w:rsidR="009F5952">
              <w:rPr>
                <w:rFonts w:ascii="Times New Roman" w:hAnsi="Times New Roman" w:cs="Times New Roman"/>
                <w:szCs w:val="24"/>
                <w:lang w:val="sk-SK"/>
              </w:rPr>
              <w:t>pravnej</w:t>
            </w:r>
            <w:r w:rsidRPr="0081793F">
              <w:rPr>
                <w:rFonts w:ascii="Times New Roman" w:hAnsi="Times New Roman" w:cs="Times New Roman"/>
                <w:szCs w:val="24"/>
                <w:lang w:val="sk-SK"/>
              </w:rPr>
              <w:t xml:space="preserve"> položky   k odplatne </w:t>
            </w:r>
            <w:r w:rsidRPr="0081793F" w:rsidR="009F5952">
              <w:rPr>
                <w:rFonts w:ascii="Times New Roman" w:hAnsi="Times New Roman" w:cs="Times New Roman"/>
                <w:szCs w:val="24"/>
                <w:lang w:val="sk-SK"/>
              </w:rPr>
              <w:t>nadobudnutému</w:t>
            </w:r>
            <w:r w:rsidRPr="0081793F">
              <w:rPr>
                <w:rFonts w:ascii="Times New Roman" w:hAnsi="Times New Roman" w:cs="Times New Roman"/>
                <w:szCs w:val="24"/>
                <w:lang w:val="sk-SK"/>
              </w:rPr>
              <w:t xml:space="preserve"> majetku,  príjmov</w:t>
            </w:r>
          </w:p>
          <w:p w:rsidR="00C43CAA" w:rsidRPr="0081793F" w:rsidP="00777810">
            <w:pPr>
              <w:jc w:val="both"/>
              <w:rPr>
                <w:rFonts w:ascii="Times New Roman" w:hAnsi="Times New Roman" w:cs="Times New Roman"/>
                <w:szCs w:val="24"/>
                <w:lang w:val="sk-SK"/>
              </w:rPr>
            </w:pPr>
            <w:r w:rsidRPr="0081793F" w:rsidR="00ED330A">
              <w:rPr>
                <w:rFonts w:ascii="Times New Roman" w:hAnsi="Times New Roman" w:cs="Times New Roman"/>
                <w:szCs w:val="24"/>
                <w:lang w:val="sk-SK"/>
              </w:rPr>
              <w:t>budúcich období, výnosov budúcich období, výdavkov budúcich období a nákladov  budúcich  období  okrem  tých  položiek, ktoré preberá právny nástupca  zaniknutej obchodnej spoločnosti  alebo družstva,</w:t>
            </w:r>
            <w:r w:rsidRPr="0081793F" w:rsidR="009F5952">
              <w:rPr>
                <w:rFonts w:ascii="Times New Roman" w:hAnsi="Times New Roman" w:cs="Times New Roman"/>
                <w:szCs w:val="24"/>
                <w:lang w:val="sk-SK"/>
              </w:rPr>
              <w:t xml:space="preserve"> </w:t>
            </w:r>
            <w:r w:rsidRPr="0081793F" w:rsidR="00ED330A">
              <w:rPr>
                <w:rFonts w:ascii="Times New Roman" w:hAnsi="Times New Roman" w:cs="Times New Roman"/>
                <w:szCs w:val="24"/>
                <w:lang w:val="sk-SK"/>
              </w:rPr>
              <w:t>ak sa  preu</w:t>
            </w:r>
            <w:r w:rsidRPr="0081793F" w:rsidR="009F5952">
              <w:rPr>
                <w:rFonts w:ascii="Times New Roman" w:hAnsi="Times New Roman" w:cs="Times New Roman"/>
                <w:szCs w:val="24"/>
                <w:lang w:val="sk-SK"/>
              </w:rPr>
              <w:t>kázateľne vzťahujú k právam a  záväzkom</w:t>
            </w:r>
            <w:r w:rsidRPr="0081793F" w:rsidR="00ED330A">
              <w:rPr>
                <w:rFonts w:ascii="Times New Roman" w:hAnsi="Times New Roman" w:cs="Times New Roman"/>
                <w:szCs w:val="24"/>
                <w:lang w:val="sk-SK"/>
              </w:rPr>
              <w:t xml:space="preserve"> právneho </w:t>
            </w:r>
            <w:r w:rsidRPr="0081793F" w:rsidR="009F5952">
              <w:rPr>
                <w:rFonts w:ascii="Times New Roman" w:hAnsi="Times New Roman" w:cs="Times New Roman"/>
                <w:szCs w:val="24"/>
                <w:lang w:val="sk-SK"/>
              </w:rPr>
              <w:t xml:space="preserve">nástupcu. </w:t>
            </w:r>
            <w:r w:rsidRPr="0081793F" w:rsidR="00ED330A">
              <w:rPr>
                <w:rFonts w:ascii="Times New Roman" w:hAnsi="Times New Roman" w:cs="Times New Roman"/>
                <w:szCs w:val="24"/>
                <w:lang w:val="sk-SK"/>
              </w:rPr>
              <w:t>Rovnaký   postu</w:t>
            </w:r>
            <w:r w:rsidRPr="0081793F" w:rsidR="009F5952">
              <w:rPr>
                <w:rFonts w:ascii="Times New Roman" w:hAnsi="Times New Roman" w:cs="Times New Roman"/>
                <w:szCs w:val="24"/>
                <w:lang w:val="sk-SK"/>
              </w:rPr>
              <w:t>p sa uplatní pri splynutí,</w:t>
            </w:r>
            <w:r w:rsidRPr="0081793F" w:rsidR="00ED330A">
              <w:rPr>
                <w:rFonts w:ascii="Times New Roman" w:hAnsi="Times New Roman" w:cs="Times New Roman"/>
                <w:szCs w:val="24"/>
                <w:lang w:val="sk-SK"/>
              </w:rPr>
              <w:t xml:space="preserve"> zlúčení</w:t>
            </w:r>
            <w:r w:rsidRPr="0081793F" w:rsidR="009F5952">
              <w:rPr>
                <w:rFonts w:ascii="Times New Roman" w:hAnsi="Times New Roman" w:cs="Times New Roman"/>
                <w:szCs w:val="24"/>
                <w:lang w:val="sk-SK"/>
              </w:rPr>
              <w:t xml:space="preserve"> </w:t>
            </w:r>
            <w:r w:rsidRPr="0081793F" w:rsidR="00ED330A">
              <w:rPr>
                <w:rFonts w:ascii="Times New Roman" w:hAnsi="Times New Roman" w:cs="Times New Roman"/>
                <w:szCs w:val="24"/>
                <w:lang w:val="sk-SK"/>
              </w:rPr>
              <w:t>a</w:t>
            </w:r>
            <w:r w:rsidRPr="0081793F" w:rsidR="009F5952">
              <w:rPr>
                <w:rFonts w:ascii="Times New Roman" w:hAnsi="Times New Roman" w:cs="Times New Roman"/>
                <w:szCs w:val="24"/>
                <w:lang w:val="sk-SK"/>
              </w:rPr>
              <w:t> </w:t>
            </w:r>
            <w:r w:rsidRPr="0081793F" w:rsidR="00ED330A">
              <w:rPr>
                <w:rFonts w:ascii="Times New Roman" w:hAnsi="Times New Roman" w:cs="Times New Roman"/>
                <w:szCs w:val="24"/>
                <w:lang w:val="sk-SK"/>
              </w:rPr>
              <w:t>rozdelení</w:t>
            </w:r>
            <w:r w:rsidRPr="0081793F" w:rsidR="009F5952">
              <w:rPr>
                <w:rFonts w:ascii="Times New Roman" w:hAnsi="Times New Roman" w:cs="Times New Roman"/>
                <w:szCs w:val="24"/>
                <w:lang w:val="sk-SK"/>
              </w:rPr>
              <w:t xml:space="preserve"> obchodnej spoločnosti </w:t>
            </w:r>
            <w:r w:rsidRPr="0081793F" w:rsidR="00ED330A">
              <w:rPr>
                <w:rFonts w:ascii="Times New Roman" w:hAnsi="Times New Roman" w:cs="Times New Roman"/>
                <w:szCs w:val="24"/>
                <w:lang w:val="sk-SK"/>
              </w:rPr>
              <w:t xml:space="preserve">alebo  družstva, ak súčasťou splynutia, zlúčenia </w:t>
            </w:r>
            <w:r w:rsidRPr="0081793F" w:rsidR="009F5952">
              <w:rPr>
                <w:rFonts w:ascii="Times New Roman" w:hAnsi="Times New Roman" w:cs="Times New Roman"/>
                <w:szCs w:val="24"/>
                <w:lang w:val="sk-SK"/>
              </w:rPr>
              <w:t xml:space="preserve">a rozdelenia </w:t>
            </w:r>
            <w:r w:rsidRPr="0081793F" w:rsidR="00ED330A">
              <w:rPr>
                <w:rFonts w:ascii="Times New Roman" w:hAnsi="Times New Roman" w:cs="Times New Roman"/>
                <w:szCs w:val="24"/>
                <w:lang w:val="sk-SK"/>
              </w:rPr>
              <w:t>obchodnej</w:t>
            </w:r>
            <w:r w:rsidRPr="0081793F" w:rsidR="009F5952">
              <w:rPr>
                <w:rFonts w:ascii="Times New Roman" w:hAnsi="Times New Roman" w:cs="Times New Roman"/>
                <w:szCs w:val="24"/>
                <w:lang w:val="sk-SK"/>
              </w:rPr>
              <w:t xml:space="preserve"> </w:t>
            </w:r>
            <w:r w:rsidRPr="0081793F" w:rsidR="00ED330A">
              <w:rPr>
                <w:rFonts w:ascii="Times New Roman" w:hAnsi="Times New Roman" w:cs="Times New Roman"/>
                <w:szCs w:val="24"/>
                <w:lang w:val="sk-SK"/>
              </w:rPr>
              <w:t>spoločnosti ale</w:t>
            </w:r>
            <w:r w:rsidRPr="0081793F" w:rsidR="00ED330A">
              <w:rPr>
                <w:rFonts w:ascii="Times New Roman" w:hAnsi="Times New Roman" w:cs="Times New Roman"/>
                <w:szCs w:val="24"/>
                <w:lang w:val="sk-SK"/>
              </w:rPr>
              <w:t>bo</w:t>
            </w:r>
            <w:r w:rsidRPr="0081793F" w:rsidR="009F5952">
              <w:rPr>
                <w:rFonts w:ascii="Times New Roman" w:hAnsi="Times New Roman" w:cs="Times New Roman"/>
                <w:szCs w:val="24"/>
                <w:lang w:val="sk-SK"/>
              </w:rPr>
              <w:t xml:space="preserve"> </w:t>
            </w:r>
            <w:r w:rsidRPr="0081793F" w:rsidR="00ED330A">
              <w:rPr>
                <w:rFonts w:ascii="Times New Roman" w:hAnsi="Times New Roman" w:cs="Times New Roman"/>
                <w:szCs w:val="24"/>
                <w:lang w:val="sk-SK"/>
              </w:rPr>
              <w:t>druž</w:t>
            </w:r>
            <w:r w:rsidRPr="0081793F" w:rsidR="009F5952">
              <w:rPr>
                <w:rFonts w:ascii="Times New Roman" w:hAnsi="Times New Roman" w:cs="Times New Roman"/>
                <w:szCs w:val="24"/>
                <w:lang w:val="sk-SK"/>
              </w:rPr>
              <w:t>stva</w:t>
            </w:r>
            <w:r w:rsidRPr="0081793F" w:rsidR="00ED330A">
              <w:rPr>
                <w:rFonts w:ascii="Times New Roman" w:hAnsi="Times New Roman" w:cs="Times New Roman"/>
                <w:szCs w:val="24"/>
                <w:lang w:val="sk-SK"/>
              </w:rPr>
              <w:t xml:space="preserve"> je aj majetok obchodnej spoločnosti alebo  družstva so sídlom v členských štátoch Európskej únie.</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r w:rsidRPr="0081793F" w:rsidR="004B39D1">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CF0A8C">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AB184D">
              <w:rPr>
                <w:rFonts w:ascii="Times New Roman" w:hAnsi="Times New Roman" w:cs="Times New Roman"/>
                <w:lang w:val="sk-SK"/>
              </w:rPr>
              <w:t>Čl.</w:t>
            </w:r>
            <w:r w:rsidRPr="0081793F">
              <w:rPr>
                <w:rFonts w:ascii="Times New Roman" w:hAnsi="Times New Roman" w:cs="Times New Roman"/>
                <w:lang w:val="sk-SK"/>
              </w:rPr>
              <w:t xml:space="preserve"> 6</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777810">
            <w:pPr>
              <w:jc w:val="both"/>
              <w:rPr>
                <w:rFonts w:ascii="Times New Roman" w:hAnsi="Times New Roman" w:cs="Times New Roman"/>
                <w:lang w:val="sk-SK"/>
              </w:rPr>
            </w:pPr>
            <w:r w:rsidRPr="0081793F">
              <w:rPr>
                <w:rFonts w:ascii="Times New Roman" w:hAnsi="Times New Roman" w:cs="Times New Roman"/>
                <w:lang w:val="sk-SK"/>
              </w:rPr>
              <w:t>Ak operácie uvedené v článku 1 medzi spoločnosťami z členského štátu prevádzajúcej spoločnosti sa uskutočnili v takom rozsahu,  že   tento členský štát  bude uplatňovať ustanovenia umožňujúce preberajúcej spoločnosti  prevziať straty prevádzajúcej spoločnosti, ktoré doposiaľ neboli odvedené na daňové účely, rozšíri tieto ustanovenia tak, aby pokrývali prevzatie takých strát  materskými podnikmi preberajúcej spoločnosti, sídliacimi na území tohto štátu.</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C94827">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D46987">
              <w:rPr>
                <w:rFonts w:ascii="Times New Roman" w:hAnsi="Times New Roman" w:cs="Times New Roman"/>
                <w:lang w:val="sk-SK"/>
              </w:rPr>
              <w:t>§ 30 ods. 2</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46987" w:rsidRPr="0081793F" w:rsidP="00777810">
            <w:pPr>
              <w:jc w:val="both"/>
              <w:rPr>
                <w:rFonts w:ascii="Times New Roman" w:hAnsi="Times New Roman" w:cs="Times New Roman"/>
                <w:lang w:val="sk-SK"/>
              </w:rPr>
            </w:pPr>
            <w:r w:rsidRPr="0081793F">
              <w:rPr>
                <w:rFonts w:ascii="Times New Roman" w:hAnsi="Times New Roman" w:cs="Times New Roman"/>
                <w:lang w:val="sk-SK"/>
              </w:rPr>
              <w:t>(2) Ak daňovník,  ktorý začal odpočítavať  daňovú stratu alebo mu vznikol  nárok na odpočítavanie daňovej  straty podľa odseku 1, zanikol v dôsledku zrušenia bez likvidácie, v odpočítavaní daňovej straty môže pokračovať právny nástupca; ak  je právnych nástupcov viac, daňová strata sa môže odpočítavať u každého z nich pomerne, a to podľa  výšky vlastného imania  zaniknutého daňovníka, v akej prešlo na  jednotlivých právnych nástupcov.  Ak zdaňovacie obdobie</w:t>
            </w:r>
          </w:p>
          <w:p w:rsidR="00C43CAA" w:rsidRPr="0081793F" w:rsidP="00777810">
            <w:pPr>
              <w:jc w:val="both"/>
              <w:rPr>
                <w:rFonts w:ascii="Times New Roman" w:hAnsi="Times New Roman" w:cs="Times New Roman"/>
                <w:lang w:val="sk-SK"/>
              </w:rPr>
            </w:pPr>
            <w:r w:rsidRPr="0081793F" w:rsidR="00D46987">
              <w:rPr>
                <w:rFonts w:ascii="Times New Roman" w:hAnsi="Times New Roman" w:cs="Times New Roman"/>
                <w:lang w:val="sk-SK"/>
              </w:rPr>
              <w:t>právneho nástupcu  nie j</w:t>
            </w:r>
            <w:r w:rsidRPr="0081793F" w:rsidR="009F5952">
              <w:rPr>
                <w:rFonts w:ascii="Times New Roman" w:hAnsi="Times New Roman" w:cs="Times New Roman"/>
                <w:lang w:val="sk-SK"/>
              </w:rPr>
              <w:t>e zhodné  so zdaňovacím obdobím</w:t>
            </w:r>
            <w:r w:rsidRPr="0081793F" w:rsidR="00D46987">
              <w:rPr>
                <w:rFonts w:ascii="Times New Roman" w:hAnsi="Times New Roman" w:cs="Times New Roman"/>
                <w:lang w:val="sk-SK"/>
              </w:rPr>
              <w:t xml:space="preserve"> daňovníka zani</w:t>
            </w:r>
            <w:r w:rsidRPr="0081793F" w:rsidR="009F5952">
              <w:rPr>
                <w:rFonts w:ascii="Times New Roman" w:hAnsi="Times New Roman" w:cs="Times New Roman"/>
                <w:lang w:val="sk-SK"/>
              </w:rPr>
              <w:t xml:space="preserve">knutého   bez likvidácie, môže právny nástupca takéhoto daňovníka </w:t>
            </w:r>
            <w:r w:rsidRPr="0081793F" w:rsidR="00D46987">
              <w:rPr>
                <w:rFonts w:ascii="Times New Roman" w:hAnsi="Times New Roman" w:cs="Times New Roman"/>
                <w:lang w:val="sk-SK"/>
              </w:rPr>
              <w:t>po</w:t>
            </w:r>
            <w:r w:rsidRPr="0081793F" w:rsidR="009F5952">
              <w:rPr>
                <w:rFonts w:ascii="Times New Roman" w:hAnsi="Times New Roman" w:cs="Times New Roman"/>
                <w:lang w:val="sk-SK"/>
              </w:rPr>
              <w:t>kračovať v odpočítavaní daňovej</w:t>
            </w:r>
            <w:r w:rsidRPr="0081793F" w:rsidR="00D46987">
              <w:rPr>
                <w:rFonts w:ascii="Times New Roman" w:hAnsi="Times New Roman" w:cs="Times New Roman"/>
                <w:lang w:val="sk-SK"/>
              </w:rPr>
              <w:t xml:space="preserve"> straty v</w:t>
            </w:r>
            <w:r w:rsidRPr="0081793F" w:rsidR="009F5952">
              <w:rPr>
                <w:rFonts w:ascii="Times New Roman" w:hAnsi="Times New Roman" w:cs="Times New Roman"/>
                <w:lang w:val="sk-SK"/>
              </w:rPr>
              <w:t> </w:t>
            </w:r>
            <w:r w:rsidRPr="0081793F" w:rsidR="00D46987">
              <w:rPr>
                <w:rFonts w:ascii="Times New Roman" w:hAnsi="Times New Roman" w:cs="Times New Roman"/>
                <w:lang w:val="sk-SK"/>
              </w:rPr>
              <w:t>zdaňovacom</w:t>
            </w:r>
            <w:r w:rsidRPr="0081793F" w:rsidR="009F5952">
              <w:rPr>
                <w:rFonts w:ascii="Times New Roman" w:hAnsi="Times New Roman" w:cs="Times New Roman"/>
                <w:lang w:val="sk-SK"/>
              </w:rPr>
              <w:t xml:space="preserve"> </w:t>
            </w:r>
            <w:r w:rsidRPr="0081793F" w:rsidR="00D46987">
              <w:rPr>
                <w:rFonts w:ascii="Times New Roman" w:hAnsi="Times New Roman" w:cs="Times New Roman"/>
                <w:lang w:val="sk-SK"/>
              </w:rPr>
              <w:t>období nasledujúcom po</w:t>
            </w:r>
            <w:r w:rsidRPr="0081793F" w:rsidR="009F5952">
              <w:rPr>
                <w:rFonts w:ascii="Times New Roman" w:hAnsi="Times New Roman" w:cs="Times New Roman"/>
                <w:lang w:val="sk-SK"/>
              </w:rPr>
              <w:t xml:space="preserve"> </w:t>
            </w:r>
            <w:r w:rsidRPr="0081793F" w:rsidR="00D46987">
              <w:rPr>
                <w:rFonts w:ascii="Times New Roman" w:hAnsi="Times New Roman" w:cs="Times New Roman"/>
                <w:lang w:val="sk-SK"/>
              </w:rPr>
              <w:t>zdaňovacom období, v ktorom sa stal právnym nástupcom zaniknutého daňovníka.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r w:rsidRPr="0081793F" w:rsidR="00F04556">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3CAA"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Čl. 7</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777810">
            <w:pPr>
              <w:jc w:val="both"/>
              <w:rPr>
                <w:rFonts w:ascii="Times New Roman" w:hAnsi="Times New Roman" w:cs="Times New Roman"/>
                <w:lang w:val="sk-SK"/>
              </w:rPr>
            </w:pPr>
            <w:r w:rsidRPr="0081793F">
              <w:rPr>
                <w:rFonts w:ascii="Times New Roman" w:hAnsi="Times New Roman" w:cs="Times New Roman"/>
                <w:lang w:val="sk-SK"/>
              </w:rPr>
              <w:t>1. Ak prijímajúca spoločnosť má v držbe kapitál prevádzajúcej spoločnosti,  všetky zisky vznikajúce preberajúcej spoločnosti zrušením jeho držby, nebudú podliehať zdaňovaniu.</w:t>
            </w: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A3419C"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7C14E2" w:rsidRPr="0081793F" w:rsidP="00777810">
            <w:pPr>
              <w:jc w:val="both"/>
              <w:rPr>
                <w:rFonts w:ascii="Times New Roman" w:hAnsi="Times New Roman" w:cs="Times New Roman"/>
                <w:lang w:val="sk-SK"/>
              </w:rPr>
            </w:pPr>
          </w:p>
          <w:p w:rsidR="00C94827"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2. Členské štáty môžu urobiť výnimku z odseku 1  ak držba  kapitálu preberajúcej spoločnosti v prevádzajúcej spoločnosti nepresahuje 25 %. </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N</w:t>
            </w:r>
          </w:p>
          <w:p w:rsidR="00C94827" w:rsidRPr="0081793F">
            <w:pPr>
              <w:rPr>
                <w:rFonts w:ascii="Times New Roman" w:hAnsi="Times New Roman" w:cs="Times New Roman"/>
                <w:lang w:val="sk-SK"/>
              </w:rPr>
            </w:pPr>
          </w:p>
          <w:p w:rsidR="00C94827" w:rsidRPr="0081793F">
            <w:pPr>
              <w:rPr>
                <w:rFonts w:ascii="Times New Roman" w:hAnsi="Times New Roman" w:cs="Times New Roman"/>
                <w:lang w:val="sk-SK"/>
              </w:rPr>
            </w:pPr>
          </w:p>
          <w:p w:rsidR="00C94827"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A3419C" w:rsidRPr="0081793F">
            <w:pPr>
              <w:rPr>
                <w:rFonts w:ascii="Times New Roman" w:hAnsi="Times New Roman" w:cs="Times New Roman"/>
                <w:lang w:val="sk-SK"/>
              </w:rPr>
            </w:pPr>
          </w:p>
          <w:p w:rsidR="00C94827" w:rsidRPr="0081793F">
            <w:pPr>
              <w:rPr>
                <w:rFonts w:ascii="Times New Roman" w:hAnsi="Times New Roman" w:cs="Times New Roman"/>
                <w:lang w:val="sk-SK"/>
              </w:rPr>
            </w:pPr>
          </w:p>
          <w:p w:rsidR="00C94827" w:rsidRPr="0081793F">
            <w:pPr>
              <w:rPr>
                <w:rFonts w:ascii="Times New Roman" w:hAnsi="Times New Roman" w:cs="Times New Roman"/>
                <w:lang w:val="sk-SK"/>
              </w:rPr>
            </w:pPr>
            <w:r w:rsidRPr="0081793F">
              <w:rPr>
                <w:rFonts w:ascii="Times New Roman" w:hAnsi="Times New Roman" w:cs="Times New Roman"/>
                <w:lang w:val="sk-SK"/>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7C14E2">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7C14E2">
              <w:rPr>
                <w:rFonts w:ascii="Times New Roman" w:hAnsi="Times New Roman" w:cs="Times New Roman"/>
                <w:lang w:val="sk-SK"/>
              </w:rPr>
              <w:t>§ 3 ods. 2 písm.</w:t>
            </w:r>
          </w:p>
          <w:p w:rsidR="007C14E2" w:rsidRPr="0081793F">
            <w:pPr>
              <w:rPr>
                <w:rFonts w:ascii="Times New Roman" w:hAnsi="Times New Roman" w:cs="Times New Roman"/>
                <w:lang w:val="sk-SK"/>
              </w:rPr>
            </w:pPr>
            <w:r w:rsidRPr="0081793F">
              <w:rPr>
                <w:rFonts w:ascii="Times New Roman" w:hAnsi="Times New Roman" w:cs="Times New Roman"/>
                <w:lang w:val="sk-SK"/>
              </w:rPr>
              <w:t>c)</w:t>
            </w: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r w:rsidRPr="0081793F">
              <w:rPr>
                <w:rFonts w:ascii="Times New Roman" w:hAnsi="Times New Roman" w:cs="Times New Roman"/>
                <w:lang w:val="sk-SK"/>
              </w:rPr>
              <w:t>§ 12 ods. 7 písm. c)</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777810">
            <w:pPr>
              <w:jc w:val="both"/>
              <w:rPr>
                <w:rFonts w:ascii="Times New Roman" w:hAnsi="Times New Roman" w:cs="Times New Roman"/>
                <w:lang w:val="sk-SK"/>
              </w:rPr>
            </w:pPr>
            <w:r w:rsidRPr="0081793F" w:rsidR="007C14E2">
              <w:rPr>
                <w:rFonts w:ascii="Times New Roman" w:hAnsi="Times New Roman" w:cs="Times New Roman"/>
                <w:lang w:val="sk-SK"/>
              </w:rPr>
              <w:t>Predmetom dane nie je</w:t>
            </w:r>
          </w:p>
          <w:p w:rsidR="007C14E2" w:rsidRPr="0081793F" w:rsidP="00777810">
            <w:pPr>
              <w:jc w:val="both"/>
              <w:rPr>
                <w:rFonts w:ascii="Times New Roman" w:hAnsi="Times New Roman" w:cs="Times New Roman"/>
                <w:lang w:val="sk-SK"/>
              </w:rPr>
            </w:pPr>
            <w:r w:rsidRPr="0081793F">
              <w:rPr>
                <w:rFonts w:ascii="Times New Roman" w:hAnsi="Times New Roman" w:cs="Times New Roman"/>
                <w:lang w:val="sk-SK"/>
              </w:rPr>
              <w:t>c) podiel  na zisku  vyplácaný po  zdanení obchodnou spoločnosťou alebo družstvom, alebo obdobnou právnickou osobou v zahraničí, vyrovnací podiel, podiel na  likvidačnom zostatku obchodnej    spoločnosti alebo družstva a podiel na výsledku  podnikania vyplácaný po zdanení  tichému spoločníkovi okrem podielu na    zisku spoločníka verejnej obchodnej    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w:t>
            </w:r>
          </w:p>
          <w:p w:rsidR="00A3419C" w:rsidRPr="0081793F" w:rsidP="00777810">
            <w:pPr>
              <w:jc w:val="both"/>
              <w:rPr>
                <w:rFonts w:ascii="Times New Roman" w:hAnsi="Times New Roman" w:cs="Times New Roman"/>
                <w:lang w:val="sk-SK"/>
              </w:rPr>
            </w:pPr>
            <w:r w:rsidRPr="0081793F">
              <w:rPr>
                <w:rFonts w:ascii="Times New Roman" w:hAnsi="Times New Roman" w:cs="Times New Roman"/>
                <w:lang w:val="sk-SK"/>
              </w:rPr>
              <w:t>Predmetom dane nie je</w:t>
            </w:r>
          </w:p>
          <w:p w:rsidR="00A3419C" w:rsidRPr="0081793F" w:rsidP="00777810">
            <w:pPr>
              <w:jc w:val="both"/>
              <w:rPr>
                <w:rFonts w:ascii="Times New Roman" w:hAnsi="Times New Roman" w:cs="Times New Roman"/>
                <w:lang w:val="sk-SK"/>
              </w:rPr>
            </w:pPr>
            <w:r w:rsidRPr="0081793F">
              <w:rPr>
                <w:rFonts w:ascii="Times New Roman" w:hAnsi="Times New Roman" w:cs="Times New Roman"/>
                <w:lang w:val="sk-SK"/>
              </w:rPr>
              <w:t>c) podiel na zisku vyplácaný po zdanení obchodnou spoločnosťou alebo družstvom, alebo obdobnou právnickou osobou v zahraničí, vyrovnací podiel a podiel na  likvidačnom zostatku obchodnej    spoločnosti alebo družstva okrem podielu  na zisku spoločníka verejnej obchodnej  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A3419C">
              <w:rPr>
                <w:rFonts w:ascii="Times New Roman" w:hAnsi="Times New Roman" w:cs="Times New Roman"/>
                <w:lang w:val="sk-SK"/>
              </w:rPr>
              <w:t>Ú</w:t>
            </w:r>
          </w:p>
          <w:p w:rsidR="00C94827"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7C14E2" w:rsidRPr="0081793F">
            <w:pPr>
              <w:rPr>
                <w:rFonts w:ascii="Times New Roman" w:hAnsi="Times New Roman" w:cs="Times New Roman"/>
                <w:lang w:val="sk-SK"/>
              </w:rPr>
            </w:pPr>
          </w:p>
          <w:p w:rsidR="00C94827" w:rsidRPr="0081793F">
            <w:pPr>
              <w:rPr>
                <w:rFonts w:ascii="Times New Roman" w:hAnsi="Times New Roman" w:cs="Times New Roman"/>
                <w:lang w:val="sk-SK"/>
              </w:rPr>
            </w:pPr>
          </w:p>
          <w:p w:rsidR="00A3419C" w:rsidRPr="0081793F">
            <w:pPr>
              <w:rPr>
                <w:rFonts w:ascii="Times New Roman" w:hAnsi="Times New Roman" w:cs="Times New Roman"/>
                <w:lang w:val="sk-SK"/>
              </w:rPr>
            </w:pPr>
          </w:p>
          <w:p w:rsidR="00C94827" w:rsidRPr="0081793F">
            <w:pPr>
              <w:rPr>
                <w:rFonts w:ascii="Times New Roman" w:hAnsi="Times New Roman" w:cs="Times New Roman"/>
                <w:lang w:val="sk-SK"/>
              </w:rPr>
            </w:pPr>
          </w:p>
          <w:p w:rsidR="00C94827" w:rsidRPr="0081793F">
            <w:pPr>
              <w:rPr>
                <w:rFonts w:ascii="Times New Roman" w:hAnsi="Times New Roman" w:cs="Times New Roman"/>
                <w:lang w:val="sk-SK"/>
              </w:rPr>
            </w:pPr>
            <w:r w:rsidRPr="0081793F">
              <w:rPr>
                <w:rFonts w:ascii="Times New Roman" w:hAnsi="Times New Roman" w:cs="Times New Roman"/>
                <w:lang w:val="sk-SK"/>
              </w:rPr>
              <w:t>N</w:t>
            </w:r>
          </w:p>
          <w:p w:rsidR="00C94827" w:rsidRPr="0081793F">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9F5952">
            <w:pPr>
              <w:jc w:val="both"/>
              <w:rPr>
                <w:rFonts w:ascii="Times New Roman" w:hAnsi="Times New Roman" w:cs="Times New Roman"/>
                <w:lang w:val="sk-SK"/>
              </w:rPr>
            </w:pPr>
            <w:r w:rsidRPr="0081793F">
              <w:rPr>
                <w:rFonts w:ascii="Times New Roman" w:hAnsi="Times New Roman" w:cs="Times New Roman"/>
                <w:lang w:val="sk-SK"/>
              </w:rPr>
              <w:t>§ 27 ods. 1 písm. d) zákona č. 431/2002 Z.z. o účtovníctve upravuje spôsob ocenenia v</w:t>
            </w:r>
            <w:r w:rsidRPr="0081793F" w:rsidR="00C520BE">
              <w:rPr>
                <w:rFonts w:ascii="Times New Roman" w:hAnsi="Times New Roman" w:cs="Times New Roman"/>
                <w:lang w:val="sk-SK"/>
              </w:rPr>
              <w:t xml:space="preserve"> </w:t>
            </w:r>
            <w:r w:rsidRPr="0081793F">
              <w:rPr>
                <w:rFonts w:ascii="Times New Roman" w:hAnsi="Times New Roman" w:cs="Times New Roman"/>
                <w:lang w:val="sk-SK"/>
              </w:rPr>
              <w:t>účtovníctve a</w:t>
            </w:r>
            <w:r w:rsidRPr="0081793F" w:rsidR="00C520BE">
              <w:rPr>
                <w:rFonts w:ascii="Times New Roman" w:hAnsi="Times New Roman" w:cs="Times New Roman"/>
                <w:lang w:val="sk-SK"/>
              </w:rPr>
              <w:t xml:space="preserve"> </w:t>
            </w:r>
            <w:r w:rsidRPr="0081793F">
              <w:rPr>
                <w:rFonts w:ascii="Times New Roman" w:hAnsi="Times New Roman" w:cs="Times New Roman"/>
                <w:lang w:val="sk-SK"/>
              </w:rPr>
              <w:t>následne Opatrenie č. 23054/2002-92, ktorým sa ustanovujú</w:t>
            </w:r>
            <w:r w:rsidRPr="0081793F" w:rsidR="00C520BE">
              <w:rPr>
                <w:rFonts w:ascii="Times New Roman" w:hAnsi="Times New Roman" w:cs="Times New Roman"/>
                <w:lang w:val="sk-SK"/>
              </w:rPr>
              <w:t xml:space="preserve"> </w:t>
            </w:r>
            <w:r w:rsidRPr="0081793F">
              <w:rPr>
                <w:rFonts w:ascii="Times New Roman" w:hAnsi="Times New Roman" w:cs="Times New Roman"/>
                <w:lang w:val="sk-SK"/>
              </w:rPr>
              <w:t>podr</w:t>
            </w:r>
            <w:r w:rsidRPr="0081793F" w:rsidR="00C520BE">
              <w:rPr>
                <w:rFonts w:ascii="Times New Roman" w:hAnsi="Times New Roman" w:cs="Times New Roman"/>
                <w:lang w:val="sk-SK"/>
              </w:rPr>
              <w:t xml:space="preserve">obnosti o postupoch účtovania a </w:t>
            </w:r>
            <w:r w:rsidRPr="0081793F">
              <w:rPr>
                <w:rFonts w:ascii="Times New Roman" w:hAnsi="Times New Roman" w:cs="Times New Roman"/>
                <w:lang w:val="sk-SK"/>
              </w:rPr>
              <w:t>rámcovej účtovej osnove</w:t>
            </w:r>
            <w:r w:rsidRPr="0081793F" w:rsidR="009F5952">
              <w:rPr>
                <w:rFonts w:ascii="Times New Roman" w:hAnsi="Times New Roman" w:cs="Times New Roman"/>
                <w:lang w:val="sk-SK"/>
              </w:rPr>
              <w:t xml:space="preserve"> </w:t>
            </w:r>
            <w:r w:rsidRPr="0081793F">
              <w:rPr>
                <w:rFonts w:ascii="Times New Roman" w:hAnsi="Times New Roman" w:cs="Times New Roman"/>
                <w:lang w:val="sk-SK"/>
              </w:rPr>
              <w:t>pre podnikateľov účtujúcich v</w:t>
            </w:r>
            <w:r w:rsidRPr="0081793F" w:rsidR="00C520BE">
              <w:rPr>
                <w:rFonts w:ascii="Times New Roman" w:hAnsi="Times New Roman" w:cs="Times New Roman"/>
                <w:lang w:val="sk-SK"/>
              </w:rPr>
              <w:t> </w:t>
            </w:r>
            <w:r w:rsidRPr="0081793F">
              <w:rPr>
                <w:rFonts w:ascii="Times New Roman" w:hAnsi="Times New Roman" w:cs="Times New Roman"/>
                <w:lang w:val="sk-SK"/>
              </w:rPr>
              <w:t>sústave</w:t>
            </w:r>
            <w:r w:rsidRPr="0081793F" w:rsidR="00C520BE">
              <w:rPr>
                <w:rFonts w:ascii="Times New Roman" w:hAnsi="Times New Roman" w:cs="Times New Roman"/>
                <w:lang w:val="sk-SK"/>
              </w:rPr>
              <w:t xml:space="preserve"> p</w:t>
            </w:r>
            <w:r w:rsidRPr="0081793F">
              <w:rPr>
                <w:rFonts w:ascii="Times New Roman" w:hAnsi="Times New Roman" w:cs="Times New Roman"/>
                <w:lang w:val="sk-SK"/>
              </w:rPr>
              <w:t>odvojného</w:t>
            </w:r>
            <w:r w:rsidRPr="0081793F" w:rsidR="009F5952">
              <w:rPr>
                <w:rFonts w:ascii="Times New Roman" w:hAnsi="Times New Roman" w:cs="Times New Roman"/>
                <w:lang w:val="sk-SK"/>
              </w:rPr>
              <w:t xml:space="preserve"> </w:t>
            </w:r>
            <w:r w:rsidRPr="0081793F">
              <w:rPr>
                <w:rFonts w:ascii="Times New Roman" w:hAnsi="Times New Roman" w:cs="Times New Roman"/>
                <w:lang w:val="sk-SK"/>
              </w:rPr>
              <w:t>účtovníctva</w:t>
            </w:r>
            <w:r w:rsidRPr="0081793F" w:rsidR="009F5952">
              <w:rPr>
                <w:rFonts w:ascii="Times New Roman" w:hAnsi="Times New Roman" w:cs="Times New Roman"/>
                <w:lang w:val="sk-SK"/>
              </w:rPr>
              <w:t xml:space="preserve"> </w:t>
            </w:r>
            <w:r w:rsidRPr="0081793F">
              <w:rPr>
                <w:rFonts w:ascii="Times New Roman" w:hAnsi="Times New Roman" w:cs="Times New Roman"/>
                <w:lang w:val="sk-SK"/>
              </w:rPr>
              <w:t>upravuje, aby oceňovacie rozdiely boli účtované na účtoch účtových skupín 41 Základné imanie a kapitálové fondy a 42 – Fondy zo</w:t>
            </w:r>
            <w:r w:rsidRPr="0081793F" w:rsidR="009F5952">
              <w:rPr>
                <w:rFonts w:ascii="Times New Roman" w:hAnsi="Times New Roman" w:cs="Times New Roman"/>
                <w:lang w:val="sk-SK"/>
              </w:rPr>
              <w:t xml:space="preserve"> zisku </w:t>
            </w:r>
            <w:r w:rsidRPr="0081793F">
              <w:rPr>
                <w:rFonts w:ascii="Times New Roman" w:hAnsi="Times New Roman" w:cs="Times New Roman"/>
                <w:lang w:val="sk-SK"/>
              </w:rPr>
              <w:t>a</w:t>
            </w:r>
            <w:r w:rsidRPr="0081793F" w:rsidR="009F5952">
              <w:rPr>
                <w:rFonts w:ascii="Times New Roman" w:hAnsi="Times New Roman" w:cs="Times New Roman"/>
                <w:lang w:val="sk-SK"/>
              </w:rPr>
              <w:t xml:space="preserve"> </w:t>
            </w:r>
            <w:r w:rsidRPr="0081793F">
              <w:rPr>
                <w:rFonts w:ascii="Times New Roman" w:hAnsi="Times New Roman" w:cs="Times New Roman"/>
                <w:lang w:val="sk-SK"/>
              </w:rPr>
              <w:t xml:space="preserve">prevedené </w:t>
            </w:r>
            <w:r w:rsidRPr="0081793F" w:rsidR="009F5952">
              <w:rPr>
                <w:rFonts w:ascii="Times New Roman" w:hAnsi="Times New Roman" w:cs="Times New Roman"/>
                <w:lang w:val="sk-SK"/>
              </w:rPr>
              <w:t>v</w:t>
            </w:r>
            <w:r w:rsidRPr="0081793F">
              <w:rPr>
                <w:rFonts w:ascii="Times New Roman" w:hAnsi="Times New Roman" w:cs="Times New Roman"/>
                <w:lang w:val="sk-SK"/>
              </w:rPr>
              <w:t>ýsledky hospodárenia</w:t>
            </w:r>
            <w:r w:rsidRPr="0081793F" w:rsidR="009F5952">
              <w:rPr>
                <w:rFonts w:ascii="Times New Roman" w:hAnsi="Times New Roman" w:cs="Times New Roman"/>
                <w:lang w:val="sk-SK"/>
              </w:rPr>
              <w:t xml:space="preserve"> podľa zmluvy  o splynutí alebo </w:t>
            </w:r>
            <w:r w:rsidRPr="0081793F">
              <w:rPr>
                <w:rFonts w:ascii="Times New Roman" w:hAnsi="Times New Roman" w:cs="Times New Roman"/>
                <w:lang w:val="sk-SK"/>
              </w:rPr>
              <w:t>zmluvy o</w:t>
            </w:r>
            <w:r w:rsidRPr="0081793F" w:rsidR="009F5952">
              <w:rPr>
                <w:rFonts w:ascii="Times New Roman" w:hAnsi="Times New Roman" w:cs="Times New Roman"/>
                <w:lang w:val="sk-SK"/>
              </w:rPr>
              <w:t xml:space="preserve"> </w:t>
            </w:r>
            <w:r w:rsidRPr="0081793F">
              <w:rPr>
                <w:rFonts w:ascii="Times New Roman" w:hAnsi="Times New Roman" w:cs="Times New Roman"/>
                <w:lang w:val="sk-SK"/>
              </w:rPr>
              <w:t xml:space="preserve">rozdelení (§ 26 ods. 2 a 3 opatrenia č. 23054/2002-92). </w:t>
            </w:r>
          </w:p>
          <w:p w:rsidR="00C94827" w:rsidRPr="0081793F" w:rsidP="009F5952">
            <w:pPr>
              <w:jc w:val="both"/>
              <w:rPr>
                <w:rFonts w:ascii="Times New Roman" w:hAnsi="Times New Roman" w:cs="Times New Roman"/>
                <w:lang w:val="sk-SK"/>
              </w:rPr>
            </w:pPr>
          </w:p>
          <w:p w:rsidR="00C94827" w:rsidRPr="0081793F" w:rsidP="009F5952">
            <w:pPr>
              <w:jc w:val="both"/>
              <w:rPr>
                <w:rFonts w:ascii="Times New Roman" w:hAnsi="Times New Roman" w:cs="Times New Roman"/>
                <w:lang w:val="sk-SK"/>
              </w:rPr>
            </w:pPr>
            <w:r w:rsidRPr="0081793F">
              <w:rPr>
                <w:rFonts w:ascii="Times New Roman" w:hAnsi="Times New Roman" w:cs="Times New Roman"/>
                <w:lang w:val="sk-SK"/>
              </w:rPr>
              <w:t>V súlade s § 17 ods. 1 zákona o daniach z príjmov sa pri vyčíslení základu dane vychádza z účtovného hospodárskeho výsledku, t.j. na daňové účely sú akceptované aj vyššie uvedené účtovné úpravy.</w:t>
            </w: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Čl. 8</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777810">
            <w:pPr>
              <w:pStyle w:val="BodyText"/>
              <w:jc w:val="both"/>
              <w:rPr>
                <w:rFonts w:ascii="Times New Roman" w:hAnsi="Times New Roman" w:cs="Times New Roman"/>
                <w:i w:val="0"/>
                <w:lang w:val="sk-SK"/>
              </w:rPr>
            </w:pPr>
            <w:r w:rsidRPr="0081793F">
              <w:rPr>
                <w:rFonts w:ascii="Times New Roman" w:hAnsi="Times New Roman" w:cs="Times New Roman"/>
                <w:i w:val="0"/>
                <w:lang w:val="sk-SK"/>
              </w:rPr>
              <w:t>1. Pri zlučovaní, rozdeľovaní alebo výmene akcií, pridelenie cenných papierov, ktoré predstavujú kapitál preberajúcej  alebo nadobúdajúcej spoločnosti, akcionárovi prevádzajúcej  alebo nadobudnutej spoločnosti výmenou za cenné papiere predstavujúce kapitál nadobudnutej spoločnosti, samo osebe nemá viesť k  zdaneniu príjmu, zisku alebo kapitálového zisku  tohto akcionára.</w:t>
            </w:r>
          </w:p>
          <w:p w:rsidR="00C94827" w:rsidRPr="0081793F" w:rsidP="00777810">
            <w:pPr>
              <w:jc w:val="both"/>
              <w:rPr>
                <w:rFonts w:ascii="Times New Roman" w:hAnsi="Times New Roman" w:cs="Times New Roman"/>
                <w:lang w:val="sk-SK"/>
              </w:rPr>
            </w:pPr>
            <w:r w:rsidRPr="0081793F">
              <w:rPr>
                <w:rFonts w:ascii="Times New Roman" w:hAnsi="Times New Roman" w:cs="Times New Roman"/>
                <w:lang w:val="sk-SK"/>
              </w:rPr>
              <w:t>2. Členské štáty   uplatnia odseku 1 pod podmienkou, aby  akcionári, nepripisovali získaným cenným papierom väčšiu hodnotu pre daňové účely, než mali vymenené cenné papiere bezprostredne pred zlúčením, rozdelením alebo výmenou.</w:t>
            </w:r>
          </w:p>
          <w:p w:rsidR="00C94827" w:rsidRPr="0081793F" w:rsidP="00777810">
            <w:pPr>
              <w:jc w:val="both"/>
              <w:rPr>
                <w:rFonts w:ascii="Times New Roman" w:hAnsi="Times New Roman" w:cs="Times New Roman"/>
                <w:lang w:val="sk-SK"/>
              </w:rPr>
            </w:pPr>
            <w:r w:rsidRPr="0081793F">
              <w:rPr>
                <w:rFonts w:ascii="Times New Roman" w:hAnsi="Times New Roman" w:cs="Times New Roman"/>
                <w:lang w:val="sk-SK"/>
              </w:rPr>
              <w:t>Uplatnenie odseku 1 nebráni členským štátom zdaneniu ziskov pochádzajúcich z nasledujúcich prevodov prebratých cenných papierov rovnakým spôsobom, ako zisk vznikajúci z prevodu cenných papierov   existujúcich pred nadobudnutím.</w:t>
            </w:r>
          </w:p>
          <w:p w:rsidR="00C94827" w:rsidRPr="0081793F" w:rsidP="00777810">
            <w:pPr>
              <w:pStyle w:val="BodyText2"/>
              <w:spacing w:line="240" w:lineRule="auto"/>
              <w:jc w:val="both"/>
              <w:rPr>
                <w:rFonts w:ascii="Times New Roman" w:hAnsi="Times New Roman" w:cs="Times New Roman"/>
                <w:lang w:val="sk-SK"/>
              </w:rPr>
            </w:pPr>
            <w:r w:rsidRPr="0081793F">
              <w:rPr>
                <w:rFonts w:ascii="Times New Roman" w:hAnsi="Times New Roman" w:cs="Times New Roman"/>
                <w:lang w:val="sk-SK"/>
              </w:rPr>
              <w:t>V tomto odseku pojem „hodnota pre daňové účely“ znamená  hodnotu, na základe ktorej  sa vypočítava každý zisk alebo strata za účelom dane z príjmu, zisku alebo kapitálových ziskov akcionára spoločnosti.</w:t>
            </w:r>
          </w:p>
          <w:p w:rsidR="00C94827" w:rsidRPr="0081793F" w:rsidP="00777810">
            <w:pPr>
              <w:pStyle w:val="BodyText2"/>
              <w:spacing w:after="0" w:line="240" w:lineRule="auto"/>
              <w:jc w:val="both"/>
              <w:rPr>
                <w:rFonts w:ascii="Times New Roman" w:hAnsi="Times New Roman" w:cs="Times New Roman"/>
                <w:lang w:val="sk-SK"/>
              </w:rPr>
            </w:pPr>
            <w:r w:rsidRPr="0081793F">
              <w:rPr>
                <w:rFonts w:ascii="Times New Roman" w:hAnsi="Times New Roman" w:cs="Times New Roman"/>
                <w:lang w:val="sk-SK"/>
              </w:rPr>
              <w:t>3. Ak na základe zákona členského štátu,  v ktorom má akcionár sídlo, sa akcionár môže rozhodovať medzi zdanením odlišným od toho, ktoré je ustanovené  v odseku 2,  odsek 1 sa nebude uplatňovať na tie cenné papiere,  na ktoré je takáto voľba uplatňovaná.</w:t>
            </w:r>
          </w:p>
          <w:p w:rsidR="00C94827" w:rsidRPr="0081793F" w:rsidP="00777810">
            <w:pPr>
              <w:jc w:val="both"/>
              <w:rPr>
                <w:rFonts w:ascii="Times New Roman" w:hAnsi="Times New Roman" w:cs="Times New Roman"/>
                <w:lang w:val="sk-SK"/>
              </w:rPr>
            </w:pPr>
            <w:r w:rsidRPr="0081793F">
              <w:rPr>
                <w:rFonts w:ascii="Times New Roman" w:hAnsi="Times New Roman" w:cs="Times New Roman"/>
                <w:lang w:val="sk-SK"/>
              </w:rPr>
              <w:t>4. Odseky 1, 2 a 3 nebránia  členskému štátu pri zdaňovaní akcionárov  zohľadniť platbu v hotovosti, ktorá sa môže uskutočniť v súvislosti so zlúčením, rozdelením alebo výmenou.</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Zákon č. 595/ 2003 Z.z.</w:t>
            </w:r>
          </w:p>
          <w:p w:rsidR="00C94827" w:rsidRPr="0081793F">
            <w:pPr>
              <w:rPr>
                <w:rFonts w:ascii="Times New Roman" w:hAnsi="Times New Roman" w:cs="Times New Roman"/>
                <w:lang w:val="sk-SK"/>
              </w:rPr>
            </w:pPr>
          </w:p>
          <w:p w:rsidR="00C94827" w:rsidRPr="0081793F">
            <w:pPr>
              <w:rPr>
                <w:rFonts w:ascii="Times New Roman" w:hAnsi="Times New Roman" w:cs="Times New Roman"/>
                <w:lang w:val="sk-SK"/>
              </w:rPr>
            </w:pPr>
          </w:p>
          <w:p w:rsidR="00C94827" w:rsidRPr="0081793F">
            <w:pPr>
              <w:rPr>
                <w:rFonts w:ascii="Times New Roman" w:hAnsi="Times New Roman" w:cs="Times New Roman"/>
                <w:lang w:val="sk-SK"/>
              </w:rPr>
            </w:pPr>
            <w:r w:rsidRPr="0081793F">
              <w:rPr>
                <w:rFonts w:ascii="Times New Roman" w:hAnsi="Times New Roman" w:cs="Times New Roman"/>
                <w:lang w:val="sk-SK"/>
              </w:rPr>
              <w:t>Zákon č. 595/ 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192380">
            <w:pPr>
              <w:ind w:right="-70"/>
              <w:rPr>
                <w:rFonts w:ascii="Times New Roman" w:hAnsi="Times New Roman" w:cs="Times New Roman"/>
                <w:lang w:val="sk-SK"/>
              </w:rPr>
            </w:pPr>
            <w:r w:rsidRPr="0081793F">
              <w:rPr>
                <w:rFonts w:ascii="Times New Roman" w:hAnsi="Times New Roman" w:cs="Times New Roman"/>
                <w:lang w:val="sk-SK"/>
              </w:rPr>
              <w:t>§ 3 ods. 2 pís. f)</w:t>
            </w:r>
          </w:p>
          <w:p w:rsidR="00C94827" w:rsidRPr="0081793F" w:rsidP="00192380">
            <w:pPr>
              <w:ind w:right="-70"/>
              <w:rPr>
                <w:rFonts w:ascii="Times New Roman" w:hAnsi="Times New Roman" w:cs="Times New Roman"/>
                <w:lang w:val="sk-SK"/>
              </w:rPr>
            </w:pPr>
          </w:p>
          <w:p w:rsidR="00C94827" w:rsidRPr="0081793F" w:rsidP="00192380">
            <w:pPr>
              <w:ind w:right="-70"/>
              <w:rPr>
                <w:rFonts w:ascii="Times New Roman" w:hAnsi="Times New Roman" w:cs="Times New Roman"/>
                <w:lang w:val="sk-SK"/>
              </w:rPr>
            </w:pPr>
          </w:p>
          <w:p w:rsidR="00C94827" w:rsidRPr="0081793F" w:rsidP="00192380">
            <w:pPr>
              <w:ind w:right="-70"/>
              <w:rPr>
                <w:rFonts w:ascii="Times New Roman" w:hAnsi="Times New Roman" w:cs="Times New Roman"/>
                <w:lang w:val="sk-SK"/>
              </w:rPr>
            </w:pPr>
          </w:p>
          <w:p w:rsidR="00C94827" w:rsidRPr="0081793F" w:rsidP="00192380">
            <w:pPr>
              <w:ind w:right="-70"/>
              <w:rPr>
                <w:rFonts w:ascii="Times New Roman" w:hAnsi="Times New Roman" w:cs="Times New Roman"/>
                <w:lang w:val="sk-SK"/>
              </w:rPr>
            </w:pPr>
          </w:p>
          <w:p w:rsidR="00C94827" w:rsidRPr="0081793F" w:rsidP="00192380">
            <w:pPr>
              <w:ind w:right="-70"/>
              <w:rPr>
                <w:rFonts w:ascii="Times New Roman" w:hAnsi="Times New Roman" w:cs="Times New Roman"/>
                <w:lang w:val="sk-SK"/>
              </w:rPr>
            </w:pPr>
          </w:p>
          <w:p w:rsidR="00C94827" w:rsidRPr="0081793F" w:rsidP="00192380">
            <w:pPr>
              <w:ind w:right="-70"/>
              <w:rPr>
                <w:rFonts w:ascii="Times New Roman" w:hAnsi="Times New Roman" w:cs="Times New Roman"/>
                <w:lang w:val="sk-SK"/>
              </w:rPr>
            </w:pPr>
          </w:p>
          <w:p w:rsidR="00C94827" w:rsidRPr="0081793F" w:rsidP="00192380">
            <w:pPr>
              <w:ind w:right="-70"/>
              <w:rPr>
                <w:rFonts w:ascii="Times New Roman" w:hAnsi="Times New Roman" w:cs="Times New Roman"/>
                <w:lang w:val="sk-SK"/>
              </w:rPr>
            </w:pPr>
            <w:r w:rsidRPr="0081793F">
              <w:rPr>
                <w:rFonts w:ascii="Times New Roman" w:hAnsi="Times New Roman" w:cs="Times New Roman"/>
                <w:lang w:val="sk-SK"/>
              </w:rPr>
              <w:t>§ 12 ods. 7 pís. d)</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777810">
            <w:pPr>
              <w:ind w:left="71"/>
              <w:jc w:val="both"/>
              <w:rPr>
                <w:rFonts w:ascii="Times New Roman" w:hAnsi="Times New Roman" w:cs="Times New Roman"/>
                <w:szCs w:val="24"/>
                <w:lang w:val="sk-SK"/>
              </w:rPr>
            </w:pPr>
            <w:r w:rsidRPr="0081793F">
              <w:rPr>
                <w:rFonts w:ascii="Times New Roman" w:hAnsi="Times New Roman" w:cs="Times New Roman"/>
                <w:szCs w:val="24"/>
                <w:lang w:val="sk-SK"/>
              </w:rPr>
              <w:t>Predmetom dane nie je</w:t>
            </w:r>
          </w:p>
          <w:p w:rsidR="00C94827"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príjem plynúci  z dôvodu nadobudnutia  nových akcií </w:t>
            </w:r>
            <w:r w:rsidRPr="0081793F">
              <w:rPr>
                <w:rFonts w:ascii="Times New Roman" w:hAnsi="Times New Roman" w:cs="Times New Roman"/>
                <w:b/>
                <w:lang w:val="sk-SK"/>
              </w:rPr>
              <w:t>a podielov</w:t>
            </w:r>
            <w:r w:rsidRPr="0081793F">
              <w:rPr>
                <w:rFonts w:ascii="Times New Roman" w:hAnsi="Times New Roman" w:cs="Times New Roman"/>
                <w:lang w:val="sk-SK"/>
              </w:rPr>
              <w:t xml:space="preserve"> </w:t>
            </w:r>
            <w:r w:rsidRPr="0081793F">
              <w:rPr>
                <w:rFonts w:ascii="Times New Roman" w:hAnsi="Times New Roman" w:cs="Times New Roman"/>
                <w:b/>
                <w:lang w:val="sk-SK"/>
              </w:rPr>
              <w:t>ako aj príjem plynúci z dôvodu</w:t>
            </w:r>
            <w:r w:rsidRPr="0081793F">
              <w:rPr>
                <w:rFonts w:ascii="Times New Roman" w:hAnsi="Times New Roman" w:cs="Times New Roman"/>
                <w:lang w:val="sk-SK"/>
              </w:rPr>
              <w:t xml:space="preserve">  ich  výmeny  pri  zrušení  daňovníka  bez  likvidácie, a to aj </w:t>
            </w:r>
            <w:r w:rsidRPr="0081793F" w:rsidR="009F5952">
              <w:rPr>
                <w:rFonts w:ascii="Times New Roman" w:hAnsi="Times New Roman" w:cs="Times New Roman"/>
                <w:lang w:val="sk-SK"/>
              </w:rPr>
              <w:t>vtedy,  ak  súčasťou splynutia, zlúčenia</w:t>
            </w:r>
            <w:r w:rsidRPr="0081793F">
              <w:rPr>
                <w:rFonts w:ascii="Times New Roman" w:hAnsi="Times New Roman" w:cs="Times New Roman"/>
                <w:lang w:val="sk-SK"/>
              </w:rPr>
              <w:t xml:space="preserve"> alebo rozdelenia </w:t>
            </w:r>
            <w:r w:rsidRPr="0081793F" w:rsidR="009F5952">
              <w:rPr>
                <w:rFonts w:ascii="Times New Roman" w:hAnsi="Times New Roman" w:cs="Times New Roman"/>
                <w:lang w:val="sk-SK"/>
              </w:rPr>
              <w:t xml:space="preserve"> spoločnosti je aj majetok spoločnosti </w:t>
            </w:r>
            <w:r w:rsidRPr="0081793F">
              <w:rPr>
                <w:rFonts w:ascii="Times New Roman" w:hAnsi="Times New Roman" w:cs="Times New Roman"/>
                <w:lang w:val="sk-SK"/>
              </w:rPr>
              <w:t>so sídlom v členských štátoch Európskej únie.</w:t>
            </w:r>
          </w:p>
          <w:p w:rsidR="00C94827" w:rsidRPr="0081793F" w:rsidP="00777810">
            <w:pPr>
              <w:jc w:val="both"/>
              <w:rPr>
                <w:rFonts w:ascii="Times New Roman" w:hAnsi="Times New Roman" w:cs="Times New Roman"/>
                <w:szCs w:val="24"/>
                <w:lang w:val="de-DE"/>
              </w:rPr>
            </w:pPr>
          </w:p>
          <w:p w:rsidR="00C94827" w:rsidRPr="0081793F" w:rsidP="00777810">
            <w:pPr>
              <w:jc w:val="both"/>
              <w:rPr>
                <w:rFonts w:ascii="Times New Roman" w:hAnsi="Times New Roman" w:cs="Times New Roman"/>
                <w:szCs w:val="24"/>
                <w:lang w:val="de-DE"/>
              </w:rPr>
            </w:pPr>
            <w:r w:rsidRPr="0081793F">
              <w:rPr>
                <w:rFonts w:ascii="Times New Roman" w:hAnsi="Times New Roman" w:cs="Times New Roman"/>
                <w:szCs w:val="24"/>
                <w:lang w:val="de-DE"/>
              </w:rPr>
              <w:t>Predmetom dane nie je</w:t>
            </w:r>
          </w:p>
          <w:p w:rsidR="00C94827" w:rsidRPr="0081793F" w:rsidP="00777810">
            <w:pPr>
              <w:jc w:val="both"/>
              <w:rPr>
                <w:rFonts w:ascii="Times New Roman" w:hAnsi="Times New Roman" w:cs="Times New Roman"/>
                <w:szCs w:val="24"/>
                <w:lang w:val="de-DE"/>
              </w:rPr>
            </w:pPr>
            <w:r w:rsidRPr="0081793F" w:rsidR="009F5952">
              <w:rPr>
                <w:rFonts w:ascii="Times New Roman" w:hAnsi="Times New Roman" w:cs="Times New Roman"/>
                <w:szCs w:val="24"/>
                <w:lang w:val="de-DE"/>
              </w:rPr>
              <w:t xml:space="preserve">príjem plynúci </w:t>
            </w:r>
            <w:r w:rsidRPr="0081793F">
              <w:rPr>
                <w:rFonts w:ascii="Times New Roman" w:hAnsi="Times New Roman" w:cs="Times New Roman"/>
                <w:szCs w:val="24"/>
                <w:lang w:val="de-DE"/>
              </w:rPr>
              <w:t xml:space="preserve">z dôvodu nadobudnutia  nových akcií </w:t>
            </w:r>
            <w:r w:rsidRPr="0081793F">
              <w:rPr>
                <w:rFonts w:ascii="Times New Roman" w:hAnsi="Times New Roman" w:cs="Times New Roman"/>
                <w:b/>
                <w:szCs w:val="24"/>
                <w:lang w:val="de-DE"/>
              </w:rPr>
              <w:t>a podielov ako aj príjem plynúci z dôvodu</w:t>
            </w:r>
            <w:r w:rsidRPr="0081793F">
              <w:rPr>
                <w:rFonts w:ascii="Times New Roman" w:hAnsi="Times New Roman" w:cs="Times New Roman"/>
                <w:szCs w:val="24"/>
                <w:lang w:val="de-DE"/>
              </w:rPr>
              <w:t xml:space="preserve">   ich  výmeny  pri  zrušení  daňovníka  bez  likvidácie, a to aj </w:t>
            </w:r>
            <w:r w:rsidRPr="0081793F" w:rsidR="009F5952">
              <w:rPr>
                <w:rFonts w:ascii="Times New Roman" w:hAnsi="Times New Roman" w:cs="Times New Roman"/>
                <w:szCs w:val="24"/>
                <w:lang w:val="de-DE"/>
              </w:rPr>
              <w:t xml:space="preserve">vtedy,  ak  súčasťou splynutia, zlúčenia </w:t>
            </w:r>
            <w:r w:rsidRPr="0081793F">
              <w:rPr>
                <w:rFonts w:ascii="Times New Roman" w:hAnsi="Times New Roman" w:cs="Times New Roman"/>
                <w:szCs w:val="24"/>
                <w:lang w:val="de-DE"/>
              </w:rPr>
              <w:t xml:space="preserve">alebo  rozdelenia </w:t>
            </w:r>
            <w:r w:rsidRPr="0081793F" w:rsidR="009F5952">
              <w:rPr>
                <w:rFonts w:ascii="Times New Roman" w:hAnsi="Times New Roman" w:cs="Times New Roman"/>
                <w:szCs w:val="24"/>
                <w:lang w:val="de-DE"/>
              </w:rPr>
              <w:t xml:space="preserve">spoločnosti je </w:t>
            </w:r>
            <w:r w:rsidRPr="0081793F">
              <w:rPr>
                <w:rFonts w:ascii="Times New Roman" w:hAnsi="Times New Roman" w:cs="Times New Roman"/>
                <w:szCs w:val="24"/>
                <w:lang w:val="de-DE"/>
              </w:rPr>
              <w:t>aj</w:t>
            </w:r>
            <w:r w:rsidRPr="0081793F" w:rsidR="009F5952">
              <w:rPr>
                <w:rFonts w:ascii="Times New Roman" w:hAnsi="Times New Roman" w:cs="Times New Roman"/>
                <w:szCs w:val="24"/>
                <w:lang w:val="de-DE"/>
              </w:rPr>
              <w:t xml:space="preserve"> </w:t>
            </w:r>
            <w:r w:rsidRPr="0081793F">
              <w:rPr>
                <w:rFonts w:ascii="Times New Roman" w:hAnsi="Times New Roman" w:cs="Times New Roman"/>
                <w:szCs w:val="24"/>
                <w:lang w:val="de-DE"/>
              </w:rPr>
              <w:t>m</w:t>
            </w:r>
            <w:r w:rsidRPr="0081793F" w:rsidR="009F5952">
              <w:rPr>
                <w:rFonts w:ascii="Times New Roman" w:hAnsi="Times New Roman" w:cs="Times New Roman"/>
                <w:szCs w:val="24"/>
                <w:lang w:val="de-DE"/>
              </w:rPr>
              <w:t>ajetok spoločnosti so sídlom v</w:t>
            </w:r>
            <w:r w:rsidRPr="0081793F">
              <w:rPr>
                <w:rFonts w:ascii="Times New Roman" w:hAnsi="Times New Roman" w:cs="Times New Roman"/>
                <w:szCs w:val="24"/>
                <w:lang w:val="de-DE"/>
              </w:rPr>
              <w:t xml:space="preserve"> členských štátoch Európskej únie.</w:t>
            </w:r>
          </w:p>
          <w:p w:rsidR="00C94827" w:rsidRPr="0081793F" w:rsidP="00777810">
            <w:pPr>
              <w:tabs>
                <w:tab w:val="right" w:pos="9000"/>
              </w:tabs>
              <w:spacing w:line="240" w:lineRule="atLeast"/>
              <w:ind w:left="71"/>
              <w:jc w:val="both"/>
              <w:rPr>
                <w:rFonts w:ascii="Times New Roman" w:hAnsi="Times New Roman" w:cs="Times New Roman"/>
                <w:lang w:val="sk-SK"/>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A3419C">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Čl. 9</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777810">
            <w:pPr>
              <w:jc w:val="both"/>
              <w:rPr>
                <w:rFonts w:ascii="Times New Roman" w:hAnsi="Times New Roman" w:cs="Times New Roman"/>
              </w:rPr>
            </w:pPr>
            <w:r w:rsidRPr="0081793F">
              <w:rPr>
                <w:rFonts w:ascii="Times New Roman" w:hAnsi="Times New Roman" w:cs="Times New Roman"/>
              </w:rPr>
              <w:t>Ustanovenia článkov 4, 5 a 6 sa uplatnia na prevod aktív.</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8B7BA3">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8B7BA3">
              <w:rPr>
                <w:rFonts w:ascii="Times New Roman" w:hAnsi="Times New Roman" w:cs="Times New Roman"/>
                <w:lang w:val="sk-SK"/>
              </w:rPr>
              <w:t>§ 17 ods. 1 písm. b)</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(1) Pri  zisťovaní  základu  dane   alebo  daňovej  straty  sa vychádza</w:t>
            </w:r>
          </w:p>
          <w:p w:rsidR="008B7BA3" w:rsidRPr="0081793F" w:rsidP="00777810">
            <w:pPr>
              <w:jc w:val="both"/>
              <w:rPr>
                <w:rFonts w:ascii="Times New Roman" w:hAnsi="Times New Roman" w:cs="Times New Roman"/>
                <w:lang w:val="sk-SK"/>
              </w:rPr>
            </w:pPr>
          </w:p>
          <w:p w:rsidR="00C94827" w:rsidRPr="0081793F" w:rsidP="00777810">
            <w:pPr>
              <w:jc w:val="both"/>
              <w:rPr>
                <w:rFonts w:ascii="Times New Roman" w:hAnsi="Times New Roman" w:cs="Times New Roman"/>
                <w:lang w:val="sk-SK"/>
              </w:rPr>
            </w:pPr>
            <w:r w:rsidRPr="0081793F" w:rsidR="008B7BA3">
              <w:rPr>
                <w:rFonts w:ascii="Times New Roman" w:hAnsi="Times New Roman" w:cs="Times New Roman"/>
                <w:lang w:val="sk-SK"/>
              </w:rPr>
              <w:t>b) u daňovníka  účtujúceho  v  sú</w:t>
            </w:r>
            <w:r w:rsidRPr="0081793F" w:rsidR="005168FC">
              <w:rPr>
                <w:rFonts w:ascii="Times New Roman" w:hAnsi="Times New Roman" w:cs="Times New Roman"/>
                <w:lang w:val="sk-SK"/>
              </w:rPr>
              <w:t>stave  podvojného účtovníctva</w:t>
            </w:r>
            <w:r w:rsidRPr="0081793F" w:rsidR="008B7BA3">
              <w:rPr>
                <w:rFonts w:ascii="Times New Roman" w:hAnsi="Times New Roman" w:cs="Times New Roman"/>
                <w:lang w:val="sk-SK"/>
              </w:rPr>
              <w:t xml:space="preserve"> z výsledku hospodárenia.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r w:rsidRPr="0081793F" w:rsidR="008B7BA3">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94827"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 xml:space="preserve">Článok 10 </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pStyle w:val="BodyText"/>
              <w:jc w:val="both"/>
              <w:rPr>
                <w:rFonts w:ascii="Times New Roman" w:hAnsi="Times New Roman" w:cs="Times New Roman"/>
                <w:i w:val="0"/>
                <w:lang w:val="sk-SK"/>
              </w:rPr>
            </w:pPr>
            <w:r w:rsidRPr="0081793F">
              <w:rPr>
                <w:rFonts w:ascii="Times New Roman" w:hAnsi="Times New Roman" w:cs="Times New Roman"/>
                <w:i w:val="0"/>
                <w:lang w:val="sk-SK"/>
              </w:rPr>
              <w:t>1. Ak aktíva prevedené pri zlúčení,  rozdelení alebo prevode aktív zahrnujú materský podnik prevádzajúcej spoločnosti so sídlom v inom členskom štáte, než je štát prevádzajúcej spoločnosti, druhý štát sa vzdá akéhokoľvek práva zdaňovať materský podnik. Štát prevádzajúcej spoločnosti však môže  do zdaniteľného zisku tejto spoločnosti znovu zaviesť také straty  materského podniku , ktoré  mohli  predtým vyrovnať  zdaniteľným ziskom tejto spoločnosti v tomto štáte a ktoré neboli obnovené. Štát sídla materského podniku a štát preberajúcej spoločnosti uplatnia ustanovenia tejto smernice na takýto prevod tak, akoby predchádzajúci štát bol štátom prevádzajúcej spoločnosti.</w:t>
            </w: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732D01" w:rsidRPr="0081793F" w:rsidP="00777810">
            <w:pPr>
              <w:pStyle w:val="BodyText"/>
              <w:jc w:val="both"/>
              <w:rPr>
                <w:rFonts w:ascii="Times New Roman" w:hAnsi="Times New Roman" w:cs="Times New Roman"/>
                <w:i w:val="0"/>
                <w:lang w:val="sk-SK"/>
              </w:rPr>
            </w:pPr>
          </w:p>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2. Derogáciou z odseku 1, ak členský štát prevádzajúcej spoločnosti uplatňuje systém zdaňovania celosvetových ziskov, tento členský štát má právo zdaňovať každý  zisk alebo kapitálové zisky materskej spoločnosti  pochádzajúce zo zlúčenia , rozdelenia alebo prevodu aktív  pod podmienkou, že poskytne úľavu na dani, ktorá by bola požadovaná z týchto ziskov alebo kapitálových ziskov v štáte sídla tohto materského podniku  s výnimkou ustanovení tejto smernice, rovnakým spôsobom a v rovnakom objeme, ako by to urobil, ak by táto daň bola skutočne vyrubená a zaplatená.</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N</w:t>
            </w: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r w:rsidRPr="0081793F">
              <w:rPr>
                <w:rFonts w:ascii="Times New Roman" w:hAnsi="Times New Roman" w:cs="Times New Roman"/>
                <w:lang w:val="sk-SK"/>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32D01">
            <w:pPr>
              <w:rPr>
                <w:rFonts w:ascii="Times New Roman" w:hAnsi="Times New Roman" w:cs="Times New Roman"/>
                <w:lang w:val="sk-SK"/>
              </w:rPr>
            </w:pPr>
            <w:r w:rsidRPr="0081793F">
              <w:rPr>
                <w:rFonts w:ascii="Times New Roman" w:hAnsi="Times New Roman" w:cs="Times New Roman"/>
                <w:lang w:val="sk-SK"/>
              </w:rPr>
              <w:t>Zákon č. 595/2003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32D01">
            <w:pPr>
              <w:rPr>
                <w:rFonts w:ascii="Times New Roman" w:hAnsi="Times New Roman" w:cs="Times New Roman"/>
                <w:lang w:val="sk-SK"/>
              </w:rPr>
            </w:pPr>
            <w:r w:rsidRPr="0081793F">
              <w:rPr>
                <w:rFonts w:ascii="Times New Roman" w:hAnsi="Times New Roman" w:cs="Times New Roman"/>
                <w:lang w:val="sk-SK"/>
              </w:rPr>
              <w:t>§ 17 ods. 1 písm. b)</w:t>
            </w:r>
          </w:p>
          <w:p w:rsidR="005168FC" w:rsidRPr="0081793F" w:rsidP="00732D01">
            <w:pPr>
              <w:rPr>
                <w:rFonts w:ascii="Times New Roman" w:hAnsi="Times New Roman" w:cs="Times New Roman"/>
                <w:lang w:val="sk-SK"/>
              </w:rPr>
            </w:pPr>
          </w:p>
          <w:p w:rsidR="005168FC" w:rsidRPr="0081793F" w:rsidP="00732D01">
            <w:pPr>
              <w:rPr>
                <w:rFonts w:ascii="Times New Roman" w:hAnsi="Times New Roman" w:cs="Times New Roman"/>
                <w:lang w:val="sk-SK"/>
              </w:rPr>
            </w:pPr>
            <w:r w:rsidRPr="0081793F">
              <w:rPr>
                <w:rFonts w:ascii="Times New Roman" w:hAnsi="Times New Roman" w:cs="Times New Roman"/>
                <w:lang w:val="sk-SK"/>
              </w:rPr>
              <w:t>§ 17 ods. 5</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(1) Pri  zisťovaní  základu  dane   alebo  daňovej  straty  sa vychádza</w:t>
            </w:r>
          </w:p>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b) u daňovníka účtujúceho v sústave  podvojného účtovníctva</w:t>
            </w:r>
            <w:r w:rsidRPr="0081793F" w:rsidR="005168FC">
              <w:rPr>
                <w:rFonts w:ascii="Times New Roman" w:hAnsi="Times New Roman" w:cs="Times New Roman"/>
                <w:lang w:val="sk-SK"/>
              </w:rPr>
              <w:t xml:space="preserve"> </w:t>
            </w:r>
            <w:r w:rsidRPr="0081793F">
              <w:rPr>
                <w:rFonts w:ascii="Times New Roman" w:hAnsi="Times New Roman" w:cs="Times New Roman"/>
                <w:lang w:val="sk-SK"/>
              </w:rPr>
              <w:t>z výsledku hospodárenia.</w:t>
            </w:r>
          </w:p>
          <w:p w:rsidR="005168FC" w:rsidRPr="0081793F" w:rsidP="00777810">
            <w:pPr>
              <w:jc w:val="both"/>
              <w:rPr>
                <w:rFonts w:ascii="Times New Roman" w:hAnsi="Times New Roman" w:cs="Times New Roman"/>
                <w:lang w:val="sk-SK"/>
              </w:rPr>
            </w:pPr>
          </w:p>
          <w:p w:rsidR="005168FC" w:rsidRPr="0081793F" w:rsidP="00777810">
            <w:pPr>
              <w:jc w:val="both"/>
              <w:rPr>
                <w:rFonts w:ascii="Times New Roman" w:hAnsi="Times New Roman" w:cs="Times New Roman"/>
                <w:lang w:val="sk-SK"/>
              </w:rPr>
            </w:pPr>
            <w:r w:rsidRPr="0081793F">
              <w:rPr>
                <w:rFonts w:ascii="Times New Roman" w:hAnsi="Times New Roman" w:cs="Times New Roman"/>
                <w:lang w:val="sk-SK"/>
              </w:rPr>
              <w:t>(5) Súčasťou  základu dane  zahraničnej závislej  osoby je  aj rozdiel, o ktorý sa ceny  pri  vzájomných  obchodných vzťahoch zahraničných  závislých osôb  vrátane cien  za poskytnuté  služby, pôžičky  a  úvery  líšia  od cien používaných medzi nezávislými</w:t>
            </w:r>
            <w:r w:rsidRPr="0081793F" w:rsidR="009F5952">
              <w:rPr>
                <w:rFonts w:ascii="Times New Roman" w:hAnsi="Times New Roman" w:cs="Times New Roman"/>
                <w:lang w:val="sk-SK"/>
              </w:rPr>
              <w:t xml:space="preserve"> </w:t>
            </w:r>
            <w:r w:rsidRPr="0081793F">
              <w:rPr>
                <w:rFonts w:ascii="Times New Roman" w:hAnsi="Times New Roman" w:cs="Times New Roman"/>
                <w:lang w:val="sk-SK"/>
              </w:rPr>
              <w:t>osobami v porovnateľných obchodných vzťahoch, pričom tento rozdiel znížil základ  dane. Pri určení  rozdielu sa použije  postup podľa § 18. Pri určení základu dane zahraničnej závislej osoby sa povoľuje zahrnúť do  daňových výdavkov  aj pomerná  časť výdavkov (nákladov) na služby vynaložených inou  osobou, voči  ktorej je</w:t>
            </w:r>
            <w:r w:rsidRPr="0081793F" w:rsidR="0081793F">
              <w:rPr>
                <w:rFonts w:ascii="Times New Roman" w:hAnsi="Times New Roman" w:cs="Times New Roman"/>
                <w:lang w:val="sk-SK"/>
              </w:rPr>
              <w:t xml:space="preserve"> </w:t>
            </w:r>
            <w:r w:rsidRPr="0081793F">
              <w:rPr>
                <w:rFonts w:ascii="Times New Roman" w:hAnsi="Times New Roman" w:cs="Times New Roman"/>
                <w:lang w:val="sk-SK"/>
              </w:rPr>
              <w:t>závislou osobou, ak</w:t>
            </w:r>
          </w:p>
          <w:p w:rsidR="005168FC"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a) služba  preukázateľne   súvisí  s predmetom činnosti tejto závislej osoby,</w:t>
            </w:r>
          </w:p>
          <w:p w:rsidR="005168FC"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b) by  si musela  objednať túto  službu u  nezávislých osôb alebo takúto  činnosť vykonať sama, keby  jej ju  neposkytla osoba, voči ktorej je závislou osobou,</w:t>
            </w:r>
          </w:p>
          <w:p w:rsidR="005168FC"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c) cena služby zodpovedá princípu nezávislého vzťahu (§ 18 ods. 1),</w:t>
            </w:r>
          </w:p>
          <w:p w:rsidR="005168FC"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 d) preukáže úhrnnú výšku výdavkov (nákladov) vynaložených na túto službu  a spôsob  ich  delenia  medzi osoby dosahujúce úžitok z tejto služby.</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Ú</w:t>
            </w: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732D01" w:rsidRPr="0081793F">
            <w:pPr>
              <w:rPr>
                <w:rFonts w:ascii="Times New Roman" w:hAnsi="Times New Roman" w:cs="Times New Roman"/>
                <w:lang w:val="sk-SK"/>
              </w:rPr>
            </w:pPr>
          </w:p>
          <w:p w:rsidR="008B7BA3" w:rsidRPr="0081793F">
            <w:pPr>
              <w:rPr>
                <w:rFonts w:ascii="Times New Roman" w:hAnsi="Times New Roman" w:cs="Times New Roman"/>
                <w:lang w:val="sk-SK"/>
              </w:rPr>
            </w:pPr>
            <w:r w:rsidRPr="0081793F">
              <w:rPr>
                <w:rFonts w:ascii="Times New Roman" w:hAnsi="Times New Roman" w:cs="Times New Roman"/>
                <w:lang w:val="sk-SK"/>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Článok 11</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pStyle w:val="BodyText2"/>
              <w:spacing w:after="0" w:line="240" w:lineRule="auto"/>
              <w:jc w:val="both"/>
              <w:rPr>
                <w:rFonts w:ascii="Times New Roman" w:hAnsi="Times New Roman" w:cs="Times New Roman"/>
                <w:lang w:val="sk-SK"/>
              </w:rPr>
            </w:pPr>
            <w:r w:rsidRPr="0081793F">
              <w:rPr>
                <w:rFonts w:ascii="Times New Roman" w:hAnsi="Times New Roman" w:cs="Times New Roman"/>
                <w:lang w:val="sk-SK"/>
              </w:rPr>
              <w:t>1. Členský štát môže odmietnuť uplatňovať alebo  odňať výhody všetkých alebo ktorejkoľvek časti ustanovení hláv II , III alebo IV,   ak sa preukáže, že zlúčenie, rozdelenie, prevod aktív alebo výmena akcií:</w:t>
            </w:r>
          </w:p>
          <w:p w:rsidR="008B7BA3" w:rsidRPr="0081793F" w:rsidP="00777810">
            <w:pPr>
              <w:numPr>
                <w:ilvl w:val="0"/>
                <w:numId w:val="4"/>
              </w:numPr>
              <w:tabs>
                <w:tab w:val="left" w:pos="0"/>
                <w:tab w:val="clear" w:pos="360"/>
              </w:tabs>
              <w:ind w:left="72" w:hanging="72"/>
              <w:jc w:val="both"/>
              <w:rPr>
                <w:rFonts w:ascii="Times New Roman" w:hAnsi="Times New Roman" w:cs="Times New Roman"/>
                <w:lang w:val="sk-SK"/>
              </w:rPr>
            </w:pPr>
            <w:r w:rsidRPr="0081793F">
              <w:rPr>
                <w:rFonts w:ascii="Times New Roman" w:hAnsi="Times New Roman" w:cs="Times New Roman"/>
                <w:lang w:val="sk-SK"/>
              </w:rPr>
              <w:t>má za svoj hlavný cieľ alebo jeden z hlavných cieľov daňový únik alebo vyhýbať sa plateniu dani; alebo skutočnosť, že jedna z operácií uvedených v článku 1 nie je vykonaná z  právoplatných  komerčných dôvodov, ako sú reštrukturalizácia alebo racionalizácia činností spoločnosti zúčastňujúcej sa  na operácii, ktorá môže vytvoriť predpoklad,  že hlavným  alebo jedným z hlavných účelov operácie je vyhýbať sa plateniu dani alebo daňový únik;</w:t>
            </w:r>
          </w:p>
          <w:p w:rsidR="008B7BA3" w:rsidRPr="0081793F" w:rsidP="00777810">
            <w:pPr>
              <w:numPr>
                <w:ilvl w:val="0"/>
                <w:numId w:val="4"/>
              </w:numPr>
              <w:tabs>
                <w:tab w:val="left" w:pos="72"/>
                <w:tab w:val="clear" w:pos="360"/>
              </w:tabs>
              <w:ind w:left="72" w:hanging="72"/>
              <w:jc w:val="both"/>
              <w:rPr>
                <w:rFonts w:ascii="Times New Roman" w:hAnsi="Times New Roman" w:cs="Times New Roman"/>
                <w:lang w:val="sk-SK"/>
              </w:rPr>
            </w:pPr>
            <w:r w:rsidRPr="0081793F">
              <w:rPr>
                <w:rFonts w:ascii="Times New Roman" w:hAnsi="Times New Roman" w:cs="Times New Roman"/>
                <w:lang w:val="sk-SK"/>
              </w:rPr>
              <w:t>skončí v spoločnosti, či už zúčastnenej na operácii alebo nie, ktorá už nespĺňa podmienky požadované pre zastupovanie zamestnancov v orgánoch spoločnosti  podľa úpravy platnej pred touto operáciou.</w:t>
            </w:r>
          </w:p>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2. Odsek 1 (b) sa uplatní  v takom rozsahu, pokiaľ žiadne legislatívne ustanovenia   spoločenstva obsahujúce ekvivalentné ustanovenia o zastúpení zamestnancov v orgánoch spoločnosti sa neuplatnia voči spoločnostiam, na ktoré sa vzťahuje táto smernica. </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jc w:val="both"/>
              <w:rPr>
                <w:rFonts w:ascii="Times New Roman" w:hAnsi="Times New Roman" w:cs="Times New Roman"/>
                <w:lang w:val="sk-SK"/>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Čl. 12</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pStyle w:val="BodyText2"/>
              <w:spacing w:after="0" w:line="240" w:lineRule="auto"/>
              <w:jc w:val="both"/>
              <w:rPr>
                <w:rFonts w:ascii="Times New Roman" w:hAnsi="Times New Roman" w:cs="Times New Roman"/>
                <w:lang w:val="sk-SK"/>
              </w:rPr>
            </w:pPr>
            <w:r w:rsidRPr="0081793F">
              <w:rPr>
                <w:rFonts w:ascii="Times New Roman" w:hAnsi="Times New Roman" w:cs="Times New Roman"/>
                <w:lang w:val="sk-SK"/>
              </w:rPr>
              <w:t>1. Členské štáty zabezpečia, aby zákony, nariadenia a správne predpisy potrebné na prispôsobenie tejto smernice nadobudli účinnosť do 1. januára 1992 a budú o tom bezodkladne informovať komisiu.</w:t>
            </w:r>
          </w:p>
          <w:p w:rsidR="008B7BA3" w:rsidRPr="0081793F" w:rsidP="00777810">
            <w:pPr>
              <w:pStyle w:val="BodyText2"/>
              <w:spacing w:after="0" w:line="240" w:lineRule="auto"/>
              <w:jc w:val="both"/>
              <w:rPr>
                <w:rFonts w:ascii="Times New Roman" w:hAnsi="Times New Roman" w:cs="Times New Roman"/>
                <w:lang w:val="sk-SK"/>
              </w:rPr>
            </w:pPr>
            <w:r w:rsidRPr="0081793F">
              <w:rPr>
                <w:rFonts w:ascii="Times New Roman" w:hAnsi="Times New Roman" w:cs="Times New Roman"/>
                <w:lang w:val="sk-SK"/>
              </w:rPr>
              <w:t>2. Derogáciou z odseku 1 môže Portugalská republika posunúť  uplatnenie ustanovení týkajúcich sa presunu aktív a výmeny akcií do 1. januára 1993.</w:t>
            </w:r>
          </w:p>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 xml:space="preserve">3. Členské štáty  oboznámia komisiu  s textom hlavných ustanovení vnútroštátnych zákonov, ktoré prijmú v oblasti, ktorej sa  táto smernica týka. </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N</w:t>
            </w: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r w:rsidRPr="0081793F">
              <w:rPr>
                <w:rFonts w:ascii="Times New Roman" w:hAnsi="Times New Roman" w:cs="Times New Roman"/>
                <w:lang w:val="sk-SK"/>
              </w:rPr>
              <w:t>n.a.</w:t>
            </w: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r w:rsidRPr="0081793F">
              <w:rPr>
                <w:rFonts w:ascii="Times New Roman" w:hAnsi="Times New Roman"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Čl. II</w:t>
            </w: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jc w:val="both"/>
              <w:rPr>
                <w:rFonts w:ascii="Times New Roman" w:hAnsi="Times New Roman" w:cs="Times New Roman"/>
                <w:lang w:val="sk-SK"/>
              </w:rPr>
            </w:pPr>
            <w:r w:rsidRPr="0081793F">
              <w:rPr>
                <w:rFonts w:ascii="Times New Roman" w:hAnsi="Times New Roman" w:cs="Times New Roman"/>
                <w:lang w:val="sk-SK"/>
              </w:rPr>
              <w:t>Tento zákon nadobúda účinnosť 1. januára 2005 s výnimkou Čl. I bodu 22, ktorý nadobúda účinnosť 1. mája 2006.</w:t>
            </w:r>
          </w:p>
          <w:p w:rsidR="008B7BA3" w:rsidRPr="0081793F" w:rsidP="00777810">
            <w:pPr>
              <w:jc w:val="both"/>
              <w:rPr>
                <w:rFonts w:ascii="Times New Roman" w:hAnsi="Times New Roman" w:cs="Times New Roman"/>
                <w:lang w:val="sk-SK"/>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Ú</w:t>
            </w: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r w:rsidRPr="0081793F">
              <w:rPr>
                <w:rFonts w:ascii="Times New Roman" w:hAnsi="Times New Roman" w:cs="Times New Roman"/>
                <w:lang w:val="sk-SK"/>
              </w:rPr>
              <w:t>N</w:t>
            </w: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p>
          <w:p w:rsidR="008B7BA3" w:rsidRPr="0081793F">
            <w:pPr>
              <w:rPr>
                <w:rFonts w:ascii="Times New Roman" w:hAnsi="Times New Roman" w:cs="Times New Roman"/>
                <w:lang w:val="sk-SK"/>
              </w:rPr>
            </w:pPr>
            <w:r w:rsidRPr="0081793F">
              <w:rPr>
                <w:rFonts w:ascii="Times New Roman" w:hAnsi="Times New Roman" w:cs="Times New Roman"/>
                <w:lang w:val="sk-SK"/>
              </w:rPr>
              <w:t>Ú</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p>
          <w:p w:rsidR="008B7BA3" w:rsidRPr="0081793F" w:rsidP="009F5952">
            <w:pPr>
              <w:jc w:val="both"/>
              <w:rPr>
                <w:rFonts w:ascii="Times New Roman" w:hAnsi="Times New Roman" w:cs="Times New Roman"/>
                <w:lang w:val="sk-SK"/>
              </w:rPr>
            </w:pPr>
            <w:r w:rsidRPr="0081793F">
              <w:rPr>
                <w:rFonts w:ascii="Times New Roman" w:hAnsi="Times New Roman" w:cs="Times New Roman"/>
                <w:lang w:val="sk-SK"/>
              </w:rPr>
              <w:t>SR informuje komi</w:t>
            </w:r>
            <w:r w:rsidRPr="0081793F" w:rsidR="009F5952">
              <w:rPr>
                <w:rFonts w:ascii="Times New Roman" w:hAnsi="Times New Roman" w:cs="Times New Roman"/>
                <w:lang w:val="sk-SK"/>
              </w:rPr>
              <w:t>-</w:t>
            </w:r>
            <w:r w:rsidRPr="0081793F">
              <w:rPr>
                <w:rFonts w:ascii="Times New Roman" w:hAnsi="Times New Roman" w:cs="Times New Roman"/>
                <w:lang w:val="sk-SK"/>
              </w:rPr>
              <w:t xml:space="preserve">siu </w:t>
            </w:r>
            <w:r w:rsidRPr="0081793F" w:rsidR="009F5952">
              <w:rPr>
                <w:rFonts w:ascii="Times New Roman" w:hAnsi="Times New Roman" w:cs="Times New Roman"/>
                <w:lang w:val="sk-SK"/>
              </w:rPr>
              <w:t>p</w:t>
            </w:r>
            <w:r w:rsidRPr="0081793F">
              <w:rPr>
                <w:rFonts w:ascii="Times New Roman" w:hAnsi="Times New Roman" w:cs="Times New Roman"/>
                <w:lang w:val="sk-SK"/>
              </w:rPr>
              <w:t xml:space="preserve">rostredníctvom notifikácie </w:t>
            </w: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r>
      <w:tr>
        <w:tblPrEx>
          <w:tblW w:w="15252" w:type="dxa"/>
          <w:tblInd w:w="-497" w:type="dxa"/>
          <w:tblLayout w:type="fixed"/>
          <w:tblCellMar>
            <w:top w:w="0" w:type="dxa"/>
            <w:left w:w="70" w:type="dxa"/>
            <w:bottom w:w="0" w:type="dxa"/>
            <w:right w:w="70" w:type="dxa"/>
          </w:tblCellMar>
        </w:tblPrEx>
        <w:trPr>
          <w:trHeight w:hRule="auto" w:val="0"/>
        </w:trPr>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 xml:space="preserve">Čl. 13 </w:t>
            </w:r>
          </w:p>
        </w:tc>
        <w:tc>
          <w:tcPr>
            <w:tcW w:w="456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pStyle w:val="BodyText2"/>
              <w:spacing w:line="240" w:lineRule="auto"/>
              <w:jc w:val="both"/>
              <w:rPr>
                <w:rFonts w:ascii="Times New Roman" w:hAnsi="Times New Roman" w:cs="Times New Roman"/>
                <w:lang w:val="sk-SK"/>
              </w:rPr>
            </w:pPr>
            <w:r w:rsidRPr="0081793F">
              <w:rPr>
                <w:rFonts w:ascii="Times New Roman" w:hAnsi="Times New Roman" w:cs="Times New Roman"/>
                <w:lang w:val="sk-SK"/>
              </w:rPr>
              <w:t>Táto smernica je adresovaná členským štátom.</w:t>
            </w:r>
          </w:p>
        </w:tc>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r w:rsidRPr="0081793F">
              <w:rPr>
                <w:rFonts w:ascii="Times New Roman" w:hAnsi="Times New Roman" w:cs="Times New Roman"/>
                <w:lang w:val="sk-SK"/>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pPr>
              <w:rPr>
                <w:rFonts w:ascii="Times New Roman" w:hAnsi="Times New Roman" w:cs="Times New Roman"/>
                <w:lang w:val="sk-SK"/>
              </w:rPr>
            </w:pPr>
          </w:p>
        </w:tc>
        <w:tc>
          <w:tcPr>
            <w:tcW w:w="453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RPr="0081793F" w:rsidP="00777810">
            <w:pPr>
              <w:jc w:val="both"/>
              <w:rPr>
                <w:rFonts w:ascii="Times New Roman" w:hAnsi="Times New Roman" w:cs="Times New Roman"/>
                <w:lang w:val="sk-SK"/>
              </w:rPr>
            </w:pP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pPr>
              <w:rPr>
                <w:rFonts w:ascii="Times New Roman" w:hAnsi="Times New Roman" w:cs="Times New Roman"/>
                <w:lang w:val="sk-SK"/>
              </w:rPr>
            </w:pPr>
            <w:r w:rsidRPr="0081793F">
              <w:rPr>
                <w:rFonts w:ascii="Times New Roman" w:hAnsi="Times New Roman" w:cs="Times New Roman"/>
                <w:lang w:val="sk-SK"/>
              </w:rPr>
              <w:t>N</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pPr>
              <w:rPr>
                <w:rFonts w:ascii="Times New Roman" w:hAnsi="Times New Roman" w:cs="Times New Roman"/>
                <w:lang w:val="sk-SK"/>
              </w:rPr>
            </w:pPr>
          </w:p>
        </w:tc>
        <w:tc>
          <w:tcPr>
            <w:tcW w:w="21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rsidP="009F5952">
            <w:pPr>
              <w:jc w:val="both"/>
              <w:rPr>
                <w:rFonts w:ascii="Times New Roman" w:hAnsi="Times New Roman" w:cs="Times New Roman"/>
                <w:lang w:val="sk-SK"/>
              </w:rPr>
            </w:pPr>
          </w:p>
        </w:tc>
        <w:tc>
          <w:tcPr>
            <w:tcW w:w="6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7BA3">
            <w:pPr>
              <w:rPr>
                <w:rFonts w:ascii="Times New Roman" w:hAnsi="Times New Roman" w:cs="Times New Roman"/>
                <w:lang w:val="sk-SK"/>
              </w:rPr>
            </w:pPr>
          </w:p>
        </w:tc>
      </w:tr>
    </w:tbl>
    <w:p w:rsidR="00081405" w:rsidP="007A212B">
      <w:pPr>
        <w:rPr>
          <w:rFonts w:ascii="Times New Roman" w:hAnsi="Times New Roman" w:cs="Times New Roman"/>
          <w:lang w:val="sk-SK"/>
        </w:rPr>
      </w:pPr>
    </w:p>
    <w:sectPr>
      <w:footerReference w:type="even" r:id="rId4"/>
      <w:footerReference w:type="default" r:id="rId5"/>
      <w:pgSz w:w="16840" w:h="11907" w:orient="landscape" w:code="9"/>
      <w:pgMar w:top="1191" w:right="1191" w:bottom="1191" w:left="119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3F" w:rsidP="00540C8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1793F" w:rsidP="00F1382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3F" w:rsidP="00540C8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77810">
      <w:rPr>
        <w:rStyle w:val="PageNumber"/>
        <w:rFonts w:ascii="Times New Roman" w:hAnsi="Times New Roman" w:cs="Times New Roman"/>
        <w:noProof/>
      </w:rPr>
      <w:t>13</w:t>
    </w:r>
    <w:r>
      <w:rPr>
        <w:rStyle w:val="PageNumber"/>
        <w:rFonts w:ascii="Times New Roman" w:hAnsi="Times New Roman" w:cs="Times New Roman"/>
      </w:rPr>
      <w:fldChar w:fldCharType="end"/>
    </w:r>
  </w:p>
  <w:p w:rsidR="0081793F" w:rsidP="00F1382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5035F"/>
    <w:multiLevelType w:val="singleLevel"/>
    <w:tmpl w:val="166EB7A0"/>
    <w:lvl w:ilvl="0">
      <w:start w:val="1"/>
      <w:numFmt w:val="bullet"/>
      <w:lvlText w:val="-"/>
      <w:lvlJc w:val="left"/>
      <w:pPr>
        <w:tabs>
          <w:tab w:val="num" w:pos="420"/>
        </w:tabs>
        <w:ind w:left="420" w:hanging="360"/>
      </w:pPr>
    </w:lvl>
  </w:abstractNum>
  <w:abstractNum w:abstractNumId="1">
    <w:nsid w:val="58421294"/>
    <w:multiLevelType w:val="singleLevel"/>
    <w:tmpl w:val="041B0019"/>
    <w:lvl w:ilvl="0">
      <w:start w:val="1"/>
      <w:numFmt w:val="lowerLetter"/>
      <w:lvlText w:val="(%1)"/>
      <w:lvlJc w:val="left"/>
      <w:pPr>
        <w:tabs>
          <w:tab w:val="num" w:pos="360"/>
        </w:tabs>
        <w:ind w:left="360" w:hanging="360"/>
      </w:pPr>
    </w:lvl>
  </w:abstractNum>
  <w:abstractNum w:abstractNumId="2">
    <w:nsid w:val="708450FD"/>
    <w:multiLevelType w:val="singleLevel"/>
    <w:tmpl w:val="041B0019"/>
    <w:lvl w:ilvl="0">
      <w:start w:val="1"/>
      <w:numFmt w:val="lowerLetter"/>
      <w:lvlText w:val="(%1)"/>
      <w:lvlJc w:val="left"/>
      <w:pPr>
        <w:tabs>
          <w:tab w:val="num" w:pos="360"/>
        </w:tabs>
        <w:ind w:left="360" w:hanging="360"/>
      </w:pPr>
    </w:lvl>
  </w:abstractNum>
  <w:abstractNum w:abstractNumId="3">
    <w:nsid w:val="7C9F332C"/>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81405"/>
    <w:rsid w:val="000C0EFA"/>
    <w:rsid w:val="00110473"/>
    <w:rsid w:val="00192380"/>
    <w:rsid w:val="002B0042"/>
    <w:rsid w:val="004B39D1"/>
    <w:rsid w:val="005168FC"/>
    <w:rsid w:val="00540495"/>
    <w:rsid w:val="0054087C"/>
    <w:rsid w:val="00540C8C"/>
    <w:rsid w:val="00565ABE"/>
    <w:rsid w:val="00732D01"/>
    <w:rsid w:val="00777810"/>
    <w:rsid w:val="007A212B"/>
    <w:rsid w:val="007C14E2"/>
    <w:rsid w:val="007D3C2E"/>
    <w:rsid w:val="0081793F"/>
    <w:rsid w:val="008B7BA3"/>
    <w:rsid w:val="009F5952"/>
    <w:rsid w:val="00A3419C"/>
    <w:rsid w:val="00A54642"/>
    <w:rsid w:val="00A6679D"/>
    <w:rsid w:val="00AB0A2E"/>
    <w:rsid w:val="00AB184D"/>
    <w:rsid w:val="00B62FB3"/>
    <w:rsid w:val="00BC0B0D"/>
    <w:rsid w:val="00C43CAA"/>
    <w:rsid w:val="00C520BE"/>
    <w:rsid w:val="00C74A71"/>
    <w:rsid w:val="00C94827"/>
    <w:rsid w:val="00CA48DB"/>
    <w:rsid w:val="00CF0A8C"/>
    <w:rsid w:val="00D46987"/>
    <w:rsid w:val="00D63FCA"/>
    <w:rsid w:val="00E0007A"/>
    <w:rsid w:val="00E5758A"/>
    <w:rsid w:val="00E85437"/>
    <w:rsid w:val="00ED330A"/>
    <w:rsid w:val="00F04556"/>
    <w:rsid w:val="00F1382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pPr>
      <w:jc w:val="left"/>
    </w:pPr>
    <w:rPr>
      <w:i/>
    </w:rPr>
  </w:style>
  <w:style w:type="paragraph" w:styleId="BodyText2">
    <w:name w:val="Body Text 2"/>
    <w:basedOn w:val="Normal"/>
    <w:rsid w:val="00B62FB3"/>
    <w:pPr>
      <w:spacing w:after="120" w:line="480" w:lineRule="auto"/>
      <w:jc w:val="left"/>
    </w:pPr>
  </w:style>
  <w:style w:type="character" w:customStyle="1" w:styleId="ZkladntextChar">
    <w:name w:val="Základný text Char"/>
    <w:basedOn w:val="DefaultParagraphFont"/>
    <w:link w:val="BodyText"/>
    <w:rsid w:val="00B62FB3"/>
    <w:rPr>
      <w:i/>
      <w:sz w:val="24"/>
      <w:rtl w:val="0"/>
      <w:lang w:val="en-US" w:bidi="ar-SA"/>
    </w:rPr>
  </w:style>
  <w:style w:type="paragraph" w:styleId="Title">
    <w:name w:val="Title"/>
    <w:basedOn w:val="Normal"/>
    <w:uiPriority w:val="10"/>
    <w:qFormat/>
    <w:rsid w:val="00B62FB3"/>
    <w:pPr>
      <w:jc w:val="center"/>
    </w:pPr>
    <w:rPr>
      <w:b/>
      <w:lang w:val="sk-SK"/>
    </w:rPr>
  </w:style>
  <w:style w:type="paragraph" w:styleId="BodyTextIndent">
    <w:name w:val="Body Text Indent"/>
    <w:basedOn w:val="Normal"/>
    <w:rsid w:val="007D3C2E"/>
    <w:pPr>
      <w:spacing w:after="120"/>
      <w:ind w:left="283"/>
      <w:jc w:val="left"/>
    </w:pPr>
  </w:style>
  <w:style w:type="paragraph" w:styleId="BodyTextIndent2">
    <w:name w:val="Body Text Indent 2"/>
    <w:basedOn w:val="Normal"/>
    <w:rsid w:val="00F34CC8"/>
    <w:pPr>
      <w:spacing w:after="120" w:line="480" w:lineRule="auto"/>
      <w:ind w:left="283"/>
      <w:jc w:val="left"/>
    </w:pPr>
  </w:style>
  <w:style w:type="character" w:styleId="FootnoteReference">
    <w:name w:val="footnote reference"/>
    <w:basedOn w:val="DefaultParagraphFont"/>
    <w:semiHidden/>
    <w:rsid w:val="00192380"/>
    <w:rPr>
      <w:vertAlign w:val="superscript"/>
    </w:rPr>
  </w:style>
  <w:style w:type="paragraph" w:styleId="BalloonText">
    <w:name w:val="Balloon Text"/>
    <w:basedOn w:val="Normal"/>
    <w:semiHidden/>
    <w:rsid w:val="00081405"/>
    <w:pPr>
      <w:jc w:val="left"/>
    </w:pPr>
    <w:rPr>
      <w:rFonts w:ascii="Tahoma" w:hAnsi="Tahoma" w:cs="Tahoma"/>
      <w:sz w:val="16"/>
      <w:szCs w:val="16"/>
    </w:rPr>
  </w:style>
  <w:style w:type="paragraph" w:styleId="Footer">
    <w:name w:val="footer"/>
    <w:basedOn w:val="Normal"/>
    <w:rsid w:val="00F13827"/>
    <w:pPr>
      <w:tabs>
        <w:tab w:val="center" w:pos="4536"/>
        <w:tab w:val="right" w:pos="9072"/>
      </w:tabs>
      <w:jc w:val="left"/>
    </w:pPr>
  </w:style>
  <w:style w:type="character" w:styleId="PageNumber">
    <w:name w:val="page number"/>
    <w:basedOn w:val="DefaultParagraphFont"/>
    <w:rsid w:val="00F13827"/>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187</TotalTime>
  <Pages>1</Pages>
  <Words>3158</Words>
  <Characters>18636</Characters>
  <Application>Microsoft Office Word</Application>
  <DocSecurity>0</DocSecurity>
  <Lines>0</Lines>
  <Paragraphs>0</Paragraphs>
  <ScaleCrop>false</ScaleCrop>
  <Company>Ministry of Finance</Company>
  <LinksUpToDate>false</LinksUpToDate>
  <CharactersWithSpaces>21751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rkurka</cp:lastModifiedBy>
  <cp:revision>9</cp:revision>
  <cp:lastPrinted>2004-08-04T07:47:00Z</cp:lastPrinted>
  <dcterms:created xsi:type="dcterms:W3CDTF">2004-07-23T13:02:00Z</dcterms:created>
  <dcterms:modified xsi:type="dcterms:W3CDTF">2004-08-04T08:17:00Z</dcterms:modified>
</cp:coreProperties>
</file>