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ascii="Times New Roman" w:hAnsi="Times New Roman" w:cs="Times New Roman"/>
          <w:b/>
          <w:lang w:val="sk-SK"/>
        </w:rPr>
      </w:pPr>
      <w:r>
        <w:rPr>
          <w:rFonts w:ascii="Times New Roman" w:hAnsi="Times New Roman" w:cs="Times New Roman"/>
          <w:b/>
          <w:lang w:val="sk-SK"/>
        </w:rPr>
        <w:t>TABUĽKA ZHODY</w:t>
      </w:r>
    </w:p>
    <w:p>
      <w:pPr>
        <w:jc w:val="center"/>
        <w:rPr>
          <w:rFonts w:ascii="Times New Roman" w:hAnsi="Times New Roman" w:cs="Times New Roman"/>
          <w:b/>
          <w:lang w:val="sk-SK"/>
        </w:rPr>
      </w:pPr>
      <w:r>
        <w:rPr>
          <w:rFonts w:ascii="Times New Roman" w:hAnsi="Times New Roman" w:cs="Times New Roman"/>
          <w:b/>
          <w:lang w:val="sk-SK"/>
        </w:rPr>
        <w:t>k návrhu zákona, ktorým sa mení a dopĺňa zákon č. 80/1997 Z.z. o Exportno-importnej banke Slovenskej republiky v znení neskorších predpisov s právom Európskych spoločenstiev a  právom Európskej únie</w:t>
      </w:r>
    </w:p>
    <w:p>
      <w:pPr>
        <w:rPr>
          <w:rFonts w:ascii="Times New Roman" w:hAnsi="Times New Roman" w:cs="Times New Roman"/>
          <w:lang w:val="sk-SK"/>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637"/>
        <w:gridCol w:w="4111"/>
        <w:gridCol w:w="567"/>
        <w:gridCol w:w="851"/>
        <w:gridCol w:w="708"/>
        <w:gridCol w:w="5245"/>
        <w:gridCol w:w="567"/>
        <w:gridCol w:w="851"/>
        <w:gridCol w:w="992"/>
        <w:gridCol w:w="850"/>
      </w:tblGrid>
      <w:tr>
        <w:tblPrEx>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5315"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rPr>
            </w:pPr>
            <w:r>
              <w:rPr>
                <w:rFonts w:ascii="Times New Roman" w:hAnsi="Times New Roman" w:cs="Times New Roman"/>
              </w:rPr>
              <w:t>Právny akt ES/EÚ</w:t>
            </w:r>
          </w:p>
          <w:p>
            <w:pPr>
              <w:rPr>
                <w:rFonts w:ascii="Times New Roman" w:hAnsi="Times New Roman" w:cs="Times New Roman"/>
                <w:b/>
                <w:lang w:val="sk-SK"/>
              </w:rPr>
            </w:pPr>
            <w:r>
              <w:rPr>
                <w:rFonts w:ascii="Times New Roman" w:hAnsi="Times New Roman" w:cs="Times New Roman"/>
                <w:b/>
                <w:szCs w:val="24"/>
              </w:rPr>
              <w:t>Smernica rady č. 84/568/E</w:t>
            </w:r>
            <w:r>
              <w:rPr>
                <w:rFonts w:ascii="Times New Roman" w:hAnsi="Times New Roman" w:cs="Times New Roman"/>
                <w:b/>
                <w:szCs w:val="24"/>
              </w:rPr>
              <w:t xml:space="preserve">HS z 27. novembra 1984, </w:t>
            </w:r>
            <w:r>
              <w:rPr>
                <w:rFonts w:ascii="Times New Roman" w:hAnsi="Times New Roman" w:cs="Times New Roman"/>
                <w:b/>
              </w:rPr>
              <w:t>ktorá sa týka vzájomných povinností exportných úverových poisťovní členských štátov pôsobiacich v záujme štátu alebo s jeho podporou alebo štátnych orgánov pôsobiacich v mieste týchto organizácií, v prípade spoločných záruk na kontrakt zahrňujúci jednu alebo viac subdodávateľských zmlúv v jednom alebo viacerých členských štátoch Európskych spoločenstiev</w:t>
            </w:r>
          </w:p>
        </w:tc>
        <w:tc>
          <w:tcPr>
            <w:tcW w:w="10064"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Všeobecne záväzné právne predpisy SR</w:t>
            </w:r>
          </w:p>
          <w:p>
            <w:pPr>
              <w:rPr>
                <w:rFonts w:ascii="Times New Roman" w:hAnsi="Times New Roman" w:cs="Times New Roman"/>
                <w:b/>
                <w:lang w:val="sk-SK"/>
              </w:rPr>
            </w:pPr>
            <w:r>
              <w:rPr>
                <w:rFonts w:ascii="Times New Roman" w:hAnsi="Times New Roman" w:cs="Times New Roman"/>
                <w:b/>
                <w:lang w:val="sk-SK"/>
              </w:rPr>
              <w:t>Zákon č. 80/1997 Z.z. o Exportno-importnej banke Slovenskej republiky v znení neskorších predpi</w:t>
            </w:r>
            <w:r>
              <w:rPr>
                <w:rFonts w:ascii="Times New Roman" w:hAnsi="Times New Roman" w:cs="Times New Roman"/>
                <w:b/>
                <w:lang w:val="sk-SK"/>
              </w:rPr>
              <w:t>sov</w:t>
            </w:r>
          </w:p>
          <w:p>
            <w:pPr>
              <w:rPr>
                <w:rFonts w:ascii="Times New Roman" w:hAnsi="Times New Roman" w:cs="Times New Roman"/>
                <w:b/>
                <w:lang w:val="sk-SK"/>
              </w:rPr>
            </w:pPr>
            <w:r>
              <w:rPr>
                <w:rFonts w:ascii="Times New Roman" w:hAnsi="Times New Roman" w:cs="Times New Roman"/>
                <w:b/>
                <w:lang w:val="sk-SK"/>
              </w:rPr>
              <w:t>Smernica Rady banky Eximbanky SR č. 2/2004 zo 23.2. 2004 Vzájomné záväzky Eximbanky SR a exportných úverových poisťovní členských štátov Európskej únie pri poskytovaní spoločných záruk na dodávateľské zmluvy zahrňujúce jednu alebo viac subdodávateľských zmlúv v jednom alebo viacerých členských štátoch Európskej únie</w:t>
            </w:r>
          </w:p>
        </w:tc>
      </w:tr>
      <w:tr>
        <w:tblPrEx>
          <w:tblW w:w="15379" w:type="dxa"/>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lang w:val="sk-SK"/>
              </w:rPr>
              <w:t xml:space="preserve">   </w:t>
            </w:r>
            <w:r>
              <w:rPr>
                <w:rFonts w:ascii="Times New Roman" w:hAnsi="Times New Roman" w:cs="Times New Roman"/>
                <w:b/>
                <w:lang w:val="sk-SK"/>
              </w:rPr>
              <w:t>č.</w:t>
            </w:r>
          </w:p>
        </w:tc>
        <w:tc>
          <w:tcPr>
            <w:tcW w:w="41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2"/>
              <w:rPr>
                <w:rFonts w:ascii="Times New Roman" w:hAnsi="Times New Roman" w:cs="Times New Roman"/>
              </w:rPr>
            </w:pPr>
            <w:r>
              <w:rPr>
                <w:rFonts w:ascii="Times New Roman" w:hAnsi="Times New Roman" w:cs="Times New Roman"/>
              </w:rPr>
              <w:t>Text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sz w:val="20"/>
                <w:lang w:val="sk-SK"/>
              </w:rPr>
            </w:pPr>
            <w:r>
              <w:rPr>
                <w:rFonts w:ascii="Times New Roman" w:hAnsi="Times New Roman" w:cs="Times New Roman"/>
                <w:b/>
                <w:sz w:val="20"/>
                <w:lang w:val="sk-SK"/>
              </w:rPr>
              <w:t>Spôsob trans-pozície</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Číslo</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Článok</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Text</w:t>
            </w:r>
          </w:p>
          <w:p>
            <w:pPr>
              <w:rPr>
                <w:rFonts w:ascii="Times New Roman" w:hAnsi="Times New Roman" w:cs="Times New Roman"/>
                <w:b/>
                <w:lang w:val="sk-SK"/>
              </w:rPr>
            </w:pPr>
          </w:p>
          <w:p>
            <w:pPr>
              <w:rPr>
                <w:rFonts w:ascii="Times New Roman" w:hAnsi="Times New Roman" w:cs="Times New Roman"/>
                <w:b/>
                <w:lang w:val="sk-SK"/>
              </w:rPr>
            </w:pPr>
          </w:p>
          <w:p>
            <w:pPr>
              <w:rPr>
                <w:rFonts w:ascii="Times New Roman" w:hAnsi="Times New Roman" w:cs="Times New Roman"/>
                <w:b/>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Zhoda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sz w:val="20"/>
                <w:lang w:val="sk-SK"/>
              </w:rPr>
            </w:pPr>
            <w:r>
              <w:rPr>
                <w:rFonts w:ascii="Times New Roman" w:hAnsi="Times New Roman" w:cs="Times New Roman"/>
                <w:b/>
                <w:sz w:val="20"/>
                <w:lang w:val="sk-SK"/>
              </w:rPr>
              <w:t>Administratívna infraštru-ktúra</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Pozná</w:t>
            </w:r>
          </w:p>
          <w:p>
            <w:pPr>
              <w:rPr>
                <w:rFonts w:ascii="Times New Roman" w:hAnsi="Times New Roman" w:cs="Times New Roman"/>
                <w:b/>
                <w:lang w:val="sk-SK"/>
              </w:rPr>
            </w:pPr>
            <w:r>
              <w:rPr>
                <w:rFonts w:ascii="Times New Roman" w:hAnsi="Times New Roman" w:cs="Times New Roman"/>
                <w:b/>
                <w:lang w:val="sk-SK"/>
              </w:rPr>
              <w:t>mky</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b/>
                <w:lang w:val="sk-SK"/>
              </w:rPr>
            </w:pPr>
            <w:r>
              <w:rPr>
                <w:rFonts w:ascii="Times New Roman" w:hAnsi="Times New Roman" w:cs="Times New Roman"/>
                <w:b/>
                <w:lang w:val="sk-SK"/>
              </w:rPr>
              <w:t>Štádium legislatívneho procesu</w:t>
            </w:r>
          </w:p>
        </w:tc>
      </w:tr>
      <w:tr>
        <w:tblPrEx>
          <w:tblW w:w="15379" w:type="dxa"/>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Čl.1</w:t>
            </w:r>
          </w:p>
        </w:tc>
        <w:tc>
          <w:tcPr>
            <w:tcW w:w="41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ext"/>
              <w:numPr>
                <w:ilvl w:val="0"/>
                <w:numId w:val="2"/>
              </w:numPr>
              <w:ind w:left="284" w:hanging="284"/>
              <w:jc w:val="both"/>
              <w:rPr>
                <w:rFonts w:ascii="Times New Roman" w:hAnsi="Times New Roman" w:cs="Times New Roman"/>
                <w:sz w:val="24"/>
              </w:rPr>
            </w:pPr>
            <w:r>
              <w:rPr>
                <w:rFonts w:ascii="Times New Roman" w:hAnsi="Times New Roman" w:cs="Times New Roman"/>
                <w:sz w:val="24"/>
              </w:rPr>
              <w:t xml:space="preserve">Členské štáty zabezpečia, aby sa ich exportné úverové poisťovne pôsobiace v záujme štátu alebo s jeho podporou alebo štátne orgány pôsobiace v mieste týchto poisťovní </w:t>
            </w:r>
            <w:r>
              <w:rPr>
                <w:rFonts w:ascii="Times New Roman" w:hAnsi="Times New Roman" w:cs="Times New Roman"/>
                <w:b/>
                <w:sz w:val="24"/>
              </w:rPr>
              <w:t>prispôsobili ustanoveniam zvláštnej dohody</w:t>
            </w:r>
            <w:r>
              <w:rPr>
                <w:rFonts w:ascii="Times New Roman" w:hAnsi="Times New Roman" w:cs="Times New Roman"/>
                <w:sz w:val="24"/>
              </w:rPr>
              <w:t xml:space="preserve"> pripojenej k tejto smernici v otázkach </w:t>
            </w:r>
            <w:r>
              <w:rPr>
                <w:rFonts w:ascii="Times New Roman" w:hAnsi="Times New Roman" w:cs="Times New Roman"/>
                <w:sz w:val="24"/>
                <w:u w:val="single"/>
              </w:rPr>
              <w:t>vzájomných povinností pri rozhodnutí o príspevku</w:t>
            </w:r>
            <w:r>
              <w:rPr>
                <w:rFonts w:ascii="Times New Roman" w:hAnsi="Times New Roman" w:cs="Times New Roman"/>
                <w:sz w:val="24"/>
              </w:rPr>
              <w:t xml:space="preserve"> spolu s organizáciou alebo štátnym orgánom druhého členského štátu, </w:t>
            </w:r>
            <w:r>
              <w:rPr>
                <w:rFonts w:ascii="Times New Roman" w:hAnsi="Times New Roman" w:cs="Times New Roman"/>
                <w:b/>
                <w:sz w:val="24"/>
              </w:rPr>
              <w:t>záruk, týkajúcich sa kontraktu</w:t>
            </w:r>
            <w:r>
              <w:rPr>
                <w:rFonts w:ascii="Times New Roman" w:hAnsi="Times New Roman" w:cs="Times New Roman"/>
                <w:sz w:val="24"/>
              </w:rPr>
              <w:t>, ktorý zahrňuje jednu alebo viac subdodávateľských zmlúv v jednom alebo viacerých členských štátoch.</w:t>
            </w:r>
          </w:p>
          <w:p>
            <w:pPr>
              <w:pStyle w:val="text"/>
              <w:numPr>
                <w:ilvl w:val="0"/>
                <w:numId w:val="3"/>
              </w:numPr>
              <w:ind w:left="72" w:hanging="72"/>
              <w:jc w:val="both"/>
              <w:rPr>
                <w:rFonts w:ascii="Times New Roman" w:hAnsi="Times New Roman" w:cs="Times New Roman"/>
                <w:sz w:val="24"/>
                <w:szCs w:val="24"/>
              </w:rPr>
            </w:pPr>
            <w:r>
              <w:rPr>
                <w:rFonts w:ascii="Times New Roman" w:hAnsi="Times New Roman" w:cs="Times New Roman"/>
                <w:sz w:val="24"/>
                <w:szCs w:val="24"/>
              </w:rPr>
              <w:t>Pripojené ustanovenia nezabraňujú organizáciám alebo ministerstvám spomínaným v odseku 1 v prijatí dodatočných ustanovení, ktoré neovplyvňujú pôsobnosť ustanovení pripojených k tejto smernici pri svojom uplatnení na ľubovoľnej špecifickej operácii.</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N</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i/>
                <w:lang w:val="sk-SK"/>
              </w:rPr>
            </w:pPr>
            <w:r>
              <w:rPr>
                <w:rFonts w:ascii="Times New Roman" w:hAnsi="Times New Roman" w:cs="Times New Roman"/>
                <w:i/>
                <w:lang w:val="sk-SK"/>
              </w:rPr>
              <w:t>Zákon č. 80/ 1997 Z.z</w:t>
            </w: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 22 ods.3</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bod III</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tabs>
                <w:tab w:val="left" w:pos="360"/>
              </w:tabs>
              <w:ind w:right="-285"/>
              <w:rPr>
                <w:rFonts w:ascii="Times New Roman" w:hAnsi="Times New Roman" w:cs="Times New Roman"/>
                <w:i/>
              </w:rPr>
            </w:pPr>
            <w:r>
              <w:rPr>
                <w:rFonts w:ascii="Times New Roman" w:hAnsi="Times New Roman" w:cs="Times New Roman"/>
                <w:i/>
              </w:rPr>
              <w:t>Pri  poisťovaní vývozných  úverov Eximbankou  pre vývozcov a zahraničnú  banku  sa   Eximbanka  riadi  podmienkami  úverového poistenia Eximbanky schválenými Radou banky.</w:t>
            </w:r>
          </w:p>
          <w:p>
            <w:pPr>
              <w:pStyle w:val="BodyText"/>
              <w:rPr>
                <w:rFonts w:ascii="Times New Roman" w:hAnsi="Times New Roman" w:cs="Times New Roman"/>
                <w:sz w:val="24"/>
                <w:szCs w:val="24"/>
              </w:rPr>
            </w:pPr>
          </w:p>
          <w:p>
            <w:pPr>
              <w:pStyle w:val="BodyText"/>
              <w:rPr>
                <w:rFonts w:ascii="Times New Roman" w:hAnsi="Times New Roman" w:cs="Times New Roman"/>
                <w:sz w:val="24"/>
                <w:szCs w:val="24"/>
              </w:rPr>
            </w:pPr>
            <w:r>
              <w:rPr>
                <w:rFonts w:ascii="Times New Roman" w:hAnsi="Times New Roman" w:cs="Times New Roman"/>
                <w:sz w:val="24"/>
                <w:szCs w:val="24"/>
              </w:rPr>
              <w:t>EXIMBANKA SR  bude zosúlaďovať vzájomné záväzky s inými  poistiteľmi v členských štátoch Európskej únie vyplývajúce z jej rozhodnutia poskytnúť, spoločne s  poistiteľmi  iného členského štátu, záruky týkajúce sa dodávateľskej zmluvy zahrňujúcej jednu alebo viac  subdodávateľských zmlúv v jednom alebo vo viacerých  členských štátoch s  usta</w:t>
            </w:r>
            <w:r>
              <w:rPr>
                <w:rFonts w:ascii="Times New Roman" w:hAnsi="Times New Roman" w:cs="Times New Roman"/>
                <w:sz w:val="24"/>
                <w:szCs w:val="24"/>
              </w:rPr>
              <w:t>noveniami vzorovej dohody, ktorá je v prílohe  k týmto smerniciam - Vzorová dohoda.</w:t>
            </w:r>
          </w:p>
          <w:p>
            <w:pPr>
              <w:pStyle w:val="BodyText"/>
              <w:rPr>
                <w:rFonts w:ascii="Times New Roman" w:hAnsi="Times New Roman" w:cs="Times New Roman"/>
                <w:sz w:val="24"/>
                <w:szCs w:val="24"/>
              </w:rPr>
            </w:pPr>
            <w:r>
              <w:rPr>
                <w:rFonts w:ascii="Times New Roman" w:hAnsi="Times New Roman" w:cs="Times New Roman"/>
                <w:sz w:val="24"/>
                <w:szCs w:val="24"/>
              </w:rPr>
              <w:t xml:space="preserve">Pripojené ustanovenia  nebránia  EXIMBANKE SR a poistiteľom, aby    prijali ďalšie ustanovenia, ktoré nemajú vplyv na pôsobnosť pripojených ustanovení v ich uplatňovaní pri akejkoľvek špecifickej operácii. </w:t>
            </w:r>
          </w:p>
          <w:p>
            <w:pPr>
              <w:rPr>
                <w:rFonts w:ascii="Times New Roman" w:hAnsi="Times New Roman" w:cs="Times New Roman"/>
                <w:lang w:val="sk-SK"/>
              </w:rPr>
            </w:pPr>
          </w:p>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Exim-banka</w:t>
            </w:r>
          </w:p>
          <w:p>
            <w:pPr>
              <w:rPr>
                <w:rFonts w:ascii="Times New Roman" w:hAnsi="Times New Roman" w:cs="Times New Roman"/>
                <w:lang w:val="sk-SK"/>
              </w:rPr>
            </w:pPr>
          </w:p>
          <w:p>
            <w:pPr>
              <w:rPr>
                <w:rFonts w:ascii="Times New Roman" w:hAnsi="Times New Roman" w:cs="Times New Roman"/>
                <w:lang w:val="sk-SK"/>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Smerni- ca Rady banky č. 2/2004</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15379" w:type="dxa"/>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Čl.2</w:t>
            </w:r>
          </w:p>
        </w:tc>
        <w:tc>
          <w:tcPr>
            <w:tcW w:w="41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ext"/>
              <w:jc w:val="both"/>
              <w:rPr>
                <w:rFonts w:ascii="Times New Roman" w:hAnsi="Times New Roman" w:cs="Times New Roman"/>
                <w:sz w:val="24"/>
              </w:rPr>
            </w:pPr>
            <w:r>
              <w:rPr>
                <w:rFonts w:ascii="Times New Roman" w:hAnsi="Times New Roman" w:cs="Times New Roman"/>
                <w:sz w:val="24"/>
              </w:rPr>
              <w:t>Komisia predloží dva roky po implementácii tejto smernice správy o skúsenostiach získaných z uplatnení ustanovení pripojených k tejto smernici.</w:t>
            </w:r>
          </w:p>
          <w:p>
            <w:pPr>
              <w:pStyle w:val="text"/>
              <w:jc w:val="both"/>
              <w:rPr>
                <w:rFonts w:ascii="Times New Roman" w:hAnsi="Times New Roman" w:cs="Times New Roman"/>
                <w:sz w:val="24"/>
                <w:szCs w:val="24"/>
              </w:rPr>
            </w:pPr>
            <w:r>
              <w:rPr>
                <w:rFonts w:ascii="Times New Roman" w:hAnsi="Times New Roman" w:cs="Times New Roman"/>
                <w:sz w:val="24"/>
                <w:szCs w:val="24"/>
              </w:rPr>
              <w:t>Komisia môže kedykoľvek predložiť návrhy na modifikáciu týchto ustanovení.</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15379" w:type="dxa"/>
          <w:tblLayout w:type="fixed"/>
          <w:tblCellMar>
            <w:top w:w="0" w:type="dxa"/>
            <w:left w:w="70" w:type="dxa"/>
            <w:bottom w:w="0" w:type="dxa"/>
            <w:right w:w="70" w:type="dxa"/>
          </w:tblCellMar>
        </w:tblPrEx>
        <w:trPr>
          <w:trHeight w:val="1675"/>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Čl.3</w:t>
            </w:r>
          </w:p>
        </w:tc>
        <w:tc>
          <w:tcPr>
            <w:tcW w:w="41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ext"/>
              <w:jc w:val="both"/>
              <w:rPr>
                <w:rFonts w:ascii="Times New Roman" w:hAnsi="Times New Roman" w:cs="Times New Roman"/>
                <w:sz w:val="24"/>
              </w:rPr>
            </w:pPr>
            <w:r>
              <w:rPr>
                <w:rFonts w:ascii="Times New Roman" w:hAnsi="Times New Roman" w:cs="Times New Roman"/>
                <w:sz w:val="24"/>
              </w:rPr>
              <w:t>Členské štáty uvedú opatrenie potrebné na zabezpečenie zhody s ustanoveniami tohoto dodatku do šiestich mesiacov od oznámenia (1) tejto smernice.</w:t>
            </w:r>
          </w:p>
          <w:p>
            <w:pPr>
              <w:rPr>
                <w:rFonts w:ascii="Times New Roman" w:hAnsi="Times New Roman" w:cs="Times New Roman"/>
                <w:lang w:val="sk-SK"/>
              </w:rPr>
            </w:pPr>
            <w:r>
              <w:rPr>
                <w:rFonts w:ascii="Times New Roman" w:hAnsi="Times New Roman" w:cs="Times New Roman"/>
              </w:rPr>
              <w:t>O týchto opatreniach budú informovať komisiu.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15379" w:type="dxa"/>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Čl.4</w:t>
            </w:r>
          </w:p>
        </w:tc>
        <w:tc>
          <w:tcPr>
            <w:tcW w:w="41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ext"/>
              <w:jc w:val="both"/>
              <w:rPr>
                <w:rFonts w:ascii="Times New Roman" w:hAnsi="Times New Roman" w:cs="Times New Roman"/>
                <w:sz w:val="24"/>
                <w:szCs w:val="24"/>
              </w:rPr>
            </w:pPr>
            <w:r>
              <w:rPr>
                <w:rFonts w:ascii="Times New Roman" w:hAnsi="Times New Roman" w:cs="Times New Roman"/>
                <w:sz w:val="24"/>
                <w:szCs w:val="24"/>
              </w:rPr>
              <w:t>Táto smernica je určená členským štátom.</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n.a.</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15379" w:type="dxa"/>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 xml:space="preserve">Príloha čl.1 </w:t>
            </w:r>
          </w:p>
        </w:tc>
        <w:tc>
          <w:tcPr>
            <w:tcW w:w="41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ext"/>
              <w:jc w:val="both"/>
              <w:rPr>
                <w:rFonts w:ascii="Times New Roman" w:hAnsi="Times New Roman" w:cs="Times New Roman"/>
                <w:sz w:val="24"/>
              </w:rPr>
            </w:pPr>
            <w:r>
              <w:rPr>
                <w:rFonts w:ascii="Times New Roman" w:hAnsi="Times New Roman" w:cs="Times New Roman"/>
                <w:sz w:val="24"/>
              </w:rPr>
              <w:t>ZVLÁŠTNA DOHODA</w:t>
            </w:r>
          </w:p>
          <w:p>
            <w:pPr>
              <w:pStyle w:val="text"/>
              <w:jc w:val="both"/>
              <w:rPr>
                <w:rFonts w:ascii="Times New Roman" w:hAnsi="Times New Roman" w:cs="Times New Roman"/>
                <w:sz w:val="24"/>
              </w:rPr>
            </w:pPr>
            <w:r>
              <w:rPr>
                <w:rFonts w:ascii="Times New Roman" w:hAnsi="Times New Roman" w:cs="Times New Roman"/>
                <w:sz w:val="24"/>
              </w:rPr>
              <w:t>Prehľad</w:t>
            </w:r>
          </w:p>
          <w:p>
            <w:pPr>
              <w:pStyle w:val="text"/>
              <w:jc w:val="both"/>
              <w:rPr>
                <w:rFonts w:ascii="Times New Roman" w:hAnsi="Times New Roman" w:cs="Times New Roman"/>
                <w:sz w:val="24"/>
              </w:rPr>
            </w:pPr>
            <w:r>
              <w:rPr>
                <w:rFonts w:ascii="Times New Roman" w:hAnsi="Times New Roman" w:cs="Times New Roman"/>
                <w:sz w:val="24"/>
              </w:rPr>
              <w:t xml:space="preserve">Predmetom tejto dohody je </w:t>
            </w:r>
            <w:r>
              <w:rPr>
                <w:rFonts w:ascii="Times New Roman" w:hAnsi="Times New Roman" w:cs="Times New Roman"/>
                <w:b/>
                <w:sz w:val="24"/>
              </w:rPr>
              <w:t xml:space="preserve">regulácia vzájomných záväzkov </w:t>
            </w:r>
            <w:r>
              <w:rPr>
                <w:rFonts w:ascii="Times New Roman" w:hAnsi="Times New Roman" w:cs="Times New Roman"/>
                <w:sz w:val="24"/>
              </w:rPr>
              <w:t>exportných úverových poisťovní Európskeho hospodárskeho spoločenstva v prípadoch, keď:</w:t>
            </w:r>
          </w:p>
          <w:p>
            <w:pPr>
              <w:pStyle w:val="text"/>
              <w:numPr>
                <w:ilvl w:val="0"/>
                <w:numId w:val="4"/>
              </w:numPr>
              <w:jc w:val="both"/>
              <w:rPr>
                <w:rFonts w:ascii="Times New Roman" w:hAnsi="Times New Roman" w:cs="Times New Roman"/>
                <w:sz w:val="24"/>
              </w:rPr>
            </w:pPr>
            <w:r>
              <w:rPr>
                <w:rFonts w:ascii="Times New Roman" w:hAnsi="Times New Roman" w:cs="Times New Roman"/>
                <w:sz w:val="24"/>
              </w:rPr>
              <w:t>podnik (ďalej nazývaný „hlavný dodávateľ") uzavrie subdodávateľskú zmluvu s jedným alebo viacerými podnikmi (ďalej nazývané „subdodávatelia") jedného alebo viacerých členských štátov Európskeho hospodárskeho spoločenstva na exportný kontrakt, ktorého výhradným držiteľom je hlavný dodávateľ a ktorý je uzavretý s podnikom (ďalej nazývaným „nákupca"), ktorý sa nachádza:</w:t>
            </w:r>
          </w:p>
          <w:p>
            <w:pPr>
              <w:pStyle w:val="text"/>
              <w:numPr>
                <w:ilvl w:val="0"/>
                <w:numId w:val="4"/>
              </w:numPr>
              <w:jc w:val="both"/>
              <w:rPr>
                <w:rFonts w:ascii="Times New Roman" w:hAnsi="Times New Roman" w:cs="Times New Roman"/>
                <w:sz w:val="24"/>
              </w:rPr>
            </w:pPr>
            <w:r>
              <w:rPr>
                <w:rFonts w:ascii="Times New Roman" w:hAnsi="Times New Roman" w:cs="Times New Roman"/>
                <w:sz w:val="24"/>
              </w:rPr>
              <w:t>buď v štáte, ktorý nepatrí do Európskeho hospodárskeho spoločenstva,</w:t>
            </w:r>
          </w:p>
          <w:p>
            <w:pPr>
              <w:pStyle w:val="text"/>
              <w:numPr>
                <w:ilvl w:val="0"/>
                <w:numId w:val="4"/>
              </w:numPr>
              <w:jc w:val="both"/>
              <w:rPr>
                <w:rFonts w:ascii="Times New Roman" w:hAnsi="Times New Roman" w:cs="Times New Roman"/>
                <w:sz w:val="24"/>
              </w:rPr>
            </w:pPr>
            <w:r>
              <w:rPr>
                <w:rFonts w:ascii="Times New Roman" w:hAnsi="Times New Roman" w:cs="Times New Roman"/>
                <w:sz w:val="24"/>
              </w:rPr>
              <w:t>alebo v členskom štáte Európskeho hospodárskeho spoločenstva inom, ako je štát, v ktorom sídli hlavný dodávateľ a subdodávateľ (subdodávatelia);</w:t>
            </w:r>
          </w:p>
          <w:p>
            <w:pPr>
              <w:pStyle w:val="text"/>
              <w:numPr>
                <w:ilvl w:val="0"/>
                <w:numId w:val="4"/>
              </w:numPr>
              <w:jc w:val="both"/>
              <w:rPr>
                <w:rFonts w:ascii="Times New Roman" w:hAnsi="Times New Roman" w:cs="Times New Roman"/>
                <w:sz w:val="24"/>
              </w:rPr>
            </w:pPr>
            <w:r>
              <w:rPr>
                <w:rFonts w:ascii="Times New Roman" w:hAnsi="Times New Roman" w:cs="Times New Roman"/>
                <w:sz w:val="24"/>
              </w:rPr>
              <w:t>hlavný dodávateľ sa zaviazal zasielať subdodávateľovi (subdodávateľom) podiel spôsobený týmto subdodávateľom (subdodávateľmi) mimo súm platených nákupcom hlavnému dodávateľovi a zabezpečiť všetky formality, ktoré môžu byť potrebné na transfer tohoto podielu platieb uskutočnených nákupcom, ktoré sú spôsobené subdodávateľom (subdodávateľmi);</w:t>
            </w:r>
          </w:p>
          <w:p>
            <w:pPr>
              <w:pStyle w:val="text"/>
              <w:numPr>
                <w:ilvl w:val="0"/>
                <w:numId w:val="4"/>
              </w:numPr>
              <w:jc w:val="both"/>
              <w:rPr>
                <w:rFonts w:ascii="Times New Roman" w:hAnsi="Times New Roman" w:cs="Times New Roman"/>
                <w:sz w:val="24"/>
              </w:rPr>
            </w:pPr>
            <w:r>
              <w:rPr>
                <w:rFonts w:ascii="Times New Roman" w:hAnsi="Times New Roman" w:cs="Times New Roman"/>
                <w:sz w:val="24"/>
              </w:rPr>
              <w:t>neexistujú žiadne právne väzby medzi subdodávateľom (subdodávateľmi) a ná</w:t>
            </w:r>
            <w:r>
              <w:rPr>
                <w:rFonts w:ascii="Times New Roman" w:hAnsi="Times New Roman" w:cs="Times New Roman"/>
                <w:sz w:val="24"/>
              </w:rPr>
              <w:t>kupcom;</w:t>
            </w:r>
          </w:p>
          <w:p>
            <w:pPr>
              <w:pStyle w:val="text"/>
              <w:numPr>
                <w:ilvl w:val="0"/>
                <w:numId w:val="4"/>
              </w:numPr>
              <w:jc w:val="both"/>
              <w:rPr>
                <w:rFonts w:ascii="Times New Roman" w:hAnsi="Times New Roman" w:cs="Times New Roman"/>
                <w:sz w:val="24"/>
              </w:rPr>
            </w:pPr>
            <w:r>
              <w:rPr>
                <w:rFonts w:ascii="Times New Roman" w:hAnsi="Times New Roman" w:cs="Times New Roman"/>
                <w:sz w:val="24"/>
              </w:rPr>
              <w:t>úverová poisťovňa hlavného dodávateľa (ďalej nazývaná „hlavná poisťovňa") a úverová poisťovňa (poisťovne) subdodávateľa (subdodávateľov) (ďalej nazývaná „spoločná poisťovňa (poisťovne)") sú pripravené garantovať, každá podľa zvyčajných podmienok svojej politiky, časť operácií uskutočnených vo svojich krajinách voči rizikám, ktoré každá definovala vo svojej samostatnej dohode.</w:t>
            </w:r>
          </w:p>
          <w:p>
            <w:pPr>
              <w:pStyle w:val="text"/>
              <w:jc w:val="both"/>
              <w:rPr>
                <w:rFonts w:ascii="Times New Roman" w:hAnsi="Times New Roman" w:cs="Times New Roman"/>
                <w:sz w:val="24"/>
              </w:rPr>
            </w:pPr>
            <w:r>
              <w:rPr>
                <w:rFonts w:ascii="Times New Roman" w:hAnsi="Times New Roman" w:cs="Times New Roman"/>
                <w:sz w:val="24"/>
              </w:rPr>
              <w:t>Dohoda, ktorú uzavrú vyššie uvedené exportné úverové poisťovne a ktorá sa v každom konkrétnom prípade týka vydania spoločných záruk pre hlavného dodávateľa a jedného alebo viacerých subdodávateľov, sa riadi článkami uvedenými nižšie.</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 xml:space="preserve">Príloha </w:t>
            </w:r>
          </w:p>
          <w:p>
            <w:pPr>
              <w:rPr>
                <w:rFonts w:ascii="Times New Roman" w:hAnsi="Times New Roman" w:cs="Times New Roman"/>
                <w:b/>
              </w:rPr>
            </w:pPr>
          </w:p>
          <w:p>
            <w:pPr>
              <w:rPr>
                <w:rFonts w:ascii="Times New Roman" w:hAnsi="Times New Roman" w:cs="Times New Roman"/>
                <w:lang w:val="sk-SK"/>
              </w:rPr>
            </w:pPr>
            <w:r>
              <w:rPr>
                <w:rFonts w:ascii="Times New Roman" w:hAnsi="Times New Roman" w:cs="Times New Roman"/>
                <w:lang w:val="sk-SK"/>
              </w:rPr>
              <w:t>Článok 1</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Pôsobnosť dohody</w:t>
            </w:r>
          </w:p>
          <w:p>
            <w:pPr>
              <w:pStyle w:val="BodyText"/>
              <w:spacing w:after="0"/>
              <w:rPr>
                <w:rFonts w:ascii="Times New Roman" w:hAnsi="Times New Roman" w:cs="Times New Roman"/>
                <w:sz w:val="24"/>
                <w:szCs w:val="24"/>
              </w:rPr>
            </w:pPr>
          </w:p>
          <w:p>
            <w:pPr>
              <w:pStyle w:val="BodyText"/>
              <w:spacing w:after="0"/>
              <w:rPr>
                <w:rFonts w:ascii="Times New Roman" w:hAnsi="Times New Roman" w:cs="Times New Roman"/>
                <w:sz w:val="24"/>
                <w:szCs w:val="24"/>
              </w:rPr>
            </w:pPr>
          </w:p>
          <w:p>
            <w:pPr>
              <w:pStyle w:val="BodyText"/>
              <w:spacing w:after="0"/>
              <w:rPr>
                <w:rFonts w:ascii="Times New Roman" w:hAnsi="Times New Roman" w:cs="Times New Roman"/>
                <w:sz w:val="24"/>
                <w:szCs w:val="24"/>
              </w:rPr>
            </w:pPr>
            <w:r>
              <w:rPr>
                <w:rFonts w:ascii="Times New Roman" w:hAnsi="Times New Roman" w:cs="Times New Roman"/>
                <w:sz w:val="24"/>
                <w:szCs w:val="24"/>
              </w:rPr>
              <w:t>Cieľom tejto dohody je upraviť vzájomné záväzky medzi  poistiteľmi exportných úverov  z členských krajín   Európskej únie v prípadoch, keď:</w:t>
            </w:r>
          </w:p>
          <w:p>
            <w:pPr>
              <w:jc w:val="both"/>
              <w:rPr>
                <w:rFonts w:ascii="Times New Roman" w:hAnsi="Times New Roman" w:cs="Times New Roman"/>
              </w:rPr>
            </w:pPr>
          </w:p>
          <w:p>
            <w:pPr>
              <w:numPr>
                <w:ilvl w:val="0"/>
                <w:numId w:val="7"/>
              </w:numPr>
              <w:tabs>
                <w:tab w:val="left" w:pos="214"/>
                <w:tab w:val="clear" w:pos="360"/>
              </w:tabs>
              <w:ind w:left="72" w:firstLine="0"/>
              <w:jc w:val="both"/>
              <w:rPr>
                <w:rFonts w:ascii="Times New Roman" w:hAnsi="Times New Roman" w:cs="Times New Roman"/>
              </w:rPr>
            </w:pPr>
            <w:r>
              <w:rPr>
                <w:rFonts w:ascii="Times New Roman" w:hAnsi="Times New Roman" w:cs="Times New Roman"/>
              </w:rPr>
              <w:t xml:space="preserve">podnik (ďalej len „ hlavný dodávateľ“) uzatvára subdodávateľské zmluvy s jedným alebo s viacerými podnikmi (ďalej len „ subdodávatelia“) z jedného alebo z viacerých  členských štátov Európskej únie na vývoznú zmluvu, ktorej jediným držiteľom je hlavný dodávateľ a ktorú uzatvoril s podnikom (ďalej len „kupujúci“), ktorý sa nachádza : </w:t>
            </w:r>
          </w:p>
          <w:p>
            <w:pPr>
              <w:tabs>
                <w:tab w:val="left" w:pos="214"/>
              </w:tabs>
              <w:jc w:val="both"/>
              <w:rPr>
                <w:rFonts w:ascii="Times New Roman" w:hAnsi="Times New Roman" w:cs="Times New Roman"/>
              </w:rPr>
            </w:pPr>
          </w:p>
          <w:p>
            <w:pPr>
              <w:tabs>
                <w:tab w:val="left" w:pos="214"/>
              </w:tabs>
              <w:jc w:val="both"/>
              <w:rPr>
                <w:rFonts w:ascii="Times New Roman" w:hAnsi="Times New Roman" w:cs="Times New Roman"/>
              </w:rPr>
            </w:pPr>
          </w:p>
          <w:p>
            <w:pPr>
              <w:tabs>
                <w:tab w:val="left" w:pos="214"/>
              </w:tabs>
              <w:jc w:val="both"/>
              <w:rPr>
                <w:rFonts w:ascii="Times New Roman" w:hAnsi="Times New Roman" w:cs="Times New Roman"/>
              </w:rPr>
            </w:pPr>
          </w:p>
          <w:p>
            <w:pPr>
              <w:tabs>
                <w:tab w:val="left" w:pos="214"/>
              </w:tabs>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 buď v krajine,  ktorá nepatrí k Európskej únii;</w:t>
            </w:r>
          </w:p>
          <w:p>
            <w:pPr>
              <w:jc w:val="both"/>
              <w:rPr>
                <w:rFonts w:ascii="Times New Roman" w:hAnsi="Times New Roman" w:cs="Times New Roman"/>
              </w:rPr>
            </w:pPr>
          </w:p>
          <w:p>
            <w:pPr>
              <w:jc w:val="both"/>
              <w:rPr>
                <w:rFonts w:ascii="Times New Roman" w:hAnsi="Times New Roman" w:cs="Times New Roman"/>
              </w:rPr>
            </w:pPr>
          </w:p>
          <w:p>
            <w:pPr>
              <w:numPr>
                <w:ilvl w:val="0"/>
                <w:numId w:val="7"/>
              </w:numPr>
              <w:tabs>
                <w:tab w:val="left" w:pos="360"/>
              </w:tabs>
              <w:jc w:val="both"/>
              <w:rPr>
                <w:rFonts w:ascii="Times New Roman" w:hAnsi="Times New Roman" w:cs="Times New Roman"/>
              </w:rPr>
            </w:pPr>
            <w:r>
              <w:rPr>
                <w:rFonts w:ascii="Times New Roman" w:hAnsi="Times New Roman" w:cs="Times New Roman"/>
              </w:rPr>
              <w:t>alebo v členskom štáte  Európskej únie inom, ako  sú  tie  štáty, v ktorých sa nachádza  hlavný   dodávateľ a subdodávateľ (subdodávatelia);</w:t>
            </w:r>
          </w:p>
          <w:p>
            <w:pPr>
              <w:jc w:val="both"/>
              <w:rPr>
                <w:rFonts w:ascii="Times New Roman" w:hAnsi="Times New Roman" w:cs="Times New Roman"/>
              </w:rPr>
            </w:pPr>
          </w:p>
          <w:p>
            <w:pPr>
              <w:jc w:val="both"/>
              <w:rPr>
                <w:rFonts w:ascii="Times New Roman" w:hAnsi="Times New Roman" w:cs="Times New Roman"/>
              </w:rPr>
            </w:pPr>
          </w:p>
          <w:p>
            <w:pPr>
              <w:numPr>
                <w:ilvl w:val="0"/>
                <w:numId w:val="7"/>
              </w:numPr>
              <w:tabs>
                <w:tab w:val="left" w:pos="360"/>
              </w:tabs>
              <w:jc w:val="both"/>
              <w:rPr>
                <w:rFonts w:ascii="Times New Roman" w:hAnsi="Times New Roman" w:cs="Times New Roman"/>
              </w:rPr>
            </w:pPr>
            <w:r>
              <w:rPr>
                <w:rFonts w:ascii="Times New Roman" w:hAnsi="Times New Roman" w:cs="Times New Roman"/>
              </w:rPr>
              <w:t>hlavný dodávateľ sa zaväzuje uhradiť subdodávateľovi (subdodávateľom) čiastku  ktorá im má byť zaplatená zo sumy zaplatenej kupujúcim hlavnému dodávateľovi a zabezpečiť všetky formality, ktoré môžu byť potrebné na prevod tej čiastky platieb realizovaných kupujúcim, ktorá má byť zaplatená subdodávateľovi (subdodávateľom);</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numPr>
                <w:ilvl w:val="0"/>
                <w:numId w:val="7"/>
              </w:numPr>
              <w:tabs>
                <w:tab w:val="left" w:pos="360"/>
              </w:tabs>
              <w:jc w:val="both"/>
              <w:rPr>
                <w:rFonts w:ascii="Times New Roman" w:hAnsi="Times New Roman" w:cs="Times New Roman"/>
              </w:rPr>
            </w:pPr>
            <w:r>
              <w:rPr>
                <w:rFonts w:ascii="Times New Roman" w:hAnsi="Times New Roman" w:cs="Times New Roman"/>
              </w:rPr>
              <w:t>nie sú žiadne právne vzťahy medzi subdodávateľom (subdodávateľmi)  a  kupujúcim;</w:t>
            </w:r>
          </w:p>
          <w:p>
            <w:pPr>
              <w:numPr>
                <w:ilvl w:val="0"/>
                <w:numId w:val="7"/>
              </w:numPr>
              <w:tabs>
                <w:tab w:val="left" w:pos="360"/>
              </w:tabs>
              <w:jc w:val="both"/>
              <w:rPr>
                <w:rFonts w:ascii="Times New Roman" w:hAnsi="Times New Roman" w:cs="Times New Roman"/>
              </w:rPr>
            </w:pPr>
            <w:r>
              <w:rPr>
                <w:rFonts w:ascii="Times New Roman" w:hAnsi="Times New Roman" w:cs="Times New Roman"/>
              </w:rPr>
              <w:t>poistiteľ úveru poskytnutého hlavnému dodávateľovi  (ďalej len „hlavný poistiteľ“) a  poistiteľ (poistitelia) úveru poskytnutého suddodávateľovi (subdodávateľom) (ďalej len „ spoločný poistiteľ“ alebo „spoloční poistitelia“)  sú  podľa svojich obvyklých poistných podmienok pripravení poskytnúť záruku voči rizikám, ktoré definujú vo svojich jednotlivých poistných zmluvách, pre časť operácie realizovanú v ich krajine.</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Poistná zmluva, ktorú horeuvedení  poistitelia exportných úverov  uzatvárajú pre každý jednotlivý prípad týkajúci sa spoločných záruk poskytnutých hlavnému  dodávateľovi a jednému alebo viacerým subdodávateľom, sa riadi  článkami uvedenými nižšie.</w:t>
            </w:r>
          </w:p>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p>
            <w:pPr>
              <w:rPr>
                <w:rFonts w:ascii="Times New Roman" w:hAnsi="Times New Roman" w:cs="Times New Roman"/>
                <w:lang w:val="sk-SK"/>
              </w:rPr>
            </w:pPr>
          </w:p>
          <w:p>
            <w:pPr>
              <w:rPr>
                <w:rFonts w:ascii="Times New Roman" w:hAnsi="Times New Roman" w:cs="Times New Roman"/>
                <w:lang w:val="sk-SK"/>
              </w:rPr>
            </w:pPr>
            <w:r>
              <w:rPr>
                <w:rFonts w:ascii="Times New Roman" w:hAnsi="Times New Roman" w:cs="Times New Roman"/>
                <w:lang w:val="sk-SK"/>
              </w:rPr>
              <w:t>Smerni- ca Rady banky č. 2/2004</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15379" w:type="dxa"/>
          <w:tblLayout w:type="fixed"/>
          <w:tblCellMar>
            <w:top w:w="0" w:type="dxa"/>
            <w:left w:w="70" w:type="dxa"/>
            <w:bottom w:w="0" w:type="dxa"/>
            <w:right w:w="70" w:type="dxa"/>
          </w:tblCellMar>
        </w:tblPrEx>
        <w:trPr>
          <w:trHeight w:val="704"/>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 2</w:t>
            </w:r>
          </w:p>
        </w:tc>
        <w:tc>
          <w:tcPr>
            <w:tcW w:w="41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ext"/>
              <w:jc w:val="both"/>
              <w:rPr>
                <w:rFonts w:ascii="Times New Roman" w:hAnsi="Times New Roman" w:cs="Times New Roman"/>
                <w:sz w:val="24"/>
              </w:rPr>
            </w:pPr>
            <w:r>
              <w:rPr>
                <w:rFonts w:ascii="Times New Roman" w:hAnsi="Times New Roman" w:cs="Times New Roman"/>
                <w:sz w:val="24"/>
              </w:rPr>
              <w:t>Povinnosti hlavnej poisťovne</w:t>
            </w:r>
          </w:p>
          <w:p>
            <w:pPr>
              <w:pStyle w:val="text"/>
              <w:jc w:val="both"/>
              <w:rPr>
                <w:rFonts w:ascii="Times New Roman" w:hAnsi="Times New Roman" w:cs="Times New Roman"/>
                <w:sz w:val="24"/>
              </w:rPr>
            </w:pPr>
          </w:p>
          <w:p>
            <w:pPr>
              <w:pStyle w:val="text"/>
              <w:jc w:val="both"/>
              <w:rPr>
                <w:rFonts w:ascii="Times New Roman" w:hAnsi="Times New Roman" w:cs="Times New Roman"/>
                <w:sz w:val="24"/>
              </w:rPr>
            </w:pPr>
            <w:r>
              <w:rPr>
                <w:rFonts w:ascii="Times New Roman" w:hAnsi="Times New Roman" w:cs="Times New Roman"/>
                <w:sz w:val="24"/>
              </w:rPr>
              <w:t>Hlavná poisťovňa, ktorá predstavuje výhradného správcu rizika vrátane subdodávateľského elementu, sa zaviaže:</w:t>
            </w:r>
          </w:p>
          <w:p>
            <w:pPr>
              <w:pStyle w:val="text"/>
              <w:numPr>
                <w:ilvl w:val="0"/>
                <w:numId w:val="5"/>
              </w:numPr>
              <w:ind w:left="425" w:hanging="425"/>
              <w:jc w:val="both"/>
              <w:rPr>
                <w:rFonts w:ascii="Times New Roman" w:hAnsi="Times New Roman" w:cs="Times New Roman"/>
                <w:sz w:val="24"/>
              </w:rPr>
            </w:pPr>
            <w:r>
              <w:rPr>
                <w:rFonts w:ascii="Times New Roman" w:hAnsi="Times New Roman" w:cs="Times New Roman"/>
                <w:sz w:val="24"/>
              </w:rPr>
              <w:t>zaručiť sa hlavnému dodávateľovi, vo vzťahu iba k  časti zmluvy, ktorá sa ho týka, voči rizikám, ktoré zadefinovala v každej samostatnej dohode;</w:t>
            </w:r>
          </w:p>
          <w:p>
            <w:pPr>
              <w:pStyle w:val="text"/>
              <w:numPr>
                <w:ilvl w:val="0"/>
                <w:numId w:val="5"/>
              </w:numPr>
              <w:ind w:left="425" w:hanging="425"/>
              <w:jc w:val="both"/>
              <w:rPr>
                <w:rFonts w:ascii="Times New Roman" w:hAnsi="Times New Roman" w:cs="Times New Roman"/>
                <w:sz w:val="24"/>
              </w:rPr>
            </w:pPr>
            <w:r>
              <w:rPr>
                <w:rFonts w:ascii="Times New Roman" w:hAnsi="Times New Roman" w:cs="Times New Roman"/>
                <w:sz w:val="24"/>
              </w:rPr>
              <w:t>neprijať žiadne modifikácie akejkoľvek podmienky uskutočňovania zmluvy (suma, dodanie, platba a podobne), alebo zmluvy medzi hlavným dodávateľom a subdodávateľom (subdodávateľmi) modifikácie uskutočňovania tejto zmluvy, ak to nebude vzájomne dohodnuté so spoločnou poisťovňou (poisťovňami);</w:t>
            </w:r>
          </w:p>
          <w:p>
            <w:pPr>
              <w:pStyle w:val="text"/>
              <w:numPr>
                <w:ilvl w:val="0"/>
                <w:numId w:val="5"/>
              </w:numPr>
              <w:ind w:left="425" w:hanging="425"/>
              <w:jc w:val="both"/>
              <w:rPr>
                <w:rFonts w:ascii="Times New Roman" w:hAnsi="Times New Roman" w:cs="Times New Roman"/>
                <w:sz w:val="24"/>
              </w:rPr>
            </w:pPr>
            <w:r>
              <w:rPr>
                <w:rFonts w:ascii="Times New Roman" w:hAnsi="Times New Roman" w:cs="Times New Roman"/>
                <w:sz w:val="24"/>
              </w:rPr>
              <w:t>nevzdať sa záväzkov podľa ustanovení poistnej zmluvy vydanej pre hlavného dodávateľa následne po ľubovoľnom nedodržaní záväzku týkajúceho sa druhej zmluvnej strany bez toho, aby to oznámila spoločnej poisťovni (poisťovniam);</w:t>
            </w:r>
          </w:p>
          <w:p>
            <w:pPr>
              <w:pStyle w:val="text"/>
              <w:numPr>
                <w:ilvl w:val="0"/>
                <w:numId w:val="5"/>
              </w:numPr>
              <w:ind w:left="425" w:hanging="425"/>
              <w:jc w:val="both"/>
              <w:rPr>
                <w:rFonts w:ascii="Times New Roman" w:hAnsi="Times New Roman" w:cs="Times New Roman"/>
                <w:sz w:val="24"/>
              </w:rPr>
            </w:pPr>
            <w:r>
              <w:rPr>
                <w:rFonts w:ascii="Times New Roman" w:hAnsi="Times New Roman" w:cs="Times New Roman"/>
                <w:sz w:val="24"/>
              </w:rPr>
              <w:t>nevyhlasovať, že táto poistná zmluva zlyhala bez toho, aby to oznámila spoločnej poisťovni (poisťovniam);</w:t>
            </w:r>
          </w:p>
          <w:p>
            <w:pPr>
              <w:pStyle w:val="text"/>
              <w:numPr>
                <w:ilvl w:val="0"/>
                <w:numId w:val="5"/>
              </w:numPr>
              <w:ind w:left="425" w:hanging="425"/>
              <w:jc w:val="both"/>
              <w:rPr>
                <w:rFonts w:ascii="Times New Roman" w:hAnsi="Times New Roman" w:cs="Times New Roman"/>
                <w:sz w:val="24"/>
              </w:rPr>
            </w:pPr>
            <w:r>
              <w:rPr>
                <w:rFonts w:ascii="Times New Roman" w:hAnsi="Times New Roman" w:cs="Times New Roman"/>
                <w:sz w:val="24"/>
              </w:rPr>
              <w:t>oznámiť spoločnej poisťovni (poisťovniam) všetky skutočnosti, ktoré sa dozvie a ktoré by mohli zmeniť charakter alebo rozsah rizika, alebo by mohli viesť k strate;</w:t>
            </w:r>
          </w:p>
          <w:p>
            <w:pPr>
              <w:pStyle w:val="text"/>
              <w:numPr>
                <w:ilvl w:val="0"/>
                <w:numId w:val="5"/>
              </w:numPr>
              <w:ind w:left="425" w:hanging="425"/>
              <w:jc w:val="both"/>
              <w:rPr>
                <w:rFonts w:ascii="Times New Roman" w:hAnsi="Times New Roman" w:cs="Times New Roman"/>
                <w:sz w:val="24"/>
              </w:rPr>
            </w:pPr>
            <w:r>
              <w:rPr>
                <w:rFonts w:ascii="Times New Roman" w:hAnsi="Times New Roman" w:cs="Times New Roman"/>
                <w:sz w:val="24"/>
              </w:rPr>
              <w:t>v prípade straty alebo hrozby straty konzultovať so spoločnou poisťovňou (poisťovňami) kroky, ktoré sa podniknú; rozhodnutia o potvrdení straty sa podniknú, nakoľko je to možné, po vzájomnej dohode, suma náhrady škody a spôsob platby sú stanovené v súlade s ustanoveniami každej poistnej zmluvy;</w:t>
            </w:r>
          </w:p>
          <w:p>
            <w:pPr>
              <w:pStyle w:val="text"/>
              <w:numPr>
                <w:ilvl w:val="0"/>
                <w:numId w:val="5"/>
              </w:numPr>
              <w:ind w:left="425" w:hanging="425"/>
              <w:jc w:val="both"/>
              <w:rPr>
                <w:rFonts w:ascii="Times New Roman" w:hAnsi="Times New Roman" w:cs="Times New Roman"/>
                <w:sz w:val="24"/>
              </w:rPr>
            </w:pPr>
            <w:r>
              <w:rPr>
                <w:rFonts w:ascii="Times New Roman" w:hAnsi="Times New Roman" w:cs="Times New Roman"/>
                <w:sz w:val="24"/>
              </w:rPr>
              <w:t>v prípade straty podniknúť potrebné kroky alebo požadovať od hlavného dodávateľa, aby podnikol potrebné kroky na získanie nezaplatenej sumy a splatenie podielu patriaceho spoločnej poisťovni zo získanej sumy a vybaviť všetky potrebné formality na transfer tohoto podielu. Náklady, ktoré vzniknú hlavnej poisťovni pri spätnom získaní sumy, sa rozdelia medzi poisťovne proporčne k podielu na krytí príslušného kontraktu;</w:t>
            </w:r>
          </w:p>
          <w:p>
            <w:pPr>
              <w:pStyle w:val="text"/>
              <w:numPr>
                <w:ilvl w:val="0"/>
                <w:numId w:val="5"/>
              </w:numPr>
              <w:spacing w:after="120"/>
              <w:ind w:left="425" w:hanging="425"/>
              <w:jc w:val="both"/>
              <w:rPr>
                <w:rFonts w:ascii="Times New Roman" w:hAnsi="Times New Roman" w:cs="Times New Roman"/>
                <w:sz w:val="24"/>
              </w:rPr>
            </w:pPr>
            <w:r>
              <w:rPr>
                <w:rFonts w:ascii="Times New Roman" w:hAnsi="Times New Roman" w:cs="Times New Roman"/>
                <w:sz w:val="24"/>
              </w:rPr>
              <w:t>v prípade zrušenia záruky poskytnutej hlavnému dodávateľovi urobiť všetko na splnenie záväzkov stanovených v tomto článku.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 xml:space="preserve">Príloha </w:t>
            </w:r>
          </w:p>
          <w:p>
            <w:pPr>
              <w:rPr>
                <w:rFonts w:ascii="Times New Roman" w:hAnsi="Times New Roman" w:cs="Times New Roman"/>
                <w:b/>
              </w:rPr>
            </w:pPr>
          </w:p>
          <w:p>
            <w:pPr>
              <w:rPr>
                <w:rFonts w:ascii="Times New Roman" w:hAnsi="Times New Roman" w:cs="Times New Roman"/>
                <w:lang w:val="sk-SK"/>
              </w:rPr>
            </w:pPr>
            <w:r>
              <w:rPr>
                <w:rFonts w:ascii="Times New Roman" w:hAnsi="Times New Roman" w:cs="Times New Roman"/>
              </w:rPr>
              <w:t>Člá nok 2</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rPr>
              <w:t>Povinnosti hlavného poistiteľa</w:t>
            </w:r>
          </w:p>
          <w:p>
            <w:pPr>
              <w:rPr>
                <w:rFonts w:ascii="Times New Roman" w:hAnsi="Times New Roman" w:cs="Times New Roman"/>
                <w:lang w:val="sk-SK"/>
              </w:rPr>
            </w:pPr>
          </w:p>
          <w:p>
            <w:pPr>
              <w:pStyle w:val="BodyText"/>
              <w:spacing w:after="0"/>
              <w:rPr>
                <w:rFonts w:ascii="Times New Roman" w:hAnsi="Times New Roman" w:cs="Times New Roman"/>
                <w:sz w:val="24"/>
                <w:szCs w:val="24"/>
              </w:rPr>
            </w:pPr>
            <w:r>
              <w:rPr>
                <w:rFonts w:ascii="Times New Roman" w:hAnsi="Times New Roman" w:cs="Times New Roman"/>
                <w:sz w:val="24"/>
                <w:szCs w:val="24"/>
              </w:rPr>
              <w:t>Hlavný poistiteľ, ktorý je jediným správcom rizika, vrátane jeho subdodávateľskej zložky, sa zaväzuje, že:</w:t>
            </w:r>
          </w:p>
          <w:p>
            <w:pPr>
              <w:numPr>
                <w:ilvl w:val="0"/>
                <w:numId w:val="8"/>
              </w:numPr>
              <w:tabs>
                <w:tab w:val="left" w:pos="72"/>
                <w:tab w:val="clear" w:pos="390"/>
              </w:tabs>
              <w:ind w:left="72" w:firstLine="0"/>
              <w:jc w:val="both"/>
              <w:rPr>
                <w:rFonts w:ascii="Times New Roman" w:hAnsi="Times New Roman" w:cs="Times New Roman"/>
              </w:rPr>
            </w:pPr>
            <w:r>
              <w:rPr>
                <w:rFonts w:ascii="Times New Roman" w:hAnsi="Times New Roman" w:cs="Times New Roman"/>
              </w:rPr>
              <w:t>poskytne záruku  hlavnému dodávateľovi voči rizikám definovaným hlavným poistiteľom v každej jednotlivej poistnej zmluve a vzťahujúcim sa na tú časť dodávateľskej zmluvy, ktorá sa týka hlavného dodávateľa;</w:t>
            </w:r>
          </w:p>
          <w:p>
            <w:pPr>
              <w:numPr>
                <w:ilvl w:val="0"/>
                <w:numId w:val="8"/>
              </w:numPr>
              <w:tabs>
                <w:tab w:val="left" w:pos="72"/>
                <w:tab w:val="clear" w:pos="390"/>
              </w:tabs>
              <w:ind w:left="0" w:firstLine="0"/>
              <w:jc w:val="both"/>
              <w:rPr>
                <w:rFonts w:ascii="Times New Roman" w:hAnsi="Times New Roman" w:cs="Times New Roman"/>
              </w:rPr>
            </w:pPr>
            <w:r>
              <w:rPr>
                <w:rFonts w:ascii="Times New Roman" w:hAnsi="Times New Roman" w:cs="Times New Roman"/>
              </w:rPr>
              <w:t>neakceptuje žiadne zmeny akýchkoľvek podmienok realizácie dodávateľskej zmluvy (čiastky, dodacích podmienok, úhrady a pod.) alebo zmluvy  medzi hlavným dodávateľom a subdodávateľom (subdodávateľmi) týkajúcich sa realizácie zmluvy, iba ak by to bolo vzájomne dohodnuté so spoločným poistiteľom (poistiteľmi);</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numPr>
                <w:ilvl w:val="0"/>
                <w:numId w:val="8"/>
              </w:numPr>
              <w:tabs>
                <w:tab w:val="left" w:pos="390"/>
              </w:tabs>
              <w:jc w:val="both"/>
              <w:rPr>
                <w:rFonts w:ascii="Times New Roman" w:hAnsi="Times New Roman" w:cs="Times New Roman"/>
              </w:rPr>
            </w:pPr>
            <w:r>
              <w:rPr>
                <w:rFonts w:ascii="Times New Roman" w:hAnsi="Times New Roman" w:cs="Times New Roman"/>
              </w:rPr>
              <w:t>neodmietne zodpovednosť vyplývajúcu z ustanovení  poistnej zmluvy    uzavretej s hlavným dodávateľom, v dôsledku akéhokoľvek neplnenia záväzkov na strane hlavného dodávateľa  bez toho, aby to neoznámil spoločnému poistiteľovi (poistiteľom);</w:t>
            </w:r>
          </w:p>
          <w:p>
            <w:pPr>
              <w:jc w:val="both"/>
              <w:rPr>
                <w:rFonts w:ascii="Times New Roman" w:hAnsi="Times New Roman" w:cs="Times New Roman"/>
              </w:rPr>
            </w:pPr>
          </w:p>
          <w:p>
            <w:pPr>
              <w:numPr>
                <w:ilvl w:val="0"/>
                <w:numId w:val="8"/>
              </w:numPr>
              <w:tabs>
                <w:tab w:val="left" w:pos="390"/>
              </w:tabs>
              <w:jc w:val="both"/>
              <w:rPr>
                <w:rFonts w:ascii="Times New Roman" w:hAnsi="Times New Roman" w:cs="Times New Roman"/>
              </w:rPr>
            </w:pPr>
            <w:r>
              <w:rPr>
                <w:rFonts w:ascii="Times New Roman" w:hAnsi="Times New Roman" w:cs="Times New Roman"/>
              </w:rPr>
              <w:t>neprehlási, že poistná zmluva  zanikla bez toho, aby to neoznámil spoločnému poistiteľovi ( spoločným poistiteľom);</w:t>
            </w:r>
          </w:p>
          <w:p>
            <w:pPr>
              <w:jc w:val="both"/>
              <w:rPr>
                <w:rFonts w:ascii="Times New Roman" w:hAnsi="Times New Roman" w:cs="Times New Roman"/>
              </w:rPr>
            </w:pPr>
          </w:p>
          <w:p>
            <w:pPr>
              <w:numPr>
                <w:ilvl w:val="0"/>
                <w:numId w:val="8"/>
              </w:numPr>
              <w:tabs>
                <w:tab w:val="left" w:pos="390"/>
              </w:tabs>
              <w:jc w:val="both"/>
              <w:rPr>
                <w:rFonts w:ascii="Times New Roman" w:hAnsi="Times New Roman" w:cs="Times New Roman"/>
              </w:rPr>
            </w:pPr>
            <w:r>
              <w:rPr>
                <w:rFonts w:ascii="Times New Roman" w:hAnsi="Times New Roman" w:cs="Times New Roman"/>
              </w:rPr>
              <w:t>oznámi spoločnému  poistiteľovi( spoločným poistiteľom) akúkoľvek skutočnosť, o ktorej sa dozvie a ktorá by mohla  zmeniť povahu a rozsah rizika alebo viesť ku strate;</w:t>
            </w:r>
          </w:p>
          <w:p>
            <w:pPr>
              <w:jc w:val="both"/>
              <w:rPr>
                <w:rFonts w:ascii="Times New Roman" w:hAnsi="Times New Roman" w:cs="Times New Roman"/>
              </w:rPr>
            </w:pPr>
          </w:p>
          <w:p>
            <w:pPr>
              <w:numPr>
                <w:ilvl w:val="0"/>
                <w:numId w:val="8"/>
              </w:numPr>
              <w:tabs>
                <w:tab w:val="left" w:pos="390"/>
              </w:tabs>
              <w:jc w:val="both"/>
              <w:rPr>
                <w:rFonts w:ascii="Times New Roman" w:hAnsi="Times New Roman" w:cs="Times New Roman"/>
              </w:rPr>
            </w:pPr>
            <w:r>
              <w:rPr>
                <w:rFonts w:ascii="Times New Roman" w:hAnsi="Times New Roman" w:cs="Times New Roman"/>
              </w:rPr>
              <w:t>v prípade straty alebo hrozby straty, bude konzultovať  so spoločným  poistiteľom (spoločnými poistiteľmi) ďalší postup; ak je to možné, rozhodnutia o uznaní straty, musia byť  prijaté po vzájomnej dohode, pričom výška odškodnenia  a spôsob platenia sa určia v súlade s ustanoveniami príslušnej  poistne</w:t>
            </w:r>
            <w:r>
              <w:rPr>
                <w:rFonts w:ascii="Times New Roman" w:hAnsi="Times New Roman" w:cs="Times New Roman"/>
              </w:rPr>
              <w:t>j zmluvy;</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numPr>
                <w:ilvl w:val="0"/>
                <w:numId w:val="8"/>
              </w:numPr>
              <w:tabs>
                <w:tab w:val="left" w:pos="390"/>
              </w:tabs>
              <w:jc w:val="both"/>
              <w:rPr>
                <w:rFonts w:ascii="Times New Roman" w:hAnsi="Times New Roman" w:cs="Times New Roman"/>
              </w:rPr>
            </w:pPr>
            <w:r>
              <w:rPr>
                <w:rFonts w:ascii="Times New Roman" w:hAnsi="Times New Roman" w:cs="Times New Roman"/>
              </w:rPr>
              <w:t>v prípade straty, prijme potrebné opatrenia alebo  požiada hlavného dodávateľa,  aby prijal potrebné opatrenia na získanie nezaplatenej čiastky, vyplatenie jej časti dlžnej spoločnému poistiteľovi a zabezpečenie všetkých formalít potrebných na prevod  tejto časti. Náklady, ktoré vznikli hlavnému dodávateľovi v súvislosti so získaním  nezaplatenej čiastky sa rozdelia medzi poistiteľov v pomere ich podielov na poistení dodávateľskej zmluvy;</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numPr>
                <w:ilvl w:val="0"/>
                <w:numId w:val="8"/>
              </w:numPr>
              <w:tabs>
                <w:tab w:val="left" w:pos="390"/>
              </w:tabs>
              <w:jc w:val="both"/>
              <w:rPr>
                <w:rFonts w:ascii="Times New Roman" w:hAnsi="Times New Roman" w:cs="Times New Roman"/>
              </w:rPr>
            </w:pPr>
            <w:r>
              <w:rPr>
                <w:rFonts w:ascii="Times New Roman" w:hAnsi="Times New Roman" w:cs="Times New Roman"/>
              </w:rPr>
              <w:t>v prípade zrušenia záruky poskytnutej  hlavnému dodávateľovi, vynaloží maximálne úsilie na splnenie svojich záväzkov stanovených v tomto článku.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Smerni- ca Rady banky č. 2/2004</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15379" w:type="dxa"/>
          <w:tblLayout w:type="fixed"/>
          <w:tblCellMar>
            <w:top w:w="0" w:type="dxa"/>
            <w:left w:w="70" w:type="dxa"/>
            <w:bottom w:w="0" w:type="dxa"/>
            <w:right w:w="70" w:type="dxa"/>
          </w:tblCellMar>
        </w:tblPrEx>
        <w:trPr>
          <w:trHeight w:val="562"/>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 3</w:t>
            </w:r>
          </w:p>
        </w:tc>
        <w:tc>
          <w:tcPr>
            <w:tcW w:w="41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ext"/>
              <w:jc w:val="both"/>
              <w:rPr>
                <w:rFonts w:ascii="Times New Roman" w:hAnsi="Times New Roman" w:cs="Times New Roman"/>
                <w:sz w:val="24"/>
              </w:rPr>
            </w:pPr>
            <w:r>
              <w:rPr>
                <w:rFonts w:ascii="Times New Roman" w:hAnsi="Times New Roman" w:cs="Times New Roman"/>
                <w:sz w:val="24"/>
              </w:rPr>
              <w:t>Povinnosti každej zo spoločných poisťovní</w:t>
            </w:r>
          </w:p>
          <w:p>
            <w:pPr>
              <w:pStyle w:val="text"/>
              <w:jc w:val="both"/>
              <w:rPr>
                <w:rFonts w:ascii="Times New Roman" w:hAnsi="Times New Roman" w:cs="Times New Roman"/>
                <w:sz w:val="24"/>
              </w:rPr>
            </w:pPr>
          </w:p>
          <w:p>
            <w:pPr>
              <w:pStyle w:val="text"/>
              <w:jc w:val="both"/>
              <w:rPr>
                <w:rFonts w:ascii="Times New Roman" w:hAnsi="Times New Roman" w:cs="Times New Roman"/>
                <w:sz w:val="24"/>
              </w:rPr>
            </w:pPr>
            <w:r>
              <w:rPr>
                <w:rFonts w:ascii="Times New Roman" w:hAnsi="Times New Roman" w:cs="Times New Roman"/>
                <w:sz w:val="24"/>
              </w:rPr>
              <w:t>Každá zo spoločných poisťovní sa vo svojej časti zaviaže:</w:t>
            </w:r>
          </w:p>
          <w:p>
            <w:pPr>
              <w:pStyle w:val="text"/>
              <w:numPr>
                <w:ilvl w:val="0"/>
                <w:numId w:val="6"/>
              </w:numPr>
              <w:ind w:left="425" w:hanging="425"/>
              <w:jc w:val="both"/>
              <w:rPr>
                <w:rFonts w:ascii="Times New Roman" w:hAnsi="Times New Roman" w:cs="Times New Roman"/>
                <w:sz w:val="24"/>
              </w:rPr>
            </w:pPr>
            <w:r>
              <w:rPr>
                <w:rFonts w:ascii="Times New Roman" w:hAnsi="Times New Roman" w:cs="Times New Roman"/>
                <w:sz w:val="24"/>
              </w:rPr>
              <w:t>zaručiť sa subdodávateľovi vo svojej krajine, vo vzťahu iba k časti operácie, ktorá sa ho týka, voči rizikám, ktoré zadefinovala v každej samostatnej dohode;</w:t>
            </w:r>
          </w:p>
          <w:p>
            <w:pPr>
              <w:pStyle w:val="text"/>
              <w:numPr>
                <w:ilvl w:val="0"/>
                <w:numId w:val="6"/>
              </w:numPr>
              <w:ind w:left="425" w:hanging="425"/>
              <w:jc w:val="both"/>
              <w:rPr>
                <w:rFonts w:ascii="Times New Roman" w:hAnsi="Times New Roman" w:cs="Times New Roman"/>
                <w:sz w:val="24"/>
              </w:rPr>
            </w:pPr>
            <w:r>
              <w:rPr>
                <w:rFonts w:ascii="Times New Roman" w:hAnsi="Times New Roman" w:cs="Times New Roman"/>
                <w:sz w:val="24"/>
              </w:rPr>
              <w:t>neprijať žiadne modifikácie zmluvy uzavreté medzi hlavným dodávateľom a subdodávateľom s vplyvom na uskutočňovanie zmluvy uzavretej s nákupcom, s výnimkou vzájomnej dohody s hlavnou poisťovňou;</w:t>
            </w:r>
          </w:p>
          <w:p>
            <w:pPr>
              <w:pStyle w:val="text"/>
              <w:numPr>
                <w:ilvl w:val="0"/>
                <w:numId w:val="6"/>
              </w:numPr>
              <w:ind w:left="425" w:hanging="425"/>
              <w:jc w:val="both"/>
              <w:rPr>
                <w:rFonts w:ascii="Times New Roman" w:hAnsi="Times New Roman" w:cs="Times New Roman"/>
                <w:sz w:val="24"/>
              </w:rPr>
            </w:pPr>
            <w:r>
              <w:rPr>
                <w:rFonts w:ascii="Times New Roman" w:hAnsi="Times New Roman" w:cs="Times New Roman"/>
                <w:sz w:val="24"/>
              </w:rPr>
              <w:t>nevzdať sa záväzkov podľa ustanovení poistnej zmluvy vydanej pre subdodávateľa následne po ľubovoľnom nedodržaní záväzku týkajúceho sa druhej zmluvnej strany bez toho, aby to oznámila hlavnej poisťovni;</w:t>
            </w:r>
          </w:p>
          <w:p>
            <w:pPr>
              <w:pStyle w:val="text"/>
              <w:numPr>
                <w:ilvl w:val="0"/>
                <w:numId w:val="6"/>
              </w:numPr>
              <w:ind w:left="425" w:hanging="425"/>
              <w:jc w:val="both"/>
              <w:rPr>
                <w:rFonts w:ascii="Times New Roman" w:hAnsi="Times New Roman" w:cs="Times New Roman"/>
                <w:sz w:val="24"/>
              </w:rPr>
            </w:pPr>
            <w:r>
              <w:rPr>
                <w:rFonts w:ascii="Times New Roman" w:hAnsi="Times New Roman" w:cs="Times New Roman"/>
                <w:sz w:val="24"/>
              </w:rPr>
              <w:t>nevyhlasovať, že táto poistná zmluva zlyhala bez toho, aby to oznámila hlavnej poisťovni;</w:t>
            </w:r>
          </w:p>
          <w:p>
            <w:pPr>
              <w:pStyle w:val="text"/>
              <w:numPr>
                <w:ilvl w:val="0"/>
                <w:numId w:val="6"/>
              </w:numPr>
              <w:ind w:left="425" w:hanging="425"/>
              <w:jc w:val="both"/>
              <w:rPr>
                <w:rFonts w:ascii="Times New Roman" w:hAnsi="Times New Roman" w:cs="Times New Roman"/>
                <w:sz w:val="24"/>
              </w:rPr>
            </w:pPr>
            <w:r>
              <w:rPr>
                <w:rFonts w:ascii="Times New Roman" w:hAnsi="Times New Roman" w:cs="Times New Roman"/>
                <w:sz w:val="24"/>
              </w:rPr>
              <w:t>oznámiť hlavnej poisťovni všetky skutočnosti, ktoré sa dozvie a ktoré by mohli zmeniť charakter alebo rozsah rizika alebo by mohli viesť k stra</w:t>
            </w:r>
            <w:r>
              <w:rPr>
                <w:rFonts w:ascii="Times New Roman" w:hAnsi="Times New Roman" w:cs="Times New Roman"/>
                <w:sz w:val="24"/>
              </w:rPr>
              <w:t>te;</w:t>
            </w:r>
          </w:p>
          <w:p>
            <w:pPr>
              <w:pStyle w:val="text"/>
              <w:numPr>
                <w:ilvl w:val="0"/>
                <w:numId w:val="6"/>
              </w:numPr>
              <w:ind w:left="425" w:hanging="425"/>
              <w:jc w:val="both"/>
              <w:rPr>
                <w:rFonts w:ascii="Times New Roman" w:hAnsi="Times New Roman" w:cs="Times New Roman"/>
                <w:sz w:val="24"/>
              </w:rPr>
            </w:pPr>
            <w:r>
              <w:rPr>
                <w:rFonts w:ascii="Times New Roman" w:hAnsi="Times New Roman" w:cs="Times New Roman"/>
                <w:sz w:val="24"/>
              </w:rPr>
              <w:t>v prípade zrušenia záruky poskytnutej subdodávateľovi urobiť všetko na splnenie záväzkov stanovených v tomto článku.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Príloha</w:t>
            </w:r>
          </w:p>
          <w:p>
            <w:pPr>
              <w:rPr>
                <w:rFonts w:ascii="Times New Roman" w:hAnsi="Times New Roman" w:cs="Times New Roman"/>
              </w:rPr>
            </w:pPr>
          </w:p>
          <w:p>
            <w:pPr>
              <w:rPr>
                <w:rFonts w:ascii="Times New Roman" w:hAnsi="Times New Roman" w:cs="Times New Roman"/>
                <w:lang w:val="sk-SK"/>
              </w:rPr>
            </w:pPr>
            <w:r>
              <w:rPr>
                <w:rFonts w:ascii="Times New Roman" w:hAnsi="Times New Roman" w:cs="Times New Roman"/>
              </w:rPr>
              <w:t>Člá nok 3</w:t>
            </w:r>
            <w:r>
              <w:rPr>
                <w:rFonts w:ascii="Times New Roman" w:hAnsi="Times New Roman" w:cs="Times New Roman"/>
                <w:b/>
              </w:rPr>
              <w:t xml:space="preserve"> </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rPr>
            </w:pPr>
            <w:r>
              <w:rPr>
                <w:rFonts w:ascii="Times New Roman" w:hAnsi="Times New Roman" w:cs="Times New Roman"/>
              </w:rPr>
              <w:t>Povinnosti každého zo spoločných poistiteľov</w:t>
            </w:r>
          </w:p>
          <w:p>
            <w:pPr>
              <w:jc w:val="both"/>
              <w:rPr>
                <w:rFonts w:ascii="Times New Roman" w:hAnsi="Times New Roman" w:cs="Times New Roman"/>
                <w:b/>
              </w:rPr>
            </w:pPr>
          </w:p>
          <w:p>
            <w:pPr>
              <w:jc w:val="both"/>
              <w:rPr>
                <w:rFonts w:ascii="Times New Roman" w:hAnsi="Times New Roman" w:cs="Times New Roman"/>
              </w:rPr>
            </w:pPr>
          </w:p>
          <w:p>
            <w:pPr>
              <w:pStyle w:val="BodyText"/>
              <w:spacing w:after="0"/>
              <w:rPr>
                <w:rFonts w:ascii="Times New Roman" w:hAnsi="Times New Roman" w:cs="Times New Roman"/>
                <w:sz w:val="24"/>
                <w:szCs w:val="24"/>
              </w:rPr>
            </w:pPr>
            <w:r>
              <w:rPr>
                <w:rFonts w:ascii="Times New Roman" w:hAnsi="Times New Roman" w:cs="Times New Roman"/>
                <w:sz w:val="24"/>
                <w:szCs w:val="24"/>
              </w:rPr>
              <w:t>Každý  spoločný poistiteľ sa  za jeho časť zaväzuje:</w:t>
            </w:r>
          </w:p>
          <w:p>
            <w:pPr>
              <w:pStyle w:val="BodyText"/>
              <w:spacing w:after="0"/>
              <w:rPr>
                <w:rFonts w:ascii="Times New Roman" w:hAnsi="Times New Roman" w:cs="Times New Roman"/>
                <w:sz w:val="24"/>
                <w:szCs w:val="24"/>
              </w:rPr>
            </w:pPr>
          </w:p>
          <w:p>
            <w:pPr>
              <w:numPr>
                <w:ilvl w:val="0"/>
                <w:numId w:val="9"/>
              </w:numPr>
              <w:tabs>
                <w:tab w:val="left" w:pos="360"/>
              </w:tabs>
              <w:ind w:firstLine="0"/>
              <w:jc w:val="both"/>
              <w:rPr>
                <w:rFonts w:ascii="Times New Roman" w:hAnsi="Times New Roman" w:cs="Times New Roman"/>
              </w:rPr>
            </w:pPr>
            <w:r>
              <w:rPr>
                <w:rFonts w:ascii="Times New Roman" w:hAnsi="Times New Roman" w:cs="Times New Roman"/>
              </w:rPr>
              <w:t xml:space="preserve">poskytnúť   subdodávateľovi vo svojej krajine a len vo vzťahu k jeho podielu na operácii   záruku proti rizikám  definovaným  spoločným poistiteľom v každej individuálnej poistnej  zmluve;   </w:t>
            </w:r>
          </w:p>
          <w:p>
            <w:pPr>
              <w:numPr>
                <w:ilvl w:val="0"/>
                <w:numId w:val="9"/>
              </w:numPr>
              <w:tabs>
                <w:tab w:val="left" w:pos="360"/>
              </w:tabs>
              <w:jc w:val="both"/>
              <w:rPr>
                <w:rFonts w:ascii="Times New Roman" w:hAnsi="Times New Roman" w:cs="Times New Roman"/>
              </w:rPr>
            </w:pPr>
            <w:r>
              <w:rPr>
                <w:rFonts w:ascii="Times New Roman" w:hAnsi="Times New Roman" w:cs="Times New Roman"/>
              </w:rPr>
              <w:t>neakceptovať žiadnu zmenu  dodávateľskej zmluvy uzavretej medzi hlavným dodávateľom a subdodávateľom, týkajúcu sa  realizácie zmluvy uzavretej s kupujúcim, okrem zmien vzájomne dohodnutých s hlavným poistiteľom;</w:t>
            </w:r>
          </w:p>
          <w:p>
            <w:pPr>
              <w:jc w:val="both"/>
              <w:rPr>
                <w:rFonts w:ascii="Times New Roman" w:hAnsi="Times New Roman" w:cs="Times New Roman"/>
              </w:rPr>
            </w:pPr>
          </w:p>
          <w:p>
            <w:pPr>
              <w:jc w:val="both"/>
              <w:rPr>
                <w:rFonts w:ascii="Times New Roman" w:hAnsi="Times New Roman" w:cs="Times New Roman"/>
              </w:rPr>
            </w:pPr>
          </w:p>
          <w:p>
            <w:pPr>
              <w:numPr>
                <w:ilvl w:val="0"/>
                <w:numId w:val="9"/>
              </w:numPr>
              <w:tabs>
                <w:tab w:val="left" w:pos="360"/>
              </w:tabs>
              <w:jc w:val="both"/>
              <w:rPr>
                <w:rFonts w:ascii="Times New Roman" w:hAnsi="Times New Roman" w:cs="Times New Roman"/>
              </w:rPr>
            </w:pPr>
            <w:r>
              <w:rPr>
                <w:rFonts w:ascii="Times New Roman" w:hAnsi="Times New Roman" w:cs="Times New Roman"/>
              </w:rPr>
              <w:t>neodmietnuť  zodpovednosť vyplývajúcu z ustanovení poistnej zmluvy, uzavretej so subdodávateľom, v dôsledku akéhokoľvek neplnenia záväzkov na strane subdodávateľa bez toho, aby to neoznámil hlavnému poistiteľovi;</w:t>
            </w:r>
          </w:p>
          <w:p>
            <w:pPr>
              <w:jc w:val="both"/>
              <w:rPr>
                <w:rFonts w:ascii="Times New Roman" w:hAnsi="Times New Roman" w:cs="Times New Roman"/>
              </w:rPr>
            </w:pPr>
          </w:p>
          <w:p>
            <w:pPr>
              <w:jc w:val="both"/>
              <w:rPr>
                <w:rFonts w:ascii="Times New Roman" w:hAnsi="Times New Roman" w:cs="Times New Roman"/>
              </w:rPr>
            </w:pPr>
          </w:p>
          <w:p>
            <w:pPr>
              <w:numPr>
                <w:ilvl w:val="0"/>
                <w:numId w:val="9"/>
              </w:numPr>
              <w:tabs>
                <w:tab w:val="left" w:pos="360"/>
              </w:tabs>
              <w:jc w:val="both"/>
              <w:rPr>
                <w:rFonts w:ascii="Times New Roman" w:hAnsi="Times New Roman" w:cs="Times New Roman"/>
              </w:rPr>
            </w:pPr>
            <w:r>
              <w:rPr>
                <w:rFonts w:ascii="Times New Roman" w:hAnsi="Times New Roman" w:cs="Times New Roman"/>
              </w:rPr>
              <w:t>nevyhlásiť, že poistná zmluva zanikla  bez oznámenia  hlavnému poistiteľovi;</w:t>
            </w:r>
          </w:p>
          <w:p>
            <w:pPr>
              <w:jc w:val="both"/>
              <w:rPr>
                <w:rFonts w:ascii="Times New Roman" w:hAnsi="Times New Roman" w:cs="Times New Roman"/>
              </w:rPr>
            </w:pPr>
          </w:p>
          <w:p>
            <w:pPr>
              <w:numPr>
                <w:ilvl w:val="0"/>
                <w:numId w:val="9"/>
              </w:numPr>
              <w:tabs>
                <w:tab w:val="left" w:pos="360"/>
              </w:tabs>
              <w:jc w:val="both"/>
              <w:rPr>
                <w:rFonts w:ascii="Times New Roman" w:hAnsi="Times New Roman" w:cs="Times New Roman"/>
              </w:rPr>
            </w:pPr>
            <w:r>
              <w:rPr>
                <w:rFonts w:ascii="Times New Roman" w:hAnsi="Times New Roman" w:cs="Times New Roman"/>
              </w:rPr>
              <w:t>oznámiť  hlavnému poistiteľovi  každú skutočnosť, o ktorej sa dozvie a ktorá by mohla zmeniť  povahu   alebo rozsah rizika  alebo viesť ku strate;</w:t>
            </w:r>
          </w:p>
          <w:p>
            <w:pPr>
              <w:jc w:val="both"/>
              <w:rPr>
                <w:rFonts w:ascii="Times New Roman" w:hAnsi="Times New Roman" w:cs="Times New Roman"/>
              </w:rPr>
            </w:pPr>
          </w:p>
          <w:p>
            <w:pPr>
              <w:numPr>
                <w:ilvl w:val="0"/>
                <w:numId w:val="9"/>
              </w:numPr>
              <w:tabs>
                <w:tab w:val="left" w:pos="360"/>
              </w:tabs>
              <w:jc w:val="both"/>
              <w:rPr>
                <w:rFonts w:ascii="Times New Roman" w:hAnsi="Times New Roman" w:cs="Times New Roman"/>
              </w:rPr>
            </w:pPr>
            <w:r>
              <w:rPr>
                <w:rFonts w:ascii="Times New Roman" w:hAnsi="Times New Roman" w:cs="Times New Roman"/>
              </w:rPr>
              <w:t>v prípade zrušenia záruky poskytnutej subdodávateľovi vynaložiť  maximálne úsilie na  dosiahnutie súladu s povinnosťami  ustanovenými v  tomto článku.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Smerni- ca Rady banky č. 2/2004</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15379" w:type="dxa"/>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Čl.4</w:t>
            </w:r>
          </w:p>
        </w:tc>
        <w:tc>
          <w:tcPr>
            <w:tcW w:w="41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ext"/>
              <w:jc w:val="both"/>
              <w:rPr>
                <w:rFonts w:ascii="Times New Roman" w:hAnsi="Times New Roman" w:cs="Times New Roman"/>
                <w:sz w:val="24"/>
              </w:rPr>
            </w:pPr>
            <w:r>
              <w:rPr>
                <w:rFonts w:ascii="Times New Roman" w:hAnsi="Times New Roman" w:cs="Times New Roman"/>
                <w:sz w:val="24"/>
              </w:rPr>
              <w:t>Konsolidácia</w:t>
            </w:r>
          </w:p>
          <w:p>
            <w:pPr>
              <w:pStyle w:val="text"/>
              <w:jc w:val="both"/>
              <w:rPr>
                <w:rFonts w:ascii="Times New Roman" w:hAnsi="Times New Roman" w:cs="Times New Roman"/>
                <w:sz w:val="24"/>
              </w:rPr>
            </w:pPr>
          </w:p>
          <w:p>
            <w:pPr>
              <w:pStyle w:val="text"/>
              <w:jc w:val="both"/>
              <w:rPr>
                <w:rFonts w:ascii="Times New Roman" w:hAnsi="Times New Roman" w:cs="Times New Roman"/>
                <w:sz w:val="24"/>
              </w:rPr>
            </w:pPr>
            <w:r>
              <w:rPr>
                <w:rFonts w:ascii="Times New Roman" w:hAnsi="Times New Roman" w:cs="Times New Roman"/>
                <w:sz w:val="24"/>
              </w:rPr>
              <w:t>Pri vyjadrení dohody na urovnanie dlhov krajiny nákupcu, hlavná poisťovňa a spoločná poisťovňa (poisťovne) prekonzultujú spôsoby a prostriedky vyriešenia špecifických problémov, ktoré vznikli konsolidačnou dohodou.</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 xml:space="preserve">Príloha </w:t>
            </w:r>
          </w:p>
          <w:p>
            <w:pPr>
              <w:rPr>
                <w:rFonts w:ascii="Times New Roman" w:hAnsi="Times New Roman" w:cs="Times New Roman"/>
              </w:rPr>
            </w:pPr>
          </w:p>
          <w:p>
            <w:pPr>
              <w:rPr>
                <w:rFonts w:ascii="Times New Roman" w:hAnsi="Times New Roman" w:cs="Times New Roman"/>
                <w:lang w:val="sk-SK"/>
              </w:rPr>
            </w:pPr>
            <w:r>
              <w:rPr>
                <w:rFonts w:ascii="Times New Roman" w:hAnsi="Times New Roman" w:cs="Times New Roman"/>
              </w:rPr>
              <w:t>Člá nok 4</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rPr>
            </w:pPr>
            <w:r>
              <w:rPr>
                <w:rFonts w:ascii="Times New Roman" w:hAnsi="Times New Roman" w:cs="Times New Roman"/>
                <w:b w:val="0"/>
              </w:rPr>
              <w:t>Konsolidácia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V prípade dohody o konsolidácii  dlhu  krajiny kupujúceho vedie  hlavný poistiteľ a spoločný poistiteľ( spoloční poistitelia)  konzultácie o  spôsoboch a prostriedkoch riešenia špecifických problémov  vzniknutých na základe konsolidačnej doh</w:t>
            </w:r>
            <w:r>
              <w:rPr>
                <w:rFonts w:ascii="Times New Roman" w:hAnsi="Times New Roman" w:cs="Times New Roman"/>
              </w:rPr>
              <w:t>ody.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Smerni- ca Rady banky č. 2/2004</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15379" w:type="dxa"/>
          <w:tblLayout w:type="fixed"/>
          <w:tblCellMar>
            <w:top w:w="0" w:type="dxa"/>
            <w:left w:w="70" w:type="dxa"/>
            <w:bottom w:w="0" w:type="dxa"/>
            <w:right w:w="70" w:type="dxa"/>
          </w:tblCellMar>
        </w:tblPrEx>
        <w:trPr>
          <w:trHeight w:val="287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 5</w:t>
            </w:r>
          </w:p>
        </w:tc>
        <w:tc>
          <w:tcPr>
            <w:tcW w:w="41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ext"/>
              <w:jc w:val="both"/>
              <w:rPr>
                <w:rFonts w:ascii="Times New Roman" w:hAnsi="Times New Roman" w:cs="Times New Roman"/>
                <w:sz w:val="24"/>
              </w:rPr>
            </w:pPr>
            <w:r>
              <w:rPr>
                <w:rFonts w:ascii="Times New Roman" w:hAnsi="Times New Roman" w:cs="Times New Roman"/>
                <w:sz w:val="24"/>
              </w:rPr>
              <w:t>Úverové operácie nákupcu</w:t>
            </w:r>
          </w:p>
          <w:p>
            <w:pPr>
              <w:pStyle w:val="text"/>
              <w:jc w:val="both"/>
              <w:rPr>
                <w:rFonts w:ascii="Times New Roman" w:hAnsi="Times New Roman" w:cs="Times New Roman"/>
                <w:sz w:val="24"/>
              </w:rPr>
            </w:pPr>
          </w:p>
          <w:p>
            <w:pPr>
              <w:pStyle w:val="text"/>
              <w:jc w:val="both"/>
              <w:rPr>
                <w:rFonts w:ascii="Times New Roman" w:hAnsi="Times New Roman" w:cs="Times New Roman"/>
                <w:sz w:val="24"/>
              </w:rPr>
            </w:pPr>
            <w:r>
              <w:rPr>
                <w:rFonts w:ascii="Times New Roman" w:hAnsi="Times New Roman" w:cs="Times New Roman"/>
                <w:sz w:val="24"/>
              </w:rPr>
              <w:t>Tie úverové poisťovne spoločenstva, ktoré súhlasia s tým, že ich nákupné úverové systémy sú dostatočne kompatibilné, môžu ďalej súhlasiť so zriadením alebo krytím jednotlivých úverov</w:t>
            </w:r>
            <w:r>
              <w:rPr>
                <w:rFonts w:ascii="Times New Roman" w:hAnsi="Times New Roman" w:cs="Times New Roman"/>
                <w:sz w:val="24"/>
              </w:rPr>
              <w:t xml:space="preserve"> nákupcu na celý kontrakt, na ktorý sa analogicky uplatnia ustanovenia tejto dohody.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 xml:space="preserve">Príloha </w:t>
            </w:r>
          </w:p>
          <w:p>
            <w:pPr>
              <w:rPr>
                <w:rFonts w:ascii="Times New Roman" w:hAnsi="Times New Roman" w:cs="Times New Roman"/>
                <w:b/>
              </w:rPr>
            </w:pPr>
          </w:p>
          <w:p>
            <w:pPr>
              <w:rPr>
                <w:rFonts w:ascii="Times New Roman" w:hAnsi="Times New Roman" w:cs="Times New Roman"/>
                <w:lang w:val="sk-SK"/>
              </w:rPr>
            </w:pPr>
            <w:r>
              <w:rPr>
                <w:rFonts w:ascii="Times New Roman" w:hAnsi="Times New Roman" w:cs="Times New Roman"/>
              </w:rPr>
              <w:t>Člá nok 5</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rPr>
            </w:pPr>
            <w:r>
              <w:rPr>
                <w:rFonts w:ascii="Times New Roman" w:hAnsi="Times New Roman" w:cs="Times New Roman"/>
              </w:rPr>
              <w:t>Odberateľský úver</w:t>
            </w:r>
          </w:p>
          <w:p>
            <w:pPr>
              <w:jc w:val="both"/>
              <w:rPr>
                <w:rFonts w:ascii="Times New Roman" w:hAnsi="Times New Roman" w:cs="Times New Roman"/>
                <w:b/>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Tí úveroví poistitelia v Európskej únii, ktorí schvália dostatočnú kompatibilitu ich systémov odberateľských úverov, sa môžu  ďalej dohodnúť  na poskytnutí alebo poistnom   krytí jednotlivého odberateľského úveru za celú dodávateľskú zmluvu, pričom  sa analogicky aplikujú ustanovenia tejto dohody.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Smerni- ca Rady banky č. 2/2004</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r>
        <w:tblPrEx>
          <w:tblW w:w="15379" w:type="dxa"/>
          <w:tblLayout w:type="fixed"/>
          <w:tblCellMar>
            <w:top w:w="0" w:type="dxa"/>
            <w:left w:w="70" w:type="dxa"/>
            <w:bottom w:w="0" w:type="dxa"/>
            <w:right w:w="70" w:type="dxa"/>
          </w:tblCellMar>
        </w:tblPrEx>
        <w:trPr>
          <w:trHeight w:hRule="auto" w:val="0"/>
        </w:trPr>
        <w:tc>
          <w:tcPr>
            <w:tcW w:w="6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Čl. 6</w:t>
            </w:r>
          </w:p>
        </w:tc>
        <w:tc>
          <w:tcPr>
            <w:tcW w:w="411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text"/>
              <w:jc w:val="both"/>
              <w:rPr>
                <w:rFonts w:ascii="Times New Roman" w:hAnsi="Times New Roman" w:cs="Times New Roman"/>
                <w:sz w:val="24"/>
              </w:rPr>
            </w:pPr>
            <w:r>
              <w:rPr>
                <w:rFonts w:ascii="Times New Roman" w:hAnsi="Times New Roman" w:cs="Times New Roman"/>
                <w:sz w:val="24"/>
              </w:rPr>
              <w:t>Arbitráž</w:t>
            </w:r>
          </w:p>
          <w:p>
            <w:pPr>
              <w:pStyle w:val="text"/>
              <w:jc w:val="both"/>
              <w:rPr>
                <w:rFonts w:ascii="Times New Roman" w:hAnsi="Times New Roman" w:cs="Times New Roman"/>
                <w:sz w:val="24"/>
              </w:rPr>
            </w:pPr>
          </w:p>
          <w:p>
            <w:pPr>
              <w:pStyle w:val="text"/>
              <w:jc w:val="both"/>
              <w:rPr>
                <w:rFonts w:ascii="Times New Roman" w:hAnsi="Times New Roman" w:cs="Times New Roman"/>
                <w:sz w:val="24"/>
              </w:rPr>
            </w:pPr>
            <w:r>
              <w:rPr>
                <w:rFonts w:ascii="Times New Roman" w:hAnsi="Times New Roman" w:cs="Times New Roman"/>
                <w:sz w:val="24"/>
              </w:rPr>
              <w:t>Každý spor, ktorý vznikne v súvislosti s touto dohodou a ktorý nie je možné vyriešiť vzájomným dohovorom, sa prednesie pred arbitrážny výbor zložený z troch arbitrov. Každá zo zúčastnených strán vymenuje jedného arbitra. Tretieho arbitra menuje predseda Súdneho dvora Európskych spoločenstiev; ten pôsobí ako predseda arbitrážneho výboru. Konanie sa riadi pravidlami pre zmierovacie konanie a arbitráž Medzinárodnej obchodnej komory.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N</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708"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r>
              <w:rPr>
                <w:rFonts w:ascii="Times New Roman" w:hAnsi="Times New Roman" w:cs="Times New Roman"/>
              </w:rPr>
              <w:t xml:space="preserve">Príloha </w:t>
            </w:r>
          </w:p>
          <w:p>
            <w:pPr>
              <w:rPr>
                <w:rFonts w:ascii="Times New Roman" w:hAnsi="Times New Roman" w:cs="Times New Roman"/>
              </w:rPr>
            </w:pPr>
          </w:p>
          <w:p>
            <w:pPr>
              <w:rPr>
                <w:rFonts w:ascii="Times New Roman" w:hAnsi="Times New Roman" w:cs="Times New Roman"/>
                <w:lang w:val="sk-SK"/>
              </w:rPr>
            </w:pPr>
            <w:r>
              <w:rPr>
                <w:rFonts w:ascii="Times New Roman" w:hAnsi="Times New Roman" w:cs="Times New Roman"/>
              </w:rPr>
              <w:t>Člá nok 6</w:t>
            </w:r>
          </w:p>
        </w:tc>
        <w:tc>
          <w:tcPr>
            <w:tcW w:w="5245"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rPr>
            </w:pPr>
            <w:r>
              <w:rPr>
                <w:rFonts w:ascii="Times New Roman" w:hAnsi="Times New Roman" w:cs="Times New Roman"/>
              </w:rPr>
              <w:t>Rozhodovanie sporov</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Všetky spory, ktoré vzniknú z tejto dohody a nemôžu byť urovnané priateľsky, sa predložia rozhodcovskému senátu, pozostávajúcemu z troch rozhodcov. Každá zo zúčastnených strán menuje jedného rozhodcu. Tretieho rozhodcu, ktorý je predsedom rozhodcovského senátu, menuje predseda Súdneho dvora  Európskych spoločenstiev. Postup rozhodcovského konania sa bude riadiť Pravidlami zmierovania a arbitráže medzinárodnej obchodnej komory. </w:t>
            </w:r>
          </w:p>
          <w:p>
            <w:pPr>
              <w:rPr>
                <w:rFonts w:ascii="Times New Roman" w:hAnsi="Times New Roman" w:cs="Times New Roman"/>
                <w:lang w:val="sk-SK"/>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Ú</w:t>
            </w:r>
          </w:p>
        </w:tc>
        <w:tc>
          <w:tcPr>
            <w:tcW w:w="85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r>
              <w:rPr>
                <w:rFonts w:ascii="Times New Roman" w:hAnsi="Times New Roman" w:cs="Times New Roman"/>
                <w:lang w:val="sk-SK"/>
              </w:rPr>
              <w:t>Smerni- ca Rady banky č. 2/2004</w:t>
            </w:r>
          </w:p>
        </w:tc>
        <w:tc>
          <w:tcPr>
            <w:tcW w:w="85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lang w:val="sk-SK"/>
              </w:rPr>
            </w:pPr>
          </w:p>
        </w:tc>
      </w:tr>
    </w:tbl>
    <w:p>
      <w:pPr>
        <w:rPr>
          <w:rFonts w:ascii="Times New Roman" w:hAnsi="Times New Roman" w:cs="Times New Roman"/>
          <w:lang w:val="sk-SK"/>
        </w:rPr>
      </w:pPr>
    </w:p>
    <w:sectPr>
      <w:footerReference w:type="even" r:id="rId4"/>
      <w:footerReference w:type="default" r:id="rId5"/>
      <w:pgSz w:w="16840" w:h="11907" w:orient="landscape" w:code="9"/>
      <w:pgMar w:top="680" w:right="680" w:bottom="680" w:left="680" w:header="397" w:footer="3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pPr>
        <w:ind w:left="0"/>
      </w:pPr>
    </w:lvl>
  </w:abstractNum>
  <w:abstractNum w:abstractNumId="1">
    <w:nsid w:val="07DF2F38"/>
    <w:multiLevelType w:val="singleLevel"/>
    <w:tmpl w:val="4B96409E"/>
    <w:lvl w:ilvl="0">
      <w:start w:val="1"/>
      <w:numFmt w:val="bullet"/>
      <w:lvlText w:val="-"/>
      <w:lvlJc w:val="left"/>
      <w:pPr>
        <w:tabs>
          <w:tab w:val="num" w:pos="360"/>
        </w:tabs>
        <w:ind w:left="360" w:hanging="360"/>
      </w:pPr>
      <w:rPr>
        <w:rFonts w:ascii="Times New Roman" w:hAnsi="Times New Roman"/>
        <w:rtl w:val="0"/>
      </w:rPr>
    </w:lvl>
  </w:abstractNum>
  <w:abstractNum w:abstractNumId="2">
    <w:nsid w:val="07FC0B39"/>
    <w:multiLevelType w:val="singleLevel"/>
    <w:tmpl w:val="5DD413C4"/>
    <w:lvl w:ilvl="0">
      <w:start w:val="1"/>
      <w:numFmt w:val="lowerLetter"/>
      <w:lvlText w:val="(%1) "/>
      <w:legacy w:legacy="1" w:legacySpace="0" w:legacyIndent="283"/>
      <w:lvlJc w:val="left"/>
      <w:pPr>
        <w:ind w:left="283" w:hanging="283"/>
      </w:pPr>
      <w:rPr>
        <w:rFonts w:ascii="Courier New" w:hAnsi="Courier New"/>
        <w:b w:val="0"/>
        <w:i w:val="0"/>
        <w:sz w:val="18"/>
        <w:u w:val="none"/>
        <w:rtl w:val="0"/>
      </w:rPr>
    </w:lvl>
  </w:abstractNum>
  <w:abstractNum w:abstractNumId="3">
    <w:nsid w:val="397C1365"/>
    <w:multiLevelType w:val="singleLevel"/>
    <w:tmpl w:val="8CA86D90"/>
    <w:lvl w:ilvl="0">
      <w:start w:val="1"/>
      <w:numFmt w:val="lowerLetter"/>
      <w:lvlText w:val="%1)"/>
      <w:legacy w:legacy="1" w:legacySpace="0" w:legacyIndent="360"/>
      <w:lvlJc w:val="left"/>
      <w:pPr>
        <w:ind w:left="360" w:hanging="360"/>
      </w:pPr>
    </w:lvl>
  </w:abstractNum>
  <w:abstractNum w:abstractNumId="4">
    <w:nsid w:val="3CCD4ACF"/>
    <w:multiLevelType w:val="singleLevel"/>
    <w:tmpl w:val="4566D51A"/>
    <w:lvl w:ilvl="0">
      <w:start w:val="1"/>
      <w:numFmt w:val="lowerLetter"/>
      <w:lvlText w:val="%1)"/>
      <w:lvlJc w:val="left"/>
      <w:pPr>
        <w:tabs>
          <w:tab w:val="num" w:pos="390"/>
        </w:tabs>
        <w:ind w:left="390" w:hanging="390"/>
      </w:pPr>
    </w:lvl>
  </w:abstractNum>
  <w:abstractNum w:abstractNumId="5">
    <w:nsid w:val="424E680D"/>
    <w:multiLevelType w:val="singleLevel"/>
    <w:tmpl w:val="5DD413C4"/>
    <w:lvl w:ilvl="0">
      <w:start w:val="1"/>
      <w:numFmt w:val="lowerLetter"/>
      <w:lvlText w:val="(%1) "/>
      <w:legacy w:legacy="1" w:legacySpace="0" w:legacyIndent="283"/>
      <w:lvlJc w:val="left"/>
      <w:pPr>
        <w:ind w:left="283" w:hanging="283"/>
      </w:pPr>
      <w:rPr>
        <w:rFonts w:ascii="Courier New" w:hAnsi="Courier New"/>
        <w:b w:val="0"/>
        <w:i w:val="0"/>
        <w:sz w:val="18"/>
        <w:u w:val="none"/>
        <w:rtl w:val="0"/>
      </w:rPr>
    </w:lvl>
  </w:abstractNum>
  <w:abstractNum w:abstractNumId="6">
    <w:nsid w:val="46DB0B95"/>
    <w:multiLevelType w:val="singleLevel"/>
    <w:tmpl w:val="0204C9CC"/>
    <w:lvl w:ilvl="0">
      <w:start w:val="1"/>
      <w:numFmt w:val="decimal"/>
      <w:lvlText w:val="%1."/>
      <w:legacy w:legacy="1" w:legacySpace="0" w:legacyIndent="283"/>
      <w:lvlJc w:val="left"/>
      <w:pPr>
        <w:ind w:left="283" w:hanging="283"/>
      </w:pPr>
    </w:lvl>
  </w:abstractNum>
  <w:abstractNum w:abstractNumId="7">
    <w:nsid w:val="71D01257"/>
    <w:multiLevelType w:val="singleLevel"/>
    <w:tmpl w:val="041B0017"/>
    <w:lvl w:ilvl="0">
      <w:start w:val="1"/>
      <w:numFmt w:val="lowerLetter"/>
      <w:lvlText w:val="%1)"/>
      <w:lvlJc w:val="left"/>
      <w:pPr>
        <w:tabs>
          <w:tab w:val="num" w:pos="360"/>
        </w:tabs>
        <w:ind w:left="360" w:hanging="360"/>
      </w:pPr>
    </w:lvl>
  </w:abstractNum>
  <w:num w:numId="1">
    <w:abstractNumId w:val="3"/>
  </w:num>
  <w:num w:numId="2">
    <w:abstractNumId w:val="6"/>
  </w:num>
  <w:num w:numId="3">
    <w:abstractNumId w:val="6"/>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bullet"/>
        <w:lvlText w:val=""/>
        <w:legacy w:legacy="1" w:legacySpace="0" w:legacyIndent="284"/>
        <w:lvlJc w:val="left"/>
        <w:pPr>
          <w:ind w:left="284" w:hanging="284"/>
        </w:pPr>
        <w:rPr>
          <w:rFonts w:ascii="Symbol" w:hAnsi="Symbol"/>
          <w:rtl w:val="0"/>
        </w:rPr>
      </w:lvl>
    </w:lvlOverride>
  </w:num>
  <w:num w:numId="5">
    <w:abstractNumId w:val="2"/>
  </w:num>
  <w:num w:numId="6">
    <w:abstractNumId w:val="5"/>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0"/>
      <w:rtl w:val="0"/>
      <w:lang w:val="en-US" w:bidi="ar-SA"/>
    </w:rPr>
  </w:style>
  <w:style w:type="paragraph" w:styleId="Heading1">
    <w:name w:val="heading 1"/>
    <w:basedOn w:val="Normal"/>
    <w:next w:val="Normal"/>
    <w:uiPriority w:val="9"/>
    <w:qFormat/>
    <w:pPr>
      <w:keepNext/>
      <w:jc w:val="left"/>
      <w:outlineLvl w:val="0"/>
    </w:pPr>
    <w:rPr>
      <w:b/>
      <w:noProof/>
      <w:lang w:val="sk-SK"/>
    </w:rPr>
  </w:style>
  <w:style w:type="paragraph" w:styleId="Heading2">
    <w:name w:val="heading 2"/>
    <w:basedOn w:val="Normal"/>
    <w:next w:val="Normal"/>
    <w:uiPriority w:val="9"/>
    <w:qFormat/>
    <w:pPr>
      <w:keepNext/>
      <w:jc w:val="center"/>
      <w:outlineLvl w:val="1"/>
    </w:pPr>
    <w:rPr>
      <w:b/>
      <w:noProof/>
      <w:lang w:val="sk-SK"/>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pPr>
      <w:autoSpaceDE/>
      <w:autoSpaceDN/>
      <w:spacing w:after="120"/>
      <w:jc w:val="left"/>
    </w:pPr>
    <w:rPr>
      <w:rFonts w:ascii="Arial" w:hAnsi="Arial" w:cs="Arial"/>
      <w:sz w:val="20"/>
      <w:lang w:val="sk-SK"/>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customStyle="1" w:styleId="text">
    <w:name w:val="text"/>
    <w:basedOn w:val="Normal"/>
    <w:pPr>
      <w:jc w:val="left"/>
    </w:pPr>
    <w:rPr>
      <w:rFonts w:ascii="Courier New" w:hAnsi="Courier New"/>
      <w:sz w:val="18"/>
      <w:lang w:val="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2243</Words>
  <Characters>12789</Characters>
  <Application>Microsoft Office Word</Application>
  <DocSecurity>0</DocSecurity>
  <Lines>0</Lines>
  <Paragraphs>0</Paragraphs>
  <ScaleCrop>false</ScaleCrop>
  <Company>Ministry of Finance</Company>
  <LinksUpToDate>false</LinksUpToDate>
  <CharactersWithSpaces>15705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Novackova Daniela</dc:creator>
  <cp:lastModifiedBy>Marta Gulárová</cp:lastModifiedBy>
  <cp:revision>2</cp:revision>
  <cp:lastPrinted>2000-06-12T08:21:00Z</cp:lastPrinted>
  <dcterms:created xsi:type="dcterms:W3CDTF">2004-08-18T13:37:00Z</dcterms:created>
  <dcterms:modified xsi:type="dcterms:W3CDTF">2004-08-18T13:37:00Z</dcterms:modified>
</cp:coreProperties>
</file>