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DOLOŽKA  ZLUČlTEĽNOSTI</w:t>
      </w:r>
    </w:p>
    <w:p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návrhu zákona, ktorým sa mení a dopĺňa zákon č. 80/1997 Z.z. o Exportno-importnej banke Slovenskej republiky v znení neskorších predpisov</w:t>
      </w:r>
    </w:p>
    <w:p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právom Európskych spoločenstiev a právom Európskej únie</w:t>
      </w:r>
    </w:p>
    <w:p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>
      <w:pPr>
        <w:pStyle w:val="tlNadpisbodov11pt"/>
        <w:numPr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Navrhovateľ zákona:</w:t>
      </w:r>
    </w:p>
    <w:p>
      <w:pPr>
        <w:pStyle w:val="N-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Vláda Sloven</w:t>
      </w:r>
      <w:r>
        <w:rPr>
          <w:rFonts w:ascii="Times New Roman" w:hAnsi="Times New Roman" w:cs="Times New Roman"/>
        </w:rPr>
        <w:t>skej republiky</w:t>
      </w:r>
    </w:p>
    <w:p>
      <w:pPr>
        <w:pStyle w:val="N-text"/>
        <w:rPr>
          <w:rFonts w:ascii="Times New Roman" w:hAnsi="Times New Roman" w:cs="Times New Roman"/>
        </w:rPr>
      </w:pPr>
    </w:p>
    <w:p>
      <w:pPr>
        <w:pStyle w:val="tlNadpisbodov11pt"/>
        <w:numPr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Názov návrhu zákona:</w:t>
      </w:r>
    </w:p>
    <w:p>
      <w:pPr>
        <w:pStyle w:val="Zkladntex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zákona, ktorým sa mení a dopĺňa zákon č. 80/1997 Z.z. o Exportno-importnej banke Slovenskej republiky v znení neskorších predpisov.</w:t>
      </w:r>
    </w:p>
    <w:p>
      <w:pPr>
        <w:pStyle w:val="N-text"/>
        <w:rPr>
          <w:rFonts w:ascii="Times New Roman" w:hAnsi="Times New Roman" w:cs="Times New Roman"/>
        </w:rPr>
      </w:pPr>
    </w:p>
    <w:p>
      <w:pPr>
        <w:pStyle w:val="tlNadpisbodov11pt"/>
        <w:numPr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3.Záväzky Slovenskej republiky vo vzťahu k Európskym spoločenstvám a k Európskej únii:</w:t>
      </w:r>
    </w:p>
    <w:p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Problematika návrhu zákona nepatrí medzi prioritné oblasti aproximácie práva uvedené v článku 70 Európskej dohody o pridružení. </w:t>
      </w:r>
    </w:p>
    <w:p>
      <w:pPr>
        <w:pStyle w:val="Zkladntext"/>
        <w:ind w:left="284"/>
        <w:jc w:val="both"/>
        <w:rPr>
          <w:rFonts w:ascii="Times New Roman" w:hAnsi="Times New Roman" w:cs="Times New Roman"/>
        </w:rPr>
      </w:pPr>
    </w:p>
    <w:p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hľadiska Národného programu pre prijatie acquis communautaire predkladaný návrh zákona patrí medzi prioritné oblasti aproximácie práva – Kapitola 26 – Vonkajšie vzťahy ale nie je prioritou podľa Partnerstva pre vstup.</w:t>
      </w:r>
    </w:p>
    <w:p>
      <w:pPr>
        <w:pStyle w:val="Zkladntext"/>
        <w:ind w:left="284"/>
        <w:jc w:val="both"/>
        <w:rPr>
          <w:rFonts w:ascii="Times New Roman" w:hAnsi="Times New Roman" w:cs="Times New Roman"/>
        </w:rPr>
      </w:pPr>
    </w:p>
    <w:p>
      <w:pPr>
        <w:pStyle w:val="Zkladntex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nepatrí medzi priority odporúčané v Príprave asociovaných krajín strednej a východnej Európy na integráciu do vnútorného trhu Európske</w:t>
      </w:r>
      <w:r>
        <w:rPr>
          <w:rFonts w:ascii="Times New Roman" w:hAnsi="Times New Roman" w:cs="Times New Roman"/>
        </w:rPr>
        <w:t>j únie -Biela kniha.</w:t>
      </w:r>
    </w:p>
    <w:p>
      <w:pPr>
        <w:pStyle w:val="Zkladntext"/>
        <w:ind w:left="284"/>
        <w:jc w:val="both"/>
        <w:rPr>
          <w:rFonts w:ascii="Times New Roman" w:hAnsi="Times New Roman" w:cs="Times New Roman"/>
        </w:rPr>
      </w:pPr>
    </w:p>
    <w:p>
      <w:pPr>
        <w:pStyle w:val="Zkladntex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návrhu zákona je obsiahnutá v screeningovej kapitole 26 – Vonkajšie vzťahy.</w:t>
      </w:r>
    </w:p>
    <w:p>
      <w:pPr>
        <w:pStyle w:val="Zkladntext"/>
        <w:ind w:left="284"/>
        <w:jc w:val="both"/>
        <w:rPr>
          <w:rFonts w:ascii="Times New Roman" w:hAnsi="Times New Roman" w:cs="Times New Roman"/>
        </w:rPr>
      </w:pPr>
    </w:p>
    <w:p>
      <w:pPr>
        <w:pStyle w:val="Zkladntex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bol vypracovaný na základe Plánu legislatívnych úloh vlády SR na rok 2004 s termínom predloženia apríl 2004.</w:t>
      </w:r>
    </w:p>
    <w:p>
      <w:pPr>
        <w:pStyle w:val="Zkladntext"/>
        <w:ind w:left="284"/>
        <w:jc w:val="both"/>
        <w:rPr>
          <w:rFonts w:ascii="Times New Roman" w:hAnsi="Times New Roman" w:cs="Times New Roman"/>
        </w:rPr>
      </w:pPr>
    </w:p>
    <w:p>
      <w:pPr>
        <w:pStyle w:val="Zkladntex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Slovenská republika akceptuje acquis v oblasti exportných úverov – kapitola č. 26 - Vonkajšie vzťahy a je pripravená na jeho implementáciu v plnom rozsahu k dátumu vstupu SR do EÚ.</w:t>
      </w:r>
    </w:p>
    <w:p>
      <w:pPr>
        <w:pStyle w:val="Zkladntext"/>
        <w:ind w:left="300"/>
        <w:rPr>
          <w:rFonts w:ascii="Times New Roman" w:hAnsi="Times New Roman" w:cs="Times New Roman"/>
        </w:rPr>
      </w:pPr>
    </w:p>
    <w:p>
      <w:pPr>
        <w:pStyle w:val="tlNadpisbodov11pt"/>
        <w:numPr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Problematika návrhu zákona:</w:t>
      </w:r>
    </w:p>
    <w:p>
      <w:pPr>
        <w:pStyle w:val="N-tex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  <w:tab/>
        <w:t>je upravená v práve Európskych spoločenstiev:</w:t>
      </w:r>
    </w:p>
    <w:p>
      <w:pPr>
        <w:pStyle w:val="N-textsodrkam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  <w:tab/>
        <w:t>v článkoch 3 pís. b), 132 a 133 Zmluvy o založení o ES,</w:t>
      </w:r>
    </w:p>
    <w:p>
      <w:pPr>
        <w:pStyle w:val="tex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  <w:tab/>
        <w:t>v smernici Rady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1984/568/EHS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z 27. novembra 1984, ktorá sa týka vzájomných povinností exportných úverových poisťovní členských štátov pôsobiacich v záujme štátu alebo s jeho podporou alebo štátnych orgánov pôsobiacich v mieste týchto organizácií, v prípade spoločných záruk na kontrakt zahrňujúci jednu alebo viac subdodávateľských zmlúv v jednom alebo viacerých členských štátoch Európskych spoločenstiev,</w:t>
      </w:r>
    </w:p>
    <w:p>
      <w:pPr>
        <w:pStyle w:val="Zkladntext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  <w:t>v smernici Rady 1998/29/ES zo 7. mája 1998 o harmonizá</w:t>
      </w:r>
      <w:r>
        <w:rPr>
          <w:rFonts w:ascii="Times New Roman" w:hAnsi="Times New Roman" w:cs="Times New Roman"/>
        </w:rPr>
        <w:t>cii základných ustanovení, ktoré sa týkajú poistenia vývozných úverov  pre transakcie so strednodobým a dlhodobým krytím,</w:t>
      </w:r>
    </w:p>
    <w:p>
      <w:pPr>
        <w:pStyle w:val="Zkladntext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  <w:t>v oznámení Komisie členským štátom podľa článku 93 ods. 1 Zmluvy o ES, ktorým sa uplatňujú články 92 a 93 Zmluvy na krátkodobé poistenie vývozných úverov (97/C 281/03) ,</w:t>
      </w:r>
    </w:p>
    <w:p>
      <w:pPr>
        <w:pStyle w:val="Zkladntext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  <w:t>v oznámení Komisie členským štátom, ktoré mení a dopĺňa oznámenie podľa článku 93 ods. 1 Zmluvy o ES o uplatnení články 92 a 93 Zmluvy na krátkodobé poistenie vývozných úverov (2001/C 217/02).</w:t>
      </w:r>
    </w:p>
    <w:p>
      <w:pPr>
        <w:pStyle w:val="Zkladntext"/>
        <w:ind w:left="720" w:hanging="360"/>
        <w:jc w:val="both"/>
        <w:rPr>
          <w:rFonts w:ascii="Times New Roman" w:hAnsi="Times New Roman" w:cs="Times New Roman"/>
        </w:rPr>
      </w:pPr>
    </w:p>
    <w:p>
      <w:pPr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Článok 3 Zmluvy o založení ES upravuje činnosti Spoločenstva medzi ktoré patrí okrem iného aj spoločná obchodná politika. </w:t>
      </w:r>
    </w:p>
    <w:p>
      <w:pPr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Ustanovenia článku 132 Zmluvy o založení ES zaväzujú členské štáty harmonizovať mechanizmy podpôr poskytovaných členskými štátmi na vývoz do tretích krajín.</w:t>
      </w:r>
    </w:p>
    <w:p>
      <w:pPr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Článok 133 Zmluvy o založení ES stanovuje že spoločná obchodná politika musí vychádzať z jednotných zásad, ktoré sa vzťahujú okrem iného aj na vývoznú politiku.</w:t>
      </w:r>
    </w:p>
    <w:p>
      <w:pPr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1984/568/EHS upravuje vzájomné povinnosti exportných úverových poisťovní členských štátov pôsobiacich v záujme štátu alebo s jeho podporou v prípade spoločných záruk na kontrakt zahrňujúci jednu alebo viac subdodávateľských zmlúv v jednom alebo viacerých členských štátoch Európskych spoločenstiev.</w:t>
      </w:r>
    </w:p>
    <w:p>
      <w:pPr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1998/29/ES sa vzťahuje na poistné krytie pre transakcie súvisiace s vývozom tovarov a/alebo služieb pochádzajúcich z členských štátov, pokiaľ je táto podpora poskytovaná priamo či nepriamo na účet alebo s podporou jedného alebo viacerých členských štátov.</w:t>
      </w:r>
    </w:p>
    <w:p>
      <w:pPr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Účelom uvedených oznámení Komisie je odstrániť narušovanie hospodárskej súťaže z dôvodu štátnej pomoci v sektore poisťovateľov vývozných úverov. Okrem iného aj definujú obchodovateľné riziká, ktorými sú tie, ktoré nemôžu pokrývať poisťovatelia vývozných úverov s podporou štátu. </w:t>
      </w:r>
    </w:p>
    <w:p>
      <w:pPr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Zrevidovaný preklad uvedených smerníc a oznámení sa nachádza v databáze Centrálnej prekladateľskej jednotky Úradu vlády SR a v elektronickej podobe je možné si ich vyhľadať na internetovej stránke www.aprox.government.gov.sk. </w:t>
      </w:r>
    </w:p>
    <w:p>
      <w:pPr>
        <w:pStyle w:val="N-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  <w:tab/>
        <w:t xml:space="preserve">nie je upravená v práve </w:t>
      </w:r>
      <w:r>
        <w:rPr>
          <w:rFonts w:ascii="Times New Roman" w:hAnsi="Times New Roman" w:cs="Times New Roman"/>
        </w:rPr>
        <w:t>Európskej únie.</w:t>
      </w:r>
    </w:p>
    <w:p>
      <w:pPr>
        <w:ind w:left="283"/>
        <w:jc w:val="both"/>
        <w:rPr>
          <w:rFonts w:ascii="Times New Roman" w:hAnsi="Times New Roman" w:cs="Times New Roman"/>
        </w:rPr>
      </w:pPr>
    </w:p>
    <w:p>
      <w:pPr>
        <w:pStyle w:val="tlNadpisbodov11pt"/>
        <w:numPr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Stupeň zlučiteľnosti návrhu zákona s právom Európskych spoločenstiev a právom Európskej únie:</w:t>
      </w:r>
    </w:p>
    <w:p>
      <w:pPr>
        <w:pStyle w:val="N-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80/1997 Z.z. o Exportno-importnej banke Slovenskej republiky v znení neskorších predpisov v ust. § 22 ods.3 obsahuje splnomocnenie pre Eximbanku na vydanie podmienok úverového poistenia Eximbanky po dohode s ministerstvom, do ktorých boli úplne transponované smernice č. 1984/568/EHS a 1998/29/ES.</w:t>
      </w:r>
    </w:p>
    <w:p>
      <w:pPr>
        <w:pStyle w:val="tlNadpisbodov11pt"/>
        <w:tabs>
          <w:tab w:val="left" w:pos="643"/>
        </w:tabs>
        <w:rPr>
          <w:rFonts w:ascii="Times New Roman" w:hAnsi="Times New Roman" w:cs="Times New Roman"/>
        </w:rPr>
      </w:pPr>
    </w:p>
    <w:p>
      <w:pPr>
        <w:pStyle w:val="tlNadpisbodov11pt"/>
        <w:numPr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Gestor:</w:t>
      </w:r>
    </w:p>
    <w:p>
      <w:pPr>
        <w:pStyle w:val="N-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Ministerstvo financií Slovenskej republiky.</w:t>
      </w:r>
    </w:p>
    <w:p>
      <w:pPr>
        <w:pStyle w:val="Zkladntext"/>
        <w:jc w:val="both"/>
        <w:rPr>
          <w:rFonts w:ascii="Times New Roman" w:hAnsi="Times New Roman" w:cs="Times New Roman"/>
        </w:rPr>
      </w:pPr>
    </w:p>
    <w:p>
      <w:pPr>
        <w:pStyle w:val="tlNadpisbodov11pt"/>
        <w:numPr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Účasť expertov pri príprave návrhu zákona a ich stanovisko k zlučiteľnosti návrhu zákona s právom Európskych spoločenstiev a právom Európskej únie:</w:t>
      </w:r>
    </w:p>
    <w:p>
      <w:pPr>
        <w:pStyle w:val="N-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príprave návrhu zákona sa nezúčastnili experti. </w:t>
      </w:r>
    </w:p>
    <w:p>
      <w:pPr>
        <w:rPr>
          <w:rFonts w:ascii="Times New Roman" w:hAnsi="Times New Roman" w:cs="Times New Roman"/>
          <w:b/>
          <w:bCs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ind w:right="360" w:firstLine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0DD"/>
    <w:multiLevelType w:val="singleLevel"/>
    <w:tmpl w:val="93407AE6"/>
    <w:lvl w:ilvl="0">
      <w:start w:val="4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rtl w:val="0"/>
      </w:rPr>
    </w:lvl>
  </w:abstractNum>
  <w:abstractNum w:abstractNumId="1">
    <w:nsid w:val="195B7446"/>
    <w:multiLevelType w:val="hybridMultilevel"/>
    <w:tmpl w:val="CE3EA9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customStyle="1" w:styleId="Zkladntext">
    <w:name w:val="Základní text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uiPriority w:val="10"/>
    <w:qFormat/>
    <w:pPr>
      <w:autoSpaceDE/>
      <w:autoSpaceDN/>
      <w:jc w:val="center"/>
    </w:pPr>
    <w:rPr>
      <w:rFonts w:ascii="Arial" w:hAnsi="Arial" w:cs="Arial"/>
    </w:rPr>
  </w:style>
  <w:style w:type="paragraph" w:customStyle="1" w:styleId="N-text">
    <w:name w:val="N-text"/>
    <w:basedOn w:val="Normal"/>
    <w:pPr>
      <w:tabs>
        <w:tab w:val="left" w:pos="284"/>
      </w:tabs>
      <w:jc w:val="both"/>
    </w:pPr>
  </w:style>
  <w:style w:type="paragraph" w:customStyle="1" w:styleId="N-textsodrkami">
    <w:name w:val="N-text s odrážkami"/>
    <w:basedOn w:val="N-text"/>
    <w:pPr>
      <w:spacing w:after="120"/>
      <w:ind w:left="284"/>
      <w:jc w:val="both"/>
    </w:pPr>
  </w:style>
  <w:style w:type="paragraph" w:customStyle="1" w:styleId="tlNadpisbodov11pt">
    <w:name w:val="Štýl Nadpis bodov + 11 pt"/>
    <w:basedOn w:val="Normal"/>
    <w:pPr>
      <w:numPr>
        <w:ilvl w:val="0"/>
        <w:numId w:val="30"/>
      </w:numPr>
      <w:tabs>
        <w:tab w:val="left" w:pos="643"/>
      </w:tabs>
      <w:spacing w:after="120"/>
      <w:ind w:left="643" w:hanging="360"/>
      <w:jc w:val="both"/>
    </w:pPr>
    <w:rPr>
      <w:b/>
      <w:bCs/>
    </w:rPr>
  </w:style>
  <w:style w:type="paragraph" w:styleId="BodyText3">
    <w:name w:val="Body Text 3"/>
    <w:basedOn w:val="Normal"/>
    <w:pPr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pPr>
      <w:jc w:val="both"/>
    </w:pPr>
  </w:style>
  <w:style w:type="paragraph" w:customStyle="1" w:styleId="Vlada">
    <w:name w:val="Vlada"/>
    <w:basedOn w:val="Normal"/>
    <w:pPr>
      <w:spacing w:before="480" w:after="120"/>
      <w:jc w:val="left"/>
    </w:pPr>
    <w:rPr>
      <w:b/>
      <w:bCs/>
      <w:sz w:val="32"/>
      <w:szCs w:val="32"/>
    </w:rPr>
  </w:style>
  <w:style w:type="paragraph" w:styleId="BodyTextIndent2">
    <w:name w:val="Body Text Indent 2"/>
    <w:basedOn w:val="Normal"/>
    <w:pPr>
      <w:ind w:firstLine="72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customStyle="1" w:styleId="text">
    <w:name w:val="text"/>
    <w:basedOn w:val="Normal"/>
    <w:pPr>
      <w:jc w:val="left"/>
    </w:pPr>
    <w:rPr>
      <w:rFonts w:ascii="Courier New" w:hAnsi="Courier New" w:cs="Courier New"/>
      <w:sz w:val="18"/>
      <w:szCs w:val="18"/>
    </w:rPr>
  </w:style>
  <w:style w:type="paragraph" w:customStyle="1" w:styleId="Styl2">
    <w:name w:val="Styl2"/>
    <w:basedOn w:val="Normal"/>
    <w:pPr>
      <w:autoSpaceDE/>
      <w:autoSpaceDN/>
      <w:spacing w:line="360" w:lineRule="auto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691</Words>
  <Characters>3939</Characters>
  <Application>Microsoft Office Word</Application>
  <DocSecurity>0</DocSecurity>
  <Lines>0</Lines>
  <Paragraphs>0</Paragraphs>
  <ScaleCrop>false</ScaleCrop>
  <Company>MFSR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ZLUČlTEĽNOSTI</dc:title>
  <dc:creator>Marta Gulárová</dc:creator>
  <cp:lastModifiedBy>Marta Gulárová</cp:lastModifiedBy>
  <cp:revision>3</cp:revision>
  <cp:lastPrinted>2004-08-11T11:10:00Z</cp:lastPrinted>
  <dcterms:created xsi:type="dcterms:W3CDTF">2004-08-13T08:22:00Z</dcterms:created>
  <dcterms:modified xsi:type="dcterms:W3CDTF">2004-08-13T08:22:00Z</dcterms:modified>
</cp:coreProperties>
</file>