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rPr>
          <w:rFonts w:ascii="Times New Roman" w:hAnsi="Times New Roman" w:cs="Times New Roman"/>
          <w:szCs w:val="24"/>
        </w:rPr>
      </w:pPr>
    </w:p>
    <w:p>
      <w:pPr>
        <w:pStyle w:val="Title"/>
        <w:rPr>
          <w:rFonts w:ascii="Times New Roman" w:hAnsi="Times New Roman" w:cs="Times New Roman"/>
          <w:szCs w:val="24"/>
        </w:rPr>
      </w:pPr>
    </w:p>
    <w:p>
      <w:pPr>
        <w:pStyle w:val="Title"/>
        <w:rPr>
          <w:rFonts w:ascii="Times New Roman" w:hAnsi="Times New Roman" w:cs="Times New Roman"/>
          <w:szCs w:val="24"/>
        </w:rPr>
      </w:pPr>
      <w:r>
        <w:rPr>
          <w:rFonts w:ascii="Times New Roman" w:hAnsi="Times New Roman" w:cs="Times New Roman"/>
          <w:szCs w:val="24"/>
        </w:rPr>
        <w:t>Dôvodová správa</w:t>
      </w:r>
    </w:p>
    <w:p>
      <w:pPr>
        <w:pStyle w:val="Title"/>
        <w:jc w:val="left"/>
        <w:rPr>
          <w:rFonts w:ascii="Times New Roman" w:hAnsi="Times New Roman" w:cs="Times New Roman"/>
          <w:szCs w:val="24"/>
        </w:rPr>
      </w:pPr>
    </w:p>
    <w:p>
      <w:pPr>
        <w:pStyle w:val="Title"/>
        <w:jc w:val="left"/>
        <w:rPr>
          <w:rFonts w:ascii="Times New Roman" w:hAnsi="Times New Roman" w:cs="Times New Roman"/>
          <w:szCs w:val="24"/>
        </w:rPr>
      </w:pPr>
    </w:p>
    <w:p>
      <w:pPr>
        <w:pStyle w:val="Title"/>
        <w:jc w:val="left"/>
        <w:rPr>
          <w:rFonts w:ascii="Times New Roman" w:hAnsi="Times New Roman" w:cs="Times New Roman"/>
          <w:szCs w:val="24"/>
          <w:u w:val="single"/>
        </w:rPr>
      </w:pPr>
      <w:r>
        <w:rPr>
          <w:rFonts w:ascii="Times New Roman" w:hAnsi="Times New Roman" w:cs="Times New Roman"/>
          <w:szCs w:val="24"/>
          <w:u w:val="single"/>
        </w:rPr>
        <w:t>Všeobecná časť</w:t>
      </w:r>
    </w:p>
    <w:p>
      <w:pPr>
        <w:pStyle w:val="Heading1"/>
        <w:ind w:left="0" w:right="-284"/>
        <w:jc w:val="left"/>
        <w:rPr>
          <w:rFonts w:ascii="Times New Roman" w:hAnsi="Times New Roman" w:cs="Times New Roman"/>
          <w:b w:val="0"/>
          <w:szCs w:val="24"/>
          <w:lang w:val="sk-SK"/>
        </w:rPr>
      </w:pPr>
    </w:p>
    <w:p>
      <w:pPr>
        <w:pStyle w:val="BodyTextIndent"/>
        <w:ind w:left="-142" w:right="-284" w:firstLine="142"/>
        <w:jc w:val="both"/>
        <w:rPr>
          <w:rFonts w:ascii="Times New Roman" w:hAnsi="Times New Roman" w:cs="Times New Roman"/>
          <w:szCs w:val="24"/>
        </w:rPr>
      </w:pPr>
    </w:p>
    <w:p>
      <w:pPr>
        <w:pStyle w:val="Title"/>
        <w:ind w:left="-142" w:firstLine="850"/>
        <w:jc w:val="both"/>
        <w:rPr>
          <w:rFonts w:ascii="Times New Roman" w:hAnsi="Times New Roman" w:cs="Times New Roman"/>
          <w:b w:val="0"/>
          <w:szCs w:val="24"/>
        </w:rPr>
      </w:pPr>
      <w:r>
        <w:rPr>
          <w:rFonts w:ascii="Times New Roman" w:hAnsi="Times New Roman" w:cs="Times New Roman"/>
          <w:b w:val="0"/>
          <w:szCs w:val="24"/>
        </w:rPr>
        <w:t xml:space="preserve">Vypracovanie novelizácie zákona č. 80/1997 Z.z. o Exportno-importnej banke Slovenskej republiky v znení neskorších predpisov vyplýva zo základných programových dokumentov, vymedzujúcich ciele a postupy EXIMBANKY SR, vychádza  z dosiahnutého stavu vo vývoji tejto inštitúcie, ako aj z potreby zosúladenia uvedeného zákona s legislatívou Európskej únie. Navrhovanou novelizáciou zákona č. 80/1997 Z.z. sa tiež umožní širšie uplatnenie podpory slovenských vývozcov. </w:t>
      </w:r>
    </w:p>
    <w:p>
      <w:pPr>
        <w:pStyle w:val="Title"/>
        <w:ind w:left="-142" w:firstLine="850"/>
        <w:jc w:val="both"/>
        <w:rPr>
          <w:rFonts w:ascii="Times New Roman" w:hAnsi="Times New Roman" w:cs="Times New Roman"/>
          <w:b w:val="0"/>
          <w:szCs w:val="24"/>
        </w:rPr>
      </w:pPr>
    </w:p>
    <w:p>
      <w:pPr>
        <w:pStyle w:val="Title"/>
        <w:ind w:left="-142" w:firstLine="142"/>
        <w:jc w:val="both"/>
        <w:rPr>
          <w:rFonts w:ascii="Times New Roman" w:hAnsi="Times New Roman" w:cs="Times New Roman"/>
          <w:b w:val="0"/>
          <w:szCs w:val="24"/>
        </w:rPr>
      </w:pPr>
      <w:r>
        <w:rPr>
          <w:rFonts w:ascii="Times New Roman" w:hAnsi="Times New Roman" w:cs="Times New Roman"/>
          <w:b w:val="0"/>
          <w:szCs w:val="24"/>
        </w:rPr>
        <w:tab/>
        <w:t xml:space="preserve">Súčasná legislatíva upravujúca činnosť EXIMBANKY SR produkt „tuzemského poistenia“ neumožňuje, nakoľko upravuje z pohľadu poistenia len zahraničné riziko. Takýto typ poistenia je podľa skúseností EXIMBANKY SR pomerne často požadovaný a absencia poistenia tuzemských rizík je výrazne limitujúcim faktorom, nakoľko klientela uprednostňuje ponuku komplexnej služby v rámci jednej inštitúcie.    </w:t>
      </w:r>
    </w:p>
    <w:p>
      <w:pPr>
        <w:pStyle w:val="Title"/>
        <w:ind w:left="-142" w:firstLine="850"/>
        <w:jc w:val="both"/>
        <w:rPr>
          <w:rFonts w:ascii="Times New Roman" w:hAnsi="Times New Roman" w:cs="Times New Roman"/>
          <w:b w:val="0"/>
          <w:szCs w:val="24"/>
        </w:rPr>
      </w:pPr>
      <w:r>
        <w:rPr>
          <w:rFonts w:ascii="Times New Roman" w:hAnsi="Times New Roman" w:cs="Times New Roman"/>
          <w:b w:val="0"/>
          <w:szCs w:val="24"/>
        </w:rPr>
        <w:t xml:space="preserve">  </w:t>
      </w:r>
    </w:p>
    <w:p>
      <w:pPr>
        <w:pStyle w:val="Title"/>
        <w:ind w:left="-142" w:firstLine="850"/>
        <w:jc w:val="both"/>
        <w:rPr>
          <w:rFonts w:ascii="Times New Roman" w:hAnsi="Times New Roman" w:cs="Times New Roman"/>
          <w:b w:val="0"/>
          <w:szCs w:val="24"/>
        </w:rPr>
      </w:pPr>
      <w:r>
        <w:rPr>
          <w:rFonts w:ascii="Times New Roman" w:hAnsi="Times New Roman" w:cs="Times New Roman"/>
          <w:b w:val="0"/>
          <w:szCs w:val="24"/>
        </w:rPr>
        <w:t xml:space="preserve">V prípade schválenia možnosti poistenia tuzemského rizika bude návrh Podmienok úverového poistenia pre poistenie krátkodobých tuzemských pohľadávok vývozcu proti komerčným rizikám obsahovať ustanovenie, ktoré určuje, že poistiť možno len pohľadávky vývozcu súvisiace s vývozom, tzn. že bude vylúčené poistenie tzv. čistých tuzemských rizík. </w:t>
      </w:r>
    </w:p>
    <w:p>
      <w:pPr>
        <w:pStyle w:val="Title"/>
        <w:ind w:left="-142" w:firstLine="850"/>
        <w:jc w:val="both"/>
        <w:rPr>
          <w:rFonts w:ascii="Times New Roman" w:hAnsi="Times New Roman" w:cs="Times New Roman"/>
          <w:b w:val="0"/>
          <w:szCs w:val="24"/>
        </w:rPr>
      </w:pPr>
    </w:p>
    <w:p>
      <w:pPr>
        <w:pStyle w:val="Title"/>
        <w:ind w:left="-142" w:firstLine="850"/>
        <w:jc w:val="both"/>
        <w:rPr>
          <w:rFonts w:ascii="Times New Roman" w:hAnsi="Times New Roman" w:cs="Times New Roman"/>
          <w:b w:val="0"/>
          <w:szCs w:val="24"/>
        </w:rPr>
      </w:pPr>
      <w:r>
        <w:rPr>
          <w:rFonts w:ascii="Times New Roman" w:hAnsi="Times New Roman" w:cs="Times New Roman"/>
          <w:b w:val="0"/>
          <w:szCs w:val="24"/>
        </w:rPr>
        <w:t xml:space="preserve">Tuzemské komerčné riziká SR sú považované za zaistiteľné. Po predbežných konzultáciách so zaistiteľmi, je možné zahrnúť  zaistenie tuzemských pohľadávok do „Zmluvy o kvótovom zaistení“, ktorá sa uzatvára pre obchodovateľné riziká každý rok. Zahraničný zaistiteľ  má už v portfóliu slovenské riziká, nakoľko tieto zaisťuje v rámci zmlúv s ostatnými exportno-úverovými agentúrami.   </w:t>
      </w:r>
    </w:p>
    <w:p>
      <w:pPr>
        <w:pStyle w:val="Title"/>
        <w:ind w:left="-142" w:firstLine="850"/>
        <w:jc w:val="both"/>
        <w:rPr>
          <w:rFonts w:ascii="Times New Roman" w:hAnsi="Times New Roman" w:cs="Times New Roman"/>
          <w:b w:val="0"/>
          <w:szCs w:val="24"/>
        </w:rPr>
      </w:pPr>
    </w:p>
    <w:p>
      <w:pPr>
        <w:pStyle w:val="BodyTextIndent2"/>
        <w:rPr>
          <w:rFonts w:ascii="Times New Roman" w:hAnsi="Times New Roman" w:cs="Times New Roman"/>
          <w:szCs w:val="24"/>
        </w:rPr>
      </w:pPr>
      <w:r>
        <w:rPr>
          <w:rFonts w:ascii="Times New Roman" w:hAnsi="Times New Roman" w:cs="Times New Roman"/>
          <w:szCs w:val="24"/>
        </w:rPr>
        <w:t xml:space="preserve">Nevyhnutnosť zavedenia poistenia tuzemského rizika vyplýva aj zo skutočnosti, že  vstupom ďalších štátov (vrátane SR) do EÚ sa rozšíria aj možnosti konkurencie vzhľadom na jednu zo základných slobôd EÚ, t.j. voľného pohybu tovaru a služieb. </w:t>
      </w:r>
    </w:p>
    <w:p>
      <w:pPr>
        <w:pStyle w:val="Title"/>
        <w:jc w:val="both"/>
        <w:rPr>
          <w:rFonts w:ascii="Times New Roman" w:hAnsi="Times New Roman" w:cs="Times New Roman"/>
          <w:b w:val="0"/>
          <w:szCs w:val="24"/>
        </w:rPr>
      </w:pPr>
    </w:p>
    <w:p>
      <w:pPr>
        <w:pStyle w:val="Title"/>
        <w:ind w:left="-142" w:firstLine="850"/>
        <w:jc w:val="both"/>
        <w:rPr>
          <w:rFonts w:ascii="Times New Roman" w:hAnsi="Times New Roman" w:cs="Times New Roman"/>
          <w:b w:val="0"/>
          <w:szCs w:val="24"/>
        </w:rPr>
      </w:pPr>
      <w:r>
        <w:rPr>
          <w:rFonts w:ascii="Times New Roman" w:hAnsi="Times New Roman" w:cs="Times New Roman"/>
          <w:b w:val="0"/>
          <w:szCs w:val="24"/>
        </w:rPr>
        <w:t xml:space="preserve">Navrhovaná novelizácia rozširuje pojmy o obchodovateľné riziká a neobchodovateľné riziká  v súvislosti so vstupom Slovenskej republiky do Európskej únie.  Z hľadiska  smerníc EU a s prihliadnutím na príslušné Oznámenie EK pre krátkodobé poistenie obchodovateľných rizík je z pohľadu komisie rozhodujúce transparentné oddelenie poisťovacích aktivít v oblasti neobchodovateľných rizík od aktivít vykonávaných v oblasti obchodovateľných rizík, u ktorých je vylúčená podpora štátu. </w:t>
      </w:r>
    </w:p>
    <w:p>
      <w:pPr>
        <w:pStyle w:val="Title"/>
        <w:jc w:val="both"/>
        <w:rPr>
          <w:rFonts w:ascii="Times New Roman" w:hAnsi="Times New Roman" w:cs="Times New Roman"/>
          <w:b w:val="0"/>
          <w:szCs w:val="24"/>
        </w:rPr>
      </w:pPr>
    </w:p>
    <w:p>
      <w:pPr>
        <w:pStyle w:val="Title"/>
        <w:ind w:left="-142" w:firstLine="850"/>
        <w:jc w:val="both"/>
        <w:rPr>
          <w:rFonts w:ascii="Times New Roman" w:hAnsi="Times New Roman" w:cs="Times New Roman"/>
          <w:b w:val="0"/>
          <w:szCs w:val="24"/>
        </w:rPr>
      </w:pPr>
      <w:r>
        <w:rPr>
          <w:rFonts w:ascii="Times New Roman" w:hAnsi="Times New Roman" w:cs="Times New Roman"/>
          <w:b w:val="0"/>
          <w:szCs w:val="24"/>
        </w:rPr>
        <w:t>Ďalej sa v návrhu zákona špecifikujú rezervy v nadväznosti na zákon č. 595/2003 Z.z. o dani z príjmov, doplňujú ustanovenia týkajúce sa poskytovania informácií, upresňuje sa menovanie a odvolávanie členov Rady banky a menia sa slová „guvernér a viceguvernér“ na slová „generálny riaditeľ a námestník generálneho riaditeľa“ v celom texte zákona.</w:t>
      </w:r>
    </w:p>
    <w:p>
      <w:pPr>
        <w:pStyle w:val="Title"/>
        <w:ind w:left="-142" w:firstLine="502"/>
        <w:jc w:val="both"/>
        <w:rPr>
          <w:rFonts w:ascii="Times New Roman" w:hAnsi="Times New Roman" w:cs="Times New Roman"/>
          <w:b w:val="0"/>
          <w:szCs w:val="24"/>
        </w:rPr>
      </w:pPr>
    </w:p>
    <w:p>
      <w:pPr>
        <w:pStyle w:val="Title"/>
        <w:ind w:left="-142" w:firstLine="502"/>
        <w:jc w:val="both"/>
        <w:rPr>
          <w:rFonts w:ascii="Times New Roman" w:hAnsi="Times New Roman" w:cs="Times New Roman"/>
          <w:b w:val="0"/>
          <w:szCs w:val="24"/>
        </w:rPr>
      </w:pPr>
      <w:r>
        <w:rPr>
          <w:rFonts w:ascii="Times New Roman" w:hAnsi="Times New Roman" w:cs="Times New Roman"/>
          <w:b w:val="0"/>
          <w:szCs w:val="24"/>
        </w:rPr>
        <w:t>Návrh novely zákona nebude mať dopad na štátny rozpočet ani rozpočty, ktoré tvoria verejný rozpočet, nepredpokladá finančný, ekonomický, enviromentálny vplyv ani vplyv na  zamestnanosť a na tvorbu pracovných miest.</w:t>
      </w:r>
    </w:p>
    <w:p>
      <w:pPr>
        <w:pStyle w:val="Title"/>
        <w:jc w:val="both"/>
        <w:rPr>
          <w:rFonts w:ascii="Times New Roman" w:hAnsi="Times New Roman" w:cs="Times New Roman"/>
          <w:b w:val="0"/>
          <w:szCs w:val="24"/>
        </w:rPr>
      </w:pPr>
    </w:p>
    <w:p>
      <w:pPr>
        <w:pStyle w:val="Title"/>
        <w:ind w:left="-142" w:firstLine="502"/>
        <w:jc w:val="both"/>
        <w:rPr>
          <w:rFonts w:ascii="Times New Roman" w:hAnsi="Times New Roman" w:cs="Times New Roman"/>
          <w:b w:val="0"/>
          <w:szCs w:val="24"/>
        </w:rPr>
      </w:pPr>
      <w:r>
        <w:rPr>
          <w:rFonts w:ascii="Times New Roman" w:hAnsi="Times New Roman" w:cs="Times New Roman"/>
          <w:b w:val="0"/>
          <w:szCs w:val="24"/>
        </w:rPr>
        <w:t xml:space="preserve">Návrh novely zákona je v súlade s Ústavou Slovenskej republiky, zákonmi Slovenskej republiky, medzinárodnými zmluvami a inými medzinárodnými dokumentami, ktorými </w:t>
      </w:r>
      <w:r>
        <w:rPr>
          <w:rFonts w:ascii="Times New Roman" w:hAnsi="Times New Roman" w:cs="Times New Roman"/>
          <w:b w:val="0"/>
          <w:szCs w:val="24"/>
        </w:rPr>
        <w:t>je Slovenská republika viazaná.</w:t>
      </w:r>
    </w:p>
    <w:p>
      <w:pPr>
        <w:pStyle w:val="Title"/>
        <w:jc w:val="both"/>
        <w:rPr>
          <w:rFonts w:ascii="Times New Roman" w:hAnsi="Times New Roman" w:cs="Times New Roman"/>
          <w:b w:val="0"/>
          <w:szCs w:val="24"/>
        </w:rPr>
      </w:pPr>
    </w:p>
    <w:p>
      <w:pPr>
        <w:pStyle w:val="Title"/>
        <w:jc w:val="both"/>
        <w:rPr>
          <w:rFonts w:ascii="Times New Roman" w:hAnsi="Times New Roman" w:cs="Times New Roman"/>
          <w:b w:val="0"/>
          <w:szCs w:val="24"/>
        </w:rPr>
      </w:pPr>
    </w:p>
    <w:p>
      <w:pPr>
        <w:pStyle w:val="Title"/>
        <w:jc w:val="both"/>
        <w:rPr>
          <w:rFonts w:ascii="Times New Roman" w:hAnsi="Times New Roman" w:cs="Times New Roman"/>
          <w:b w:val="0"/>
          <w:szCs w:val="24"/>
        </w:rPr>
      </w:pPr>
    </w:p>
    <w:p>
      <w:pPr>
        <w:pStyle w:val="Title"/>
        <w:jc w:val="both"/>
        <w:rPr>
          <w:rFonts w:ascii="Times New Roman" w:hAnsi="Times New Roman" w:cs="Times New Roman"/>
          <w:b w:val="0"/>
          <w:szCs w:val="24"/>
        </w:rPr>
      </w:pPr>
    </w:p>
    <w:p>
      <w:pPr>
        <w:pStyle w:val="Title"/>
        <w:jc w:val="both"/>
        <w:rPr>
          <w:rFonts w:ascii="Times New Roman" w:hAnsi="Times New Roman" w:cs="Times New Roman"/>
          <w:b w:val="0"/>
          <w:szCs w:val="24"/>
        </w:rPr>
      </w:pPr>
    </w:p>
    <w:p>
      <w:pPr>
        <w:pStyle w:val="Title"/>
        <w:jc w:val="both"/>
        <w:rPr>
          <w:rFonts w:ascii="Times New Roman" w:hAnsi="Times New Roman" w:cs="Times New Roman"/>
          <w:b w:val="0"/>
          <w:szCs w:val="24"/>
        </w:rPr>
      </w:pPr>
    </w:p>
    <w:p>
      <w:pPr>
        <w:pStyle w:val="Title"/>
        <w:jc w:val="both"/>
        <w:rPr>
          <w:rFonts w:ascii="Times New Roman" w:hAnsi="Times New Roman" w:cs="Times New Roman"/>
          <w:b w:val="0"/>
          <w:szCs w:val="24"/>
        </w:rPr>
      </w:pPr>
    </w:p>
    <w:p>
      <w:pPr>
        <w:pStyle w:val="Title"/>
        <w:jc w:val="both"/>
        <w:rPr>
          <w:rFonts w:ascii="Times New Roman" w:hAnsi="Times New Roman" w:cs="Times New Roman"/>
          <w:b w:val="0"/>
          <w:szCs w:val="24"/>
        </w:rPr>
      </w:pPr>
    </w:p>
    <w:p>
      <w:pPr>
        <w:pStyle w:val="Title"/>
        <w:ind w:firstLine="360"/>
        <w:jc w:val="both"/>
        <w:rPr>
          <w:rFonts w:ascii="Times New Roman" w:hAnsi="Times New Roman" w:cs="Times New Roman"/>
          <w:b w:val="0"/>
          <w:szCs w:val="24"/>
        </w:rPr>
      </w:pPr>
    </w:p>
    <w:p>
      <w:pPr>
        <w:pStyle w:val="Title"/>
        <w:ind w:right="-284"/>
        <w:jc w:val="left"/>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ind w:right="-284"/>
        <w:jc w:val="both"/>
        <w:rPr>
          <w:rFonts w:ascii="Times New Roman" w:hAnsi="Times New Roman" w:cs="Times New Roman"/>
          <w:szCs w:val="24"/>
        </w:rPr>
      </w:pPr>
    </w:p>
    <w:p>
      <w:pPr>
        <w:pStyle w:val="Title"/>
        <w:jc w:val="both"/>
        <w:rPr>
          <w:rFonts w:ascii="Times New Roman" w:hAnsi="Times New Roman" w:cs="Times New Roman"/>
          <w:szCs w:val="24"/>
          <w:u w:val="single"/>
        </w:rPr>
      </w:pPr>
      <w:r>
        <w:rPr>
          <w:rFonts w:ascii="Times New Roman" w:hAnsi="Times New Roman" w:cs="Times New Roman"/>
          <w:szCs w:val="24"/>
          <w:u w:val="single"/>
        </w:rPr>
        <w:t>Osobitná časť</w:t>
      </w:r>
    </w:p>
    <w:p>
      <w:pPr>
        <w:pStyle w:val="Title"/>
        <w:jc w:val="both"/>
        <w:rPr>
          <w:rFonts w:ascii="Times New Roman" w:hAnsi="Times New Roman" w:cs="Times New Roman"/>
          <w:szCs w:val="24"/>
        </w:rPr>
      </w:pPr>
    </w:p>
    <w:p>
      <w:pPr>
        <w:pStyle w:val="Title"/>
        <w:jc w:val="both"/>
        <w:rPr>
          <w:rFonts w:ascii="Times New Roman" w:hAnsi="Times New Roman" w:cs="Times New Roman"/>
          <w:szCs w:val="24"/>
        </w:rPr>
      </w:pPr>
    </w:p>
    <w:p>
      <w:pPr>
        <w:pStyle w:val="Title"/>
        <w:jc w:val="both"/>
        <w:rPr>
          <w:rFonts w:ascii="Times New Roman" w:hAnsi="Times New Roman" w:cs="Times New Roman"/>
          <w:szCs w:val="24"/>
        </w:rPr>
      </w:pPr>
    </w:p>
    <w:p>
      <w:pPr>
        <w:pStyle w:val="Subtitle"/>
        <w:tabs>
          <w:tab w:val="left" w:pos="993"/>
        </w:tabs>
        <w:jc w:val="both"/>
        <w:rPr>
          <w:rFonts w:ascii="Times New Roman" w:hAnsi="Times New Roman" w:cs="Times New Roman"/>
          <w:szCs w:val="24"/>
        </w:rPr>
      </w:pPr>
      <w:r>
        <w:rPr>
          <w:rFonts w:ascii="Times New Roman" w:hAnsi="Times New Roman" w:cs="Times New Roman"/>
          <w:szCs w:val="24"/>
        </w:rPr>
        <w:t xml:space="preserve">K  bodu 1 </w:t>
      </w:r>
    </w:p>
    <w:p>
      <w:pPr>
        <w:tabs>
          <w:tab w:val="left" w:pos="993"/>
        </w:tabs>
        <w:jc w:val="both"/>
        <w:rPr>
          <w:rFonts w:ascii="Times New Roman" w:hAnsi="Times New Roman" w:cs="Times New Roman"/>
          <w:i/>
          <w:szCs w:val="24"/>
        </w:rPr>
      </w:pPr>
    </w:p>
    <w:p>
      <w:pPr>
        <w:tabs>
          <w:tab w:val="left" w:pos="993"/>
        </w:tabs>
        <w:jc w:val="both"/>
        <w:rPr>
          <w:rFonts w:ascii="Times New Roman" w:hAnsi="Times New Roman" w:cs="Times New Roman"/>
          <w:szCs w:val="24"/>
        </w:rPr>
      </w:pPr>
      <w:r>
        <w:rPr>
          <w:rFonts w:ascii="Times New Roman" w:hAnsi="Times New Roman" w:cs="Times New Roman"/>
          <w:szCs w:val="24"/>
        </w:rPr>
        <w:t xml:space="preserve">           Doplnené znenie zohľadňuje odporúčania expertov EK, nakoľko doteraz platné znenie  plne nezahŕňalo tieto záväzky. </w:t>
      </w:r>
    </w:p>
    <w:p>
      <w:pPr>
        <w:pStyle w:val="Title"/>
        <w:jc w:val="both"/>
        <w:rPr>
          <w:rFonts w:ascii="Times New Roman" w:hAnsi="Times New Roman" w:cs="Times New Roman"/>
          <w:szCs w:val="24"/>
        </w:rPr>
      </w:pPr>
    </w:p>
    <w:p>
      <w:pPr>
        <w:pStyle w:val="Title"/>
        <w:jc w:val="both"/>
        <w:rPr>
          <w:rFonts w:ascii="Times New Roman" w:hAnsi="Times New Roman" w:cs="Times New Roman"/>
          <w:szCs w:val="24"/>
        </w:rPr>
      </w:pPr>
      <w:r>
        <w:rPr>
          <w:rFonts w:ascii="Times New Roman" w:hAnsi="Times New Roman" w:cs="Times New Roman"/>
          <w:szCs w:val="24"/>
        </w:rPr>
        <w:t>K  bodu 2</w:t>
      </w:r>
    </w:p>
    <w:p>
      <w:pPr>
        <w:pStyle w:val="Title"/>
        <w:jc w:val="both"/>
        <w:rPr>
          <w:rFonts w:ascii="Times New Roman" w:hAnsi="Times New Roman" w:cs="Times New Roman"/>
          <w:b w:val="0"/>
          <w:szCs w:val="24"/>
        </w:rPr>
      </w:pPr>
    </w:p>
    <w:p>
      <w:pPr>
        <w:pStyle w:val="Title"/>
        <w:jc w:val="both"/>
        <w:rPr>
          <w:rFonts w:ascii="Times New Roman" w:hAnsi="Times New Roman" w:cs="Times New Roman"/>
          <w:b w:val="0"/>
          <w:szCs w:val="24"/>
        </w:rPr>
      </w:pPr>
      <w:r>
        <w:rPr>
          <w:rFonts w:ascii="Times New Roman" w:hAnsi="Times New Roman" w:cs="Times New Roman"/>
          <w:b w:val="0"/>
          <w:szCs w:val="24"/>
        </w:rPr>
        <w:tab/>
        <w:t>Navrhovaná formulácia predstavuje presnejšie vymedzenie postavenia Eximbanky SR  vo vzťahu k právnym predpisom, upravujúcim bankovníctvo a poisťovníctvo. Zároveň sa aktualizuje odkaz pod čiarou v súlade s platnými právnymi normami.</w:t>
      </w:r>
    </w:p>
    <w:p>
      <w:pPr>
        <w:pStyle w:val="Title"/>
        <w:jc w:val="both"/>
        <w:rPr>
          <w:rFonts w:ascii="Times New Roman" w:hAnsi="Times New Roman" w:cs="Times New Roman"/>
          <w:b w:val="0"/>
          <w:szCs w:val="24"/>
        </w:rPr>
      </w:pPr>
    </w:p>
    <w:p>
      <w:pPr>
        <w:pStyle w:val="Title"/>
        <w:jc w:val="both"/>
        <w:rPr>
          <w:rFonts w:ascii="Times New Roman" w:hAnsi="Times New Roman" w:cs="Times New Roman"/>
          <w:szCs w:val="24"/>
        </w:rPr>
      </w:pPr>
    </w:p>
    <w:p>
      <w:pPr>
        <w:pStyle w:val="Title"/>
        <w:jc w:val="both"/>
        <w:rPr>
          <w:rFonts w:ascii="Times New Roman" w:hAnsi="Times New Roman" w:cs="Times New Roman"/>
          <w:szCs w:val="24"/>
        </w:rPr>
      </w:pPr>
      <w:r>
        <w:rPr>
          <w:rFonts w:ascii="Times New Roman" w:hAnsi="Times New Roman" w:cs="Times New Roman"/>
          <w:szCs w:val="24"/>
        </w:rPr>
        <w:t>K  bodom  5, 9, 14, 21, 22 a 26</w:t>
      </w:r>
    </w:p>
    <w:p>
      <w:pPr>
        <w:pStyle w:val="Title"/>
        <w:jc w:val="both"/>
        <w:rPr>
          <w:rFonts w:ascii="Times New Roman" w:hAnsi="Times New Roman" w:cs="Times New Roman"/>
          <w:szCs w:val="24"/>
        </w:rPr>
      </w:pPr>
    </w:p>
    <w:p>
      <w:pPr>
        <w:pStyle w:val="Title"/>
        <w:jc w:val="both"/>
        <w:rPr>
          <w:rFonts w:ascii="Times New Roman" w:hAnsi="Times New Roman" w:cs="Times New Roman"/>
          <w:b w:val="0"/>
          <w:szCs w:val="24"/>
        </w:rPr>
      </w:pPr>
      <w:r>
        <w:rPr>
          <w:rFonts w:ascii="Times New Roman" w:hAnsi="Times New Roman" w:cs="Times New Roman"/>
          <w:szCs w:val="24"/>
        </w:rPr>
        <w:tab/>
      </w:r>
      <w:r>
        <w:rPr>
          <w:rFonts w:ascii="Times New Roman" w:hAnsi="Times New Roman" w:cs="Times New Roman"/>
          <w:b w:val="0"/>
          <w:szCs w:val="24"/>
        </w:rPr>
        <w:t>Poznámky  pod čiarou sú upravené v súlade s platnými právnymi normami.</w:t>
      </w:r>
    </w:p>
    <w:p>
      <w:pPr>
        <w:pStyle w:val="Title"/>
        <w:jc w:val="both"/>
        <w:rPr>
          <w:rFonts w:ascii="Times New Roman" w:hAnsi="Times New Roman" w:cs="Times New Roman"/>
          <w:b w:val="0"/>
          <w:szCs w:val="24"/>
        </w:rPr>
      </w:pPr>
    </w:p>
    <w:p>
      <w:pPr>
        <w:pStyle w:val="Title"/>
        <w:jc w:val="both"/>
        <w:rPr>
          <w:rFonts w:ascii="Times New Roman" w:hAnsi="Times New Roman" w:cs="Times New Roman"/>
          <w:b w:val="0"/>
          <w:szCs w:val="24"/>
        </w:rPr>
      </w:pPr>
    </w:p>
    <w:p>
      <w:pPr>
        <w:pStyle w:val="Title"/>
        <w:jc w:val="both"/>
        <w:rPr>
          <w:rFonts w:ascii="Times New Roman" w:hAnsi="Times New Roman" w:cs="Times New Roman"/>
          <w:szCs w:val="24"/>
        </w:rPr>
      </w:pPr>
      <w:r>
        <w:rPr>
          <w:rFonts w:ascii="Times New Roman" w:hAnsi="Times New Roman" w:cs="Times New Roman"/>
          <w:szCs w:val="24"/>
        </w:rPr>
        <w:t>K  bodu 3</w:t>
      </w:r>
    </w:p>
    <w:p>
      <w:pPr>
        <w:pStyle w:val="Title"/>
        <w:jc w:val="both"/>
        <w:rPr>
          <w:rFonts w:ascii="Times New Roman" w:hAnsi="Times New Roman" w:cs="Times New Roman"/>
          <w:b w:val="0"/>
          <w:szCs w:val="24"/>
        </w:rPr>
      </w:pPr>
    </w:p>
    <w:p>
      <w:pPr>
        <w:pStyle w:val="Title"/>
        <w:jc w:val="both"/>
        <w:rPr>
          <w:rFonts w:ascii="Times New Roman" w:hAnsi="Times New Roman" w:cs="Times New Roman"/>
          <w:b w:val="0"/>
          <w:szCs w:val="24"/>
        </w:rPr>
      </w:pPr>
      <w:r>
        <w:rPr>
          <w:rFonts w:ascii="Times New Roman" w:hAnsi="Times New Roman" w:cs="Times New Roman"/>
          <w:b w:val="0"/>
          <w:szCs w:val="24"/>
        </w:rPr>
        <w:tab/>
        <w:t xml:space="preserve">Takto upravený pojem umožní poisťovať aj niektoré tuzemské riziká. Výlučne sa bude jednať o tuzemské riziká vývozcov súvisiace s vývozom, ktorí predložia k poisteniu aj svoje vývozné portfólio.  Takto navrhnuté vymedzenie pojmu  tuzemského rizika vylúči samostatné poistenie tuzemského rizika a bude prístupné len pre vývozcov.   </w:t>
      </w:r>
    </w:p>
    <w:p>
      <w:pPr>
        <w:pStyle w:val="Title"/>
        <w:jc w:val="both"/>
        <w:rPr>
          <w:rFonts w:ascii="Times New Roman" w:hAnsi="Times New Roman" w:cs="Times New Roman"/>
          <w:b w:val="0"/>
          <w:szCs w:val="24"/>
        </w:rPr>
      </w:pPr>
    </w:p>
    <w:p>
      <w:pPr>
        <w:pStyle w:val="Title"/>
        <w:jc w:val="both"/>
        <w:rPr>
          <w:rFonts w:ascii="Times New Roman" w:hAnsi="Times New Roman" w:cs="Times New Roman"/>
          <w:b w:val="0"/>
          <w:szCs w:val="24"/>
        </w:rPr>
      </w:pPr>
    </w:p>
    <w:p>
      <w:pPr>
        <w:pStyle w:val="Title"/>
        <w:jc w:val="both"/>
        <w:rPr>
          <w:rFonts w:ascii="Times New Roman" w:hAnsi="Times New Roman" w:cs="Times New Roman"/>
          <w:szCs w:val="24"/>
        </w:rPr>
      </w:pPr>
      <w:r>
        <w:rPr>
          <w:rFonts w:ascii="Times New Roman" w:hAnsi="Times New Roman" w:cs="Times New Roman"/>
          <w:szCs w:val="24"/>
        </w:rPr>
        <w:t>K  bodu 4</w:t>
      </w:r>
    </w:p>
    <w:p>
      <w:pPr>
        <w:pStyle w:val="Title"/>
        <w:jc w:val="both"/>
        <w:rPr>
          <w:rFonts w:ascii="Times New Roman" w:hAnsi="Times New Roman" w:cs="Times New Roman"/>
          <w:szCs w:val="24"/>
        </w:rPr>
      </w:pPr>
    </w:p>
    <w:p>
      <w:pPr>
        <w:ind w:firstLine="708"/>
        <w:jc w:val="both"/>
        <w:rPr>
          <w:rFonts w:ascii="Times New Roman" w:hAnsi="Times New Roman" w:cs="Times New Roman"/>
          <w:noProof/>
          <w:szCs w:val="24"/>
        </w:rPr>
      </w:pPr>
      <w:r>
        <w:rPr>
          <w:rFonts w:ascii="Times New Roman" w:hAnsi="Times New Roman" w:cs="Times New Roman"/>
          <w:noProof/>
          <w:szCs w:val="24"/>
        </w:rPr>
        <w:t>Ide o pojmy, ktorých obsah nie je všeobecne známy, alebo majú  v tomto zákone  špecifický význam. V záujme transparentnosti  podpory  vývozu pri poisťovaní obchodovateľných a neobchodovateľných rizík   sa finančné toky súvisiace s touto činnosťou evidujú samostatne  a oddelene. Obchodovateľné riziká (komerčné, komerčné s politickým  pripoistením, politické) sú kryté z vlastných zdrojov. Neobchodovateľné riziká (krátkodobé politické, strednodobé a dlhodobé politické a  komerčné) sú kryté zo zverených štátnych zdrojov.</w:t>
      </w:r>
    </w:p>
    <w:p>
      <w:pPr>
        <w:pStyle w:val="Title"/>
        <w:jc w:val="both"/>
        <w:rPr>
          <w:rFonts w:ascii="Times New Roman" w:hAnsi="Times New Roman" w:cs="Times New Roman"/>
          <w:szCs w:val="24"/>
        </w:rPr>
      </w:pPr>
    </w:p>
    <w:p>
      <w:pPr>
        <w:pStyle w:val="Title"/>
        <w:jc w:val="both"/>
        <w:rPr>
          <w:rFonts w:ascii="Times New Roman" w:hAnsi="Times New Roman" w:cs="Times New Roman"/>
          <w:szCs w:val="24"/>
        </w:rPr>
      </w:pPr>
      <w:r>
        <w:rPr>
          <w:rFonts w:ascii="Times New Roman" w:hAnsi="Times New Roman" w:cs="Times New Roman"/>
          <w:szCs w:val="24"/>
        </w:rPr>
        <w:t>K bodu 6</w:t>
      </w:r>
    </w:p>
    <w:p>
      <w:pPr>
        <w:pStyle w:val="Title"/>
        <w:jc w:val="both"/>
        <w:rPr>
          <w:rFonts w:ascii="Times New Roman" w:hAnsi="Times New Roman" w:cs="Times New Roman"/>
          <w:b w:val="0"/>
          <w:bCs/>
          <w:szCs w:val="24"/>
        </w:rPr>
      </w:pPr>
    </w:p>
    <w:p>
      <w:pPr>
        <w:pStyle w:val="Title"/>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b w:val="0"/>
          <w:bCs/>
          <w:szCs w:val="24"/>
        </w:rPr>
        <w:t>Navrhovanou zmenou sa rozširuje právomoc Rady banky, ktorá v súvislosti s novým § 30b bude schvaľovať pravidlá tvorby a použitia rezerv.</w:t>
      </w:r>
    </w:p>
    <w:p>
      <w:pPr>
        <w:pStyle w:val="Title"/>
        <w:jc w:val="both"/>
        <w:rPr>
          <w:rFonts w:ascii="Times New Roman" w:hAnsi="Times New Roman" w:cs="Times New Roman"/>
          <w:szCs w:val="24"/>
        </w:rPr>
      </w:pPr>
    </w:p>
    <w:p>
      <w:pPr>
        <w:pStyle w:val="Title"/>
        <w:jc w:val="both"/>
        <w:rPr>
          <w:rFonts w:ascii="Times New Roman" w:hAnsi="Times New Roman" w:cs="Times New Roman"/>
          <w:szCs w:val="24"/>
        </w:rPr>
      </w:pPr>
      <w:r>
        <w:rPr>
          <w:rFonts w:ascii="Times New Roman" w:hAnsi="Times New Roman" w:cs="Times New Roman"/>
          <w:szCs w:val="24"/>
        </w:rPr>
        <w:t>K  bodu 7</w:t>
      </w:r>
    </w:p>
    <w:p>
      <w:pPr>
        <w:pStyle w:val="Title"/>
        <w:jc w:val="both"/>
        <w:rPr>
          <w:rFonts w:ascii="Times New Roman" w:hAnsi="Times New Roman" w:cs="Times New Roman"/>
          <w:szCs w:val="24"/>
        </w:rPr>
      </w:pPr>
    </w:p>
    <w:p>
      <w:pPr>
        <w:pStyle w:val="Title"/>
        <w:jc w:val="both"/>
        <w:rPr>
          <w:rFonts w:ascii="Times New Roman" w:hAnsi="Times New Roman" w:cs="Times New Roman"/>
          <w:b w:val="0"/>
          <w:bCs/>
          <w:szCs w:val="24"/>
        </w:rPr>
      </w:pPr>
      <w:r>
        <w:rPr>
          <w:rFonts w:ascii="Times New Roman" w:hAnsi="Times New Roman" w:cs="Times New Roman"/>
          <w:szCs w:val="24"/>
        </w:rPr>
        <w:tab/>
      </w:r>
      <w:r>
        <w:rPr>
          <w:rFonts w:ascii="Times New Roman" w:hAnsi="Times New Roman" w:cs="Times New Roman"/>
          <w:b w:val="0"/>
          <w:bCs/>
          <w:szCs w:val="24"/>
        </w:rPr>
        <w:t>Za účelom zosúladenia zákona so smernicami rady sa navrhuje  schvaľovanie podmienok úverového poistenia Eximbanky Radou banky po dohode s ministerstvom.</w:t>
      </w:r>
    </w:p>
    <w:p>
      <w:pPr>
        <w:pStyle w:val="Title"/>
        <w:jc w:val="both"/>
        <w:rPr>
          <w:rFonts w:ascii="Times New Roman" w:hAnsi="Times New Roman" w:cs="Times New Roman"/>
          <w:b w:val="0"/>
          <w:bCs/>
          <w:szCs w:val="24"/>
        </w:rPr>
      </w:pPr>
    </w:p>
    <w:p>
      <w:pPr>
        <w:pStyle w:val="Title"/>
        <w:jc w:val="both"/>
        <w:rPr>
          <w:rFonts w:ascii="Times New Roman" w:hAnsi="Times New Roman" w:cs="Times New Roman"/>
          <w:b w:val="0"/>
          <w:bCs/>
          <w:szCs w:val="24"/>
        </w:rPr>
      </w:pPr>
    </w:p>
    <w:p>
      <w:pPr>
        <w:pStyle w:val="Title"/>
        <w:jc w:val="both"/>
        <w:rPr>
          <w:rFonts w:ascii="Times New Roman" w:hAnsi="Times New Roman" w:cs="Times New Roman"/>
          <w:b w:val="0"/>
          <w:bCs/>
          <w:szCs w:val="24"/>
        </w:rPr>
      </w:pPr>
    </w:p>
    <w:p>
      <w:pPr>
        <w:pStyle w:val="Title"/>
        <w:jc w:val="both"/>
        <w:rPr>
          <w:rFonts w:ascii="Times New Roman" w:hAnsi="Times New Roman" w:cs="Times New Roman"/>
          <w:b w:val="0"/>
          <w:bCs/>
          <w:szCs w:val="24"/>
        </w:rPr>
      </w:pPr>
    </w:p>
    <w:p>
      <w:pPr>
        <w:pStyle w:val="Title"/>
        <w:jc w:val="both"/>
        <w:rPr>
          <w:rFonts w:ascii="Times New Roman" w:hAnsi="Times New Roman" w:cs="Times New Roman"/>
          <w:b w:val="0"/>
          <w:bCs/>
          <w:szCs w:val="24"/>
        </w:rPr>
      </w:pPr>
    </w:p>
    <w:p>
      <w:pPr>
        <w:pStyle w:val="Title"/>
        <w:jc w:val="both"/>
        <w:rPr>
          <w:rFonts w:cs="Times New Roman"/>
        </w:rPr>
      </w:pPr>
      <w:r>
        <w:rPr>
          <w:rFonts w:cs="Times New Roman"/>
        </w:rPr>
        <w:t>K bodu 8</w:t>
      </w:r>
    </w:p>
    <w:p>
      <w:pPr>
        <w:pStyle w:val="Title"/>
        <w:jc w:val="both"/>
        <w:rPr>
          <w:rFonts w:cs="Times New Roman"/>
        </w:rPr>
      </w:pPr>
    </w:p>
    <w:p>
      <w:pPr>
        <w:pStyle w:val="Title"/>
        <w:ind w:firstLine="708"/>
        <w:jc w:val="both"/>
        <w:rPr>
          <w:rFonts w:cs="Times New Roman"/>
          <w:b w:val="0"/>
          <w:bCs/>
        </w:rPr>
      </w:pPr>
      <w:r>
        <w:rPr>
          <w:rFonts w:cs="Times New Roman"/>
          <w:b w:val="0"/>
          <w:bCs/>
        </w:rPr>
        <w:t xml:space="preserve">Nová právna úprava umožní, aby generálny riaditeľ (predtým guvernér) a  námestníci generálneho riaditeľa (predtým viceguvernéri) boli vymenovaní do svojej funkcie na šesťročné obdobie a ďalší členovia Rady banky na trojročné funkčné obdobie, a to aj v prípade, ak sa uvoľnia tieto funkcie pred skončením funkčného obdobia svojich predchodcov. </w:t>
      </w:r>
    </w:p>
    <w:p>
      <w:pPr>
        <w:pStyle w:val="Title"/>
        <w:jc w:val="both"/>
        <w:rPr>
          <w:rFonts w:ascii="Times New Roman" w:hAnsi="Times New Roman" w:cs="Times New Roman"/>
          <w:b w:val="0"/>
          <w:bCs/>
          <w:noProof/>
          <w:szCs w:val="24"/>
        </w:rPr>
      </w:pPr>
    </w:p>
    <w:p>
      <w:pPr>
        <w:pStyle w:val="Title"/>
        <w:jc w:val="both"/>
        <w:rPr>
          <w:rFonts w:ascii="Times New Roman" w:hAnsi="Times New Roman" w:cs="Times New Roman"/>
          <w:szCs w:val="24"/>
        </w:rPr>
      </w:pPr>
    </w:p>
    <w:p>
      <w:pPr>
        <w:pStyle w:val="Title"/>
        <w:jc w:val="both"/>
        <w:rPr>
          <w:rFonts w:ascii="Times New Roman" w:hAnsi="Times New Roman" w:cs="Times New Roman"/>
          <w:szCs w:val="24"/>
        </w:rPr>
      </w:pPr>
      <w:r>
        <w:rPr>
          <w:rFonts w:ascii="Times New Roman" w:hAnsi="Times New Roman" w:cs="Times New Roman"/>
          <w:szCs w:val="24"/>
        </w:rPr>
        <w:t>K  bodu 10</w:t>
      </w:r>
    </w:p>
    <w:p>
      <w:pPr>
        <w:pStyle w:val="Title"/>
        <w:jc w:val="both"/>
        <w:rPr>
          <w:rFonts w:ascii="Times New Roman" w:hAnsi="Times New Roman" w:cs="Times New Roman"/>
          <w:szCs w:val="24"/>
        </w:rPr>
      </w:pPr>
    </w:p>
    <w:p>
      <w:pPr>
        <w:pStyle w:val="Title"/>
        <w:jc w:val="both"/>
        <w:rPr>
          <w:rFonts w:ascii="Times New Roman" w:hAnsi="Times New Roman" w:cs="Times New Roman"/>
          <w:b w:val="0"/>
          <w:szCs w:val="24"/>
        </w:rPr>
      </w:pPr>
      <w:r>
        <w:rPr>
          <w:rFonts w:ascii="Times New Roman" w:hAnsi="Times New Roman" w:cs="Times New Roman"/>
          <w:szCs w:val="24"/>
        </w:rPr>
        <w:tab/>
      </w:r>
      <w:r>
        <w:rPr>
          <w:rFonts w:ascii="Times New Roman" w:hAnsi="Times New Roman" w:cs="Times New Roman"/>
          <w:b w:val="0"/>
          <w:szCs w:val="24"/>
        </w:rPr>
        <w:t>Na základe podnetu Národnej banky Slovenska sa navrhuje  vypustiť ustanovenie o predkladaní údajov pre zabezpečenie jej informačných povinností smerom k zahraničiu z dôvodu nevyužívania týchto informácií.</w:t>
      </w:r>
    </w:p>
    <w:p>
      <w:pPr>
        <w:pStyle w:val="Title"/>
        <w:jc w:val="both"/>
        <w:rPr>
          <w:rFonts w:ascii="Times New Roman" w:hAnsi="Times New Roman" w:cs="Times New Roman"/>
          <w:szCs w:val="24"/>
        </w:rPr>
      </w:pPr>
    </w:p>
    <w:p>
      <w:pPr>
        <w:pStyle w:val="Title"/>
        <w:jc w:val="both"/>
        <w:rPr>
          <w:rFonts w:ascii="Times New Roman" w:hAnsi="Times New Roman" w:cs="Times New Roman"/>
          <w:szCs w:val="24"/>
        </w:rPr>
      </w:pPr>
    </w:p>
    <w:p>
      <w:pPr>
        <w:pStyle w:val="Title"/>
        <w:jc w:val="both"/>
        <w:rPr>
          <w:rFonts w:ascii="Times New Roman" w:hAnsi="Times New Roman" w:cs="Times New Roman"/>
          <w:szCs w:val="24"/>
        </w:rPr>
      </w:pPr>
      <w:r>
        <w:rPr>
          <w:rFonts w:ascii="Times New Roman" w:hAnsi="Times New Roman" w:cs="Times New Roman"/>
          <w:szCs w:val="24"/>
        </w:rPr>
        <w:t>K bodu 11 a 13</w:t>
      </w:r>
    </w:p>
    <w:p>
      <w:pPr>
        <w:pStyle w:val="Title"/>
        <w:jc w:val="both"/>
        <w:rPr>
          <w:rFonts w:ascii="Times New Roman" w:hAnsi="Times New Roman" w:cs="Times New Roman"/>
          <w:szCs w:val="24"/>
        </w:rPr>
      </w:pPr>
    </w:p>
    <w:p>
      <w:pPr>
        <w:pStyle w:val="Title"/>
        <w:jc w:val="both"/>
        <w:rPr>
          <w:rFonts w:ascii="Times New Roman" w:hAnsi="Times New Roman" w:cs="Times New Roman"/>
          <w:b w:val="0"/>
          <w:bCs/>
          <w:szCs w:val="24"/>
        </w:rPr>
      </w:pPr>
      <w:r>
        <w:rPr>
          <w:rFonts w:ascii="Times New Roman" w:hAnsi="Times New Roman" w:cs="Times New Roman"/>
          <w:szCs w:val="24"/>
        </w:rPr>
        <w:tab/>
      </w:r>
      <w:r>
        <w:rPr>
          <w:rFonts w:ascii="Times New Roman" w:hAnsi="Times New Roman" w:cs="Times New Roman"/>
          <w:b w:val="0"/>
          <w:bCs/>
          <w:szCs w:val="24"/>
        </w:rPr>
        <w:t>Pri poisťovaní a zaisťovaní vývozných úverov sa bude Eximbanka riadiť podmienkami úverového poistenia schválenými Radou banky po dohode s ministerstvom. Úprava nadväzuje na bod 7.</w:t>
      </w:r>
    </w:p>
    <w:p>
      <w:pPr>
        <w:pStyle w:val="Title"/>
        <w:jc w:val="both"/>
        <w:rPr>
          <w:rFonts w:ascii="Times New Roman" w:hAnsi="Times New Roman" w:cs="Times New Roman"/>
          <w:b w:val="0"/>
          <w:bCs/>
          <w:szCs w:val="24"/>
        </w:rPr>
      </w:pPr>
    </w:p>
    <w:p>
      <w:pPr>
        <w:pStyle w:val="Title"/>
        <w:jc w:val="both"/>
        <w:rPr>
          <w:rFonts w:ascii="Times New Roman" w:hAnsi="Times New Roman" w:cs="Times New Roman"/>
          <w:b w:val="0"/>
          <w:bCs/>
          <w:szCs w:val="24"/>
        </w:rPr>
      </w:pPr>
      <w:r>
        <w:rPr>
          <w:rFonts w:ascii="Times New Roman" w:hAnsi="Times New Roman" w:cs="Times New Roman"/>
          <w:szCs w:val="24"/>
        </w:rPr>
        <w:tab/>
      </w:r>
    </w:p>
    <w:p>
      <w:pPr>
        <w:pStyle w:val="Title"/>
        <w:jc w:val="both"/>
        <w:rPr>
          <w:rFonts w:ascii="Times New Roman" w:hAnsi="Times New Roman" w:cs="Times New Roman"/>
          <w:szCs w:val="24"/>
        </w:rPr>
      </w:pPr>
      <w:r>
        <w:rPr>
          <w:rFonts w:ascii="Times New Roman" w:hAnsi="Times New Roman" w:cs="Times New Roman"/>
          <w:szCs w:val="24"/>
        </w:rPr>
        <w:t>K</w:t>
      </w:r>
      <w:r>
        <w:rPr>
          <w:rFonts w:ascii="Times New Roman" w:hAnsi="Times New Roman" w:cs="Times New Roman"/>
          <w:szCs w:val="24"/>
        </w:rPr>
        <w:t> bodu 12</w:t>
      </w:r>
    </w:p>
    <w:p>
      <w:pPr>
        <w:pStyle w:val="Title"/>
        <w:jc w:val="both"/>
        <w:rPr>
          <w:rFonts w:ascii="Times New Roman" w:hAnsi="Times New Roman" w:cs="Times New Roman"/>
          <w:b w:val="0"/>
          <w:bCs/>
          <w:i/>
          <w:szCs w:val="24"/>
        </w:rPr>
      </w:pPr>
    </w:p>
    <w:p>
      <w:pPr>
        <w:pStyle w:val="BodyText"/>
        <w:ind w:firstLine="708"/>
        <w:rPr>
          <w:rFonts w:ascii="Times New Roman" w:hAnsi="Times New Roman" w:cs="Times New Roman"/>
          <w:szCs w:val="24"/>
        </w:rPr>
      </w:pPr>
      <w:r>
        <w:rPr>
          <w:rFonts w:ascii="Times New Roman" w:hAnsi="Times New Roman" w:cs="Times New Roman"/>
          <w:szCs w:val="24"/>
        </w:rPr>
        <w:t>Nové znenie umožní vykonávať zaistenie obchodovateľných rizík v plnom rozsahu.</w:t>
      </w:r>
    </w:p>
    <w:p>
      <w:pPr>
        <w:pStyle w:val="BodyText"/>
        <w:rPr>
          <w:rFonts w:ascii="Times New Roman" w:hAnsi="Times New Roman" w:cs="Times New Roman"/>
          <w:szCs w:val="24"/>
        </w:rPr>
      </w:pPr>
    </w:p>
    <w:p>
      <w:pPr>
        <w:pStyle w:val="BodyText"/>
        <w:rPr>
          <w:rFonts w:ascii="Times New Roman" w:hAnsi="Times New Roman" w:cs="Times New Roman"/>
          <w:b/>
          <w:szCs w:val="24"/>
        </w:rPr>
      </w:pPr>
    </w:p>
    <w:p>
      <w:pPr>
        <w:pStyle w:val="BodyText"/>
        <w:rPr>
          <w:rFonts w:ascii="Times New Roman" w:hAnsi="Times New Roman" w:cs="Times New Roman"/>
          <w:b/>
          <w:szCs w:val="24"/>
        </w:rPr>
      </w:pPr>
      <w:r>
        <w:rPr>
          <w:rFonts w:ascii="Times New Roman" w:hAnsi="Times New Roman" w:cs="Times New Roman"/>
          <w:b/>
          <w:szCs w:val="24"/>
        </w:rPr>
        <w:t>K  bodom 15 a 16</w:t>
      </w:r>
    </w:p>
    <w:p>
      <w:pPr>
        <w:pStyle w:val="BodyText"/>
        <w:rPr>
          <w:rFonts w:ascii="Times New Roman" w:hAnsi="Times New Roman" w:cs="Times New Roman"/>
          <w:b/>
          <w:szCs w:val="24"/>
        </w:rPr>
      </w:pPr>
    </w:p>
    <w:p>
      <w:pPr>
        <w:pStyle w:val="BodyText"/>
        <w:rPr>
          <w:rFonts w:ascii="Times New Roman" w:hAnsi="Times New Roman" w:cs="Times New Roman"/>
          <w:szCs w:val="24"/>
        </w:rPr>
      </w:pPr>
      <w:r>
        <w:rPr>
          <w:rFonts w:ascii="Times New Roman" w:hAnsi="Times New Roman" w:cs="Times New Roman"/>
          <w:b/>
          <w:szCs w:val="24"/>
        </w:rPr>
        <w:tab/>
      </w:r>
      <w:r>
        <w:rPr>
          <w:rFonts w:ascii="Times New Roman" w:hAnsi="Times New Roman" w:cs="Times New Roman"/>
          <w:szCs w:val="24"/>
        </w:rPr>
        <w:t>Znenie sa upravuje v dôsledku vypustenia odkazov, nakoľko zákonom č. 442/2000 Z.z., ktorým sa menil a dopĺňal zákon č. 202/1995 Z.z. Devízový zákon a zákon, ktorým sa mení a dopĺňa zákon Slovenskej národnej rady č. 372/1990 Zb. o priestupkoch v znení neskorších predpisov, v znení neskorších predpisov boli s účinnosťou od 1.1.2001 paragrafy 17 a 18 zrušené.</w:t>
      </w:r>
    </w:p>
    <w:p>
      <w:pPr>
        <w:pStyle w:val="Title"/>
        <w:jc w:val="both"/>
        <w:rPr>
          <w:rFonts w:ascii="Times New Roman" w:hAnsi="Times New Roman" w:cs="Times New Roman"/>
          <w:b w:val="0"/>
          <w:i/>
          <w:szCs w:val="24"/>
        </w:rPr>
      </w:pPr>
    </w:p>
    <w:p>
      <w:pPr>
        <w:pStyle w:val="Title"/>
        <w:jc w:val="both"/>
        <w:rPr>
          <w:rFonts w:ascii="Times New Roman" w:hAnsi="Times New Roman" w:cs="Times New Roman"/>
          <w:b w:val="0"/>
          <w:i/>
          <w:szCs w:val="24"/>
        </w:rPr>
      </w:pPr>
    </w:p>
    <w:p>
      <w:pPr>
        <w:pStyle w:val="BodyText"/>
        <w:rPr>
          <w:rFonts w:ascii="Times New Roman" w:hAnsi="Times New Roman" w:cs="Times New Roman"/>
          <w:b/>
          <w:szCs w:val="24"/>
        </w:rPr>
      </w:pPr>
      <w:r>
        <w:rPr>
          <w:rFonts w:ascii="Times New Roman" w:hAnsi="Times New Roman" w:cs="Times New Roman"/>
          <w:b/>
          <w:szCs w:val="24"/>
        </w:rPr>
        <w:t>K bodu 17</w:t>
      </w:r>
    </w:p>
    <w:p>
      <w:pPr>
        <w:pStyle w:val="BodyText3"/>
        <w:rPr>
          <w:rFonts w:ascii="Times New Roman" w:hAnsi="Times New Roman" w:cs="Times New Roman"/>
          <w:b/>
          <w:i w:val="0"/>
          <w:szCs w:val="24"/>
        </w:rPr>
      </w:pPr>
    </w:p>
    <w:p>
      <w:pPr>
        <w:pStyle w:val="BodyText3"/>
        <w:ind w:right="0"/>
        <w:rPr>
          <w:rFonts w:ascii="Times New Roman" w:hAnsi="Times New Roman" w:cs="Times New Roman"/>
          <w:i w:val="0"/>
          <w:szCs w:val="24"/>
        </w:rPr>
      </w:pPr>
      <w:r>
        <w:rPr>
          <w:rFonts w:ascii="Times New Roman" w:hAnsi="Times New Roman" w:cs="Times New Roman"/>
          <w:b/>
          <w:i w:val="0"/>
          <w:szCs w:val="24"/>
        </w:rPr>
        <w:tab/>
      </w:r>
      <w:r>
        <w:rPr>
          <w:rFonts w:ascii="Times New Roman" w:hAnsi="Times New Roman" w:cs="Times New Roman"/>
          <w:i w:val="0"/>
          <w:szCs w:val="24"/>
        </w:rPr>
        <w:t xml:space="preserve">Nakoľko Eximbanka SR nie je bankou ani poisťovňou podľa osobitného predpisu a nepodlieha priamej regulačnej pôsobnosti Národnej banky Slovenska a Úradu pre finančný trh, navrhuje sa z ich podnetu  nové znenie § 25. </w:t>
      </w:r>
    </w:p>
    <w:p>
      <w:pPr>
        <w:pStyle w:val="BodyText3"/>
        <w:rPr>
          <w:rFonts w:ascii="Times New Roman" w:hAnsi="Times New Roman" w:cs="Times New Roman"/>
          <w:i w:val="0"/>
          <w:szCs w:val="24"/>
        </w:rPr>
      </w:pPr>
    </w:p>
    <w:p>
      <w:pPr>
        <w:pStyle w:val="BodyText3"/>
        <w:rPr>
          <w:rFonts w:ascii="Times New Roman" w:hAnsi="Times New Roman" w:cs="Times New Roman"/>
          <w:i w:val="0"/>
          <w:szCs w:val="24"/>
        </w:rPr>
      </w:pPr>
    </w:p>
    <w:p>
      <w:pPr>
        <w:pStyle w:val="BodyText3"/>
        <w:rPr>
          <w:rFonts w:ascii="Times New Roman" w:hAnsi="Times New Roman" w:cs="Times New Roman"/>
          <w:b/>
          <w:i w:val="0"/>
          <w:szCs w:val="24"/>
        </w:rPr>
      </w:pPr>
      <w:r>
        <w:rPr>
          <w:rFonts w:ascii="Times New Roman" w:hAnsi="Times New Roman" w:cs="Times New Roman"/>
          <w:b/>
          <w:i w:val="0"/>
          <w:szCs w:val="24"/>
        </w:rPr>
        <w:t>K  bodom 18 a 19</w:t>
      </w:r>
    </w:p>
    <w:p>
      <w:pPr>
        <w:pStyle w:val="BodyText3"/>
        <w:ind w:right="0"/>
        <w:rPr>
          <w:rFonts w:ascii="Times New Roman" w:hAnsi="Times New Roman" w:cs="Times New Roman"/>
          <w:i w:val="0"/>
          <w:szCs w:val="24"/>
        </w:rPr>
      </w:pPr>
    </w:p>
    <w:p>
      <w:pPr>
        <w:pStyle w:val="BodyText3"/>
        <w:ind w:right="0" w:firstLine="708"/>
        <w:rPr>
          <w:rFonts w:cs="Times New Roman"/>
          <w:b/>
          <w:i w:val="0"/>
          <w:iCs/>
        </w:rPr>
      </w:pPr>
      <w:r>
        <w:rPr>
          <w:rFonts w:cs="Times New Roman"/>
          <w:i w:val="0"/>
          <w:iCs/>
        </w:rPr>
        <w:t xml:space="preserve">Takto zmenené názvy fondov umožnia ich zosúladenie s platnou legislatívou  Európskej komisie, ktorá vymedzuje  pojem  obchodovateľného a neobchodovateľného  rizika.  </w:t>
      </w:r>
    </w:p>
    <w:p>
      <w:pPr>
        <w:pStyle w:val="Title"/>
        <w:jc w:val="both"/>
        <w:rPr>
          <w:rFonts w:ascii="Times New Roman" w:hAnsi="Times New Roman" w:cs="Times New Roman"/>
          <w:b w:val="0"/>
          <w:iCs/>
          <w:szCs w:val="24"/>
        </w:rPr>
      </w:pPr>
    </w:p>
    <w:p>
      <w:pPr>
        <w:pStyle w:val="Title"/>
        <w:jc w:val="both"/>
        <w:rPr>
          <w:rFonts w:ascii="Times New Roman" w:hAnsi="Times New Roman" w:cs="Times New Roman"/>
          <w:szCs w:val="24"/>
        </w:rPr>
      </w:pPr>
      <w:r>
        <w:rPr>
          <w:rFonts w:ascii="Times New Roman" w:hAnsi="Times New Roman" w:cs="Times New Roman"/>
          <w:szCs w:val="24"/>
        </w:rPr>
        <w:t>K bodu 20</w:t>
      </w:r>
    </w:p>
    <w:p>
      <w:pPr>
        <w:pStyle w:val="Title"/>
        <w:jc w:val="both"/>
        <w:rPr>
          <w:rFonts w:ascii="Times New Roman" w:hAnsi="Times New Roman" w:cs="Times New Roman"/>
          <w:b w:val="0"/>
          <w:szCs w:val="24"/>
        </w:rPr>
      </w:pPr>
    </w:p>
    <w:p>
      <w:pPr>
        <w:pStyle w:val="Title"/>
        <w:ind w:firstLine="708"/>
        <w:jc w:val="both"/>
        <w:rPr>
          <w:rFonts w:ascii="Times New Roman" w:hAnsi="Times New Roman" w:cs="Times New Roman"/>
          <w:b w:val="0"/>
          <w:szCs w:val="24"/>
        </w:rPr>
      </w:pPr>
      <w:r>
        <w:rPr>
          <w:rFonts w:ascii="Times New Roman" w:hAnsi="Times New Roman" w:cs="Times New Roman"/>
          <w:b w:val="0"/>
          <w:szCs w:val="24"/>
        </w:rPr>
        <w:t xml:space="preserve">Zákon č. 595/2003 Z.z. o dani z príjmov v ustanovení § 20 ods. 8  uznáva za daňové výdavky rezervy vytvárané v poisťovníctve podľa osobitných predpisov. Týmto osobitným predpisom je aj zákon č. 80/1997 Z.z, o Exportno-importnej banke Slovenskej republiky, pričom však pre uznanie vytvorenej rezervy v poisťovníctve za daňový výdavok uznáva výšku rezervy na základe preukázaného výpočtu vyplývajúceho z objemu záväzkov daňovníka, vypočítanými metódami uvedenými v zákone. Navrhované ustanovenie vymedzuje jednotlivé typy rezerv v oblasti poisťovacích aktivít Eximbanky SR a metódy ich výpočtu.  </w:t>
      </w:r>
    </w:p>
    <w:p>
      <w:pPr>
        <w:pStyle w:val="Title"/>
        <w:jc w:val="both"/>
        <w:rPr>
          <w:rFonts w:ascii="Times New Roman" w:hAnsi="Times New Roman" w:cs="Times New Roman"/>
          <w:b w:val="0"/>
          <w:i/>
          <w:szCs w:val="24"/>
        </w:rPr>
      </w:pPr>
    </w:p>
    <w:p>
      <w:pPr>
        <w:pStyle w:val="Title"/>
        <w:jc w:val="both"/>
        <w:rPr>
          <w:rFonts w:ascii="Times New Roman" w:hAnsi="Times New Roman" w:cs="Times New Roman"/>
          <w:b w:val="0"/>
          <w:i/>
          <w:szCs w:val="24"/>
        </w:rPr>
      </w:pPr>
    </w:p>
    <w:p>
      <w:pPr>
        <w:pStyle w:val="Title"/>
        <w:jc w:val="both"/>
        <w:rPr>
          <w:rFonts w:ascii="Times New Roman" w:hAnsi="Times New Roman" w:cs="Times New Roman"/>
          <w:szCs w:val="24"/>
        </w:rPr>
      </w:pPr>
      <w:r>
        <w:rPr>
          <w:rFonts w:ascii="Times New Roman" w:hAnsi="Times New Roman" w:cs="Times New Roman"/>
          <w:szCs w:val="24"/>
        </w:rPr>
        <w:t xml:space="preserve">K bodu 23 </w:t>
      </w:r>
    </w:p>
    <w:p>
      <w:pPr>
        <w:pStyle w:val="Title"/>
        <w:jc w:val="both"/>
        <w:rPr>
          <w:rFonts w:ascii="Times New Roman" w:hAnsi="Times New Roman" w:cs="Times New Roman"/>
          <w:b w:val="0"/>
          <w:szCs w:val="24"/>
        </w:rPr>
      </w:pPr>
    </w:p>
    <w:p>
      <w:pPr>
        <w:pStyle w:val="Title"/>
        <w:ind w:firstLine="708"/>
        <w:jc w:val="both"/>
        <w:rPr>
          <w:rFonts w:ascii="Times New Roman" w:hAnsi="Times New Roman" w:cs="Times New Roman"/>
          <w:b w:val="0"/>
          <w:szCs w:val="24"/>
        </w:rPr>
      </w:pPr>
      <w:r>
        <w:rPr>
          <w:rFonts w:ascii="Times New Roman" w:hAnsi="Times New Roman" w:cs="Times New Roman"/>
          <w:b w:val="0"/>
          <w:szCs w:val="24"/>
        </w:rPr>
        <w:t xml:space="preserve">Úprava nadväzuje na  bod 17; zosúlaďuje  výkon štátneho dozoru  vo väzbe na vymedzenie pravidiel obozretného podnikania Eximbanky SR. </w:t>
      </w:r>
    </w:p>
    <w:p>
      <w:pPr>
        <w:pStyle w:val="Title"/>
        <w:jc w:val="both"/>
        <w:rPr>
          <w:rFonts w:ascii="Times New Roman" w:hAnsi="Times New Roman" w:cs="Times New Roman"/>
          <w:szCs w:val="24"/>
        </w:rPr>
      </w:pPr>
    </w:p>
    <w:p>
      <w:pPr>
        <w:pStyle w:val="Title"/>
        <w:jc w:val="both"/>
        <w:rPr>
          <w:rFonts w:ascii="Times New Roman" w:hAnsi="Times New Roman" w:cs="Times New Roman"/>
          <w:szCs w:val="24"/>
        </w:rPr>
      </w:pPr>
    </w:p>
    <w:p>
      <w:pPr>
        <w:pStyle w:val="Title"/>
        <w:jc w:val="both"/>
        <w:rPr>
          <w:rFonts w:ascii="Times New Roman" w:hAnsi="Times New Roman" w:cs="Times New Roman"/>
          <w:szCs w:val="24"/>
        </w:rPr>
      </w:pPr>
      <w:r>
        <w:rPr>
          <w:rFonts w:ascii="Times New Roman" w:hAnsi="Times New Roman" w:cs="Times New Roman"/>
          <w:szCs w:val="24"/>
        </w:rPr>
        <w:t>K bodom 24 a 25</w:t>
      </w:r>
    </w:p>
    <w:p>
      <w:pPr>
        <w:pStyle w:val="Title"/>
        <w:jc w:val="both"/>
        <w:rPr>
          <w:rFonts w:ascii="Times New Roman" w:hAnsi="Times New Roman" w:cs="Times New Roman"/>
          <w:szCs w:val="24"/>
        </w:rPr>
      </w:pPr>
    </w:p>
    <w:p>
      <w:pPr>
        <w:ind w:firstLine="708"/>
        <w:jc w:val="both"/>
        <w:rPr>
          <w:rFonts w:ascii="Times New Roman" w:hAnsi="Times New Roman" w:cs="Times New Roman"/>
          <w:szCs w:val="24"/>
        </w:rPr>
      </w:pPr>
      <w:r>
        <w:rPr>
          <w:rFonts w:ascii="Times New Roman" w:hAnsi="Times New Roman" w:cs="Times New Roman"/>
          <w:szCs w:val="24"/>
        </w:rPr>
        <w:t xml:space="preserve">Nové ustanovenia umožnia  Eximbanke poskytovať informácie partnerským inštitúciám, s ktorými má uzatvorené zmluvy, týkajúce sa poistenia, zaistenia alebo financovania. Vzhľadom na dôležitosť uplatňovania transparentnosti, vyplývajúcej z medzinárodných záväzkov, podľa expertov EK,  pôvodné ustanovenia sa zdajú príliš obmedzujúce, nakoľko niektoré notifikácie OECD a EÚ vyžadujú poskytnutie veľmi podrobných informácií. </w:t>
      </w:r>
    </w:p>
    <w:p>
      <w:pPr>
        <w:jc w:val="both"/>
        <w:rPr>
          <w:rFonts w:ascii="Times New Roman" w:hAnsi="Times New Roman" w:cs="Times New Roman"/>
          <w:szCs w:val="24"/>
        </w:rPr>
      </w:pPr>
    </w:p>
    <w:p>
      <w:pPr>
        <w:ind w:firstLine="708"/>
        <w:jc w:val="both"/>
        <w:rPr>
          <w:rFonts w:ascii="Times New Roman" w:hAnsi="Times New Roman" w:cs="Times New Roman"/>
          <w:szCs w:val="24"/>
        </w:rPr>
      </w:pPr>
    </w:p>
    <w:p>
      <w:pPr>
        <w:jc w:val="both"/>
        <w:rPr>
          <w:rFonts w:ascii="Times New Roman" w:hAnsi="Times New Roman" w:cs="Times New Roman"/>
          <w:b/>
          <w:szCs w:val="24"/>
        </w:rPr>
      </w:pPr>
      <w:r>
        <w:rPr>
          <w:rFonts w:ascii="Times New Roman" w:hAnsi="Times New Roman" w:cs="Times New Roman"/>
          <w:b/>
          <w:szCs w:val="24"/>
        </w:rPr>
        <w:t>K bodu 27</w:t>
      </w:r>
    </w:p>
    <w:p>
      <w:pPr>
        <w:jc w:val="both"/>
        <w:rPr>
          <w:rFonts w:ascii="Times New Roman" w:hAnsi="Times New Roman" w:cs="Times New Roman"/>
          <w:b/>
          <w:szCs w:val="24"/>
        </w:rPr>
      </w:pPr>
    </w:p>
    <w:p>
      <w:pPr>
        <w:jc w:val="both"/>
        <w:rPr>
          <w:rFonts w:ascii="Times New Roman" w:hAnsi="Times New Roman" w:cs="Times New Roman"/>
          <w:bCs/>
          <w:szCs w:val="24"/>
        </w:rPr>
      </w:pPr>
      <w:r>
        <w:rPr>
          <w:rFonts w:ascii="Times New Roman" w:hAnsi="Times New Roman" w:cs="Times New Roman"/>
          <w:b/>
          <w:szCs w:val="24"/>
        </w:rPr>
        <w:tab/>
      </w:r>
      <w:r>
        <w:rPr>
          <w:rFonts w:ascii="Times New Roman" w:hAnsi="Times New Roman" w:cs="Times New Roman"/>
          <w:bCs/>
          <w:szCs w:val="24"/>
        </w:rPr>
        <w:t>Do návrhu zákona sa vkladá transpozičný odkaz a transpozičná príloha.</w:t>
      </w:r>
    </w:p>
    <w:p>
      <w:pPr>
        <w:pStyle w:val="Heading5"/>
        <w:tabs>
          <w:tab w:val="clear" w:pos="993"/>
        </w:tabs>
        <w:rPr>
          <w:rFonts w:ascii="Times New Roman" w:hAnsi="Times New Roman" w:cs="Times New Roman"/>
          <w:szCs w:val="24"/>
        </w:rPr>
      </w:pPr>
    </w:p>
    <w:p>
      <w:pPr>
        <w:pStyle w:val="Heading5"/>
        <w:tabs>
          <w:tab w:val="clear" w:pos="993"/>
        </w:tabs>
        <w:rPr>
          <w:rFonts w:ascii="Times New Roman" w:hAnsi="Times New Roman" w:cs="Times New Roman"/>
          <w:szCs w:val="24"/>
        </w:rPr>
      </w:pPr>
    </w:p>
    <w:p>
      <w:pPr>
        <w:pStyle w:val="Heading5"/>
        <w:tabs>
          <w:tab w:val="clear" w:pos="993"/>
        </w:tabs>
        <w:rPr>
          <w:rFonts w:ascii="Times New Roman" w:hAnsi="Times New Roman" w:cs="Times New Roman"/>
          <w:szCs w:val="24"/>
        </w:rPr>
      </w:pPr>
      <w:r>
        <w:rPr>
          <w:rFonts w:ascii="Times New Roman" w:hAnsi="Times New Roman" w:cs="Times New Roman"/>
          <w:szCs w:val="24"/>
        </w:rPr>
        <w:t>K bodu 28</w:t>
      </w:r>
    </w:p>
    <w:p>
      <w:pPr>
        <w:jc w:val="both"/>
        <w:rPr>
          <w:rFonts w:ascii="Times New Roman" w:hAnsi="Times New Roman" w:cs="Times New Roman"/>
          <w:bCs/>
          <w:szCs w:val="24"/>
        </w:rPr>
      </w:pPr>
    </w:p>
    <w:p>
      <w:pPr>
        <w:ind w:firstLine="708"/>
        <w:jc w:val="both"/>
        <w:rPr>
          <w:rFonts w:ascii="Times New Roman" w:hAnsi="Times New Roman" w:cs="Times New Roman"/>
          <w:szCs w:val="24"/>
        </w:rPr>
      </w:pPr>
      <w:r>
        <w:rPr>
          <w:rFonts w:ascii="Times New Roman" w:hAnsi="Times New Roman" w:cs="Times New Roman"/>
          <w:szCs w:val="24"/>
        </w:rPr>
        <w:t xml:space="preserve"> V súvislosti so  zmenou súčasného označenia</w:t>
      </w:r>
      <w:r>
        <w:rPr>
          <w:rFonts w:ascii="Times New Roman" w:hAnsi="Times New Roman" w:cs="Times New Roman"/>
          <w:b/>
          <w:szCs w:val="24"/>
        </w:rPr>
        <w:t xml:space="preserve"> </w:t>
      </w:r>
      <w:r>
        <w:rPr>
          <w:rFonts w:ascii="Times New Roman" w:hAnsi="Times New Roman" w:cs="Times New Roman"/>
          <w:szCs w:val="24"/>
        </w:rPr>
        <w:t>funkcií členov Rady banky sa</w:t>
      </w:r>
      <w:r>
        <w:rPr>
          <w:rFonts w:ascii="Times New Roman" w:hAnsi="Times New Roman" w:cs="Times New Roman"/>
          <w:b/>
          <w:szCs w:val="24"/>
        </w:rPr>
        <w:t xml:space="preserve"> </w:t>
      </w:r>
      <w:r>
        <w:rPr>
          <w:rFonts w:ascii="Times New Roman" w:hAnsi="Times New Roman" w:cs="Times New Roman"/>
          <w:szCs w:val="24"/>
        </w:rPr>
        <w:t xml:space="preserve">navrhuje upraviť prechodné obdobie tak aby ich funkčné obdobie trvalo do termínu prvého vymenovania členov Rady banky s novým označením. </w:t>
      </w:r>
    </w:p>
    <w:p>
      <w:pPr>
        <w:jc w:val="both"/>
        <w:rPr>
          <w:rFonts w:ascii="Times New Roman" w:hAnsi="Times New Roman" w:cs="Times New Roman"/>
          <w:szCs w:val="24"/>
        </w:rPr>
      </w:pPr>
    </w:p>
    <w:p>
      <w:pPr>
        <w:ind w:firstLine="708"/>
        <w:jc w:val="both"/>
        <w:rPr>
          <w:rFonts w:ascii="Times New Roman" w:hAnsi="Times New Roman" w:cs="Times New Roman"/>
          <w:szCs w:val="24"/>
        </w:rPr>
      </w:pPr>
      <w:r>
        <w:rPr>
          <w:rFonts w:ascii="Times New Roman" w:hAnsi="Times New Roman" w:cs="Times New Roman"/>
          <w:szCs w:val="24"/>
        </w:rPr>
        <w:t>Pre plynulé zabezpečenie poisťovania a zaisťovania vývozných úverov sa navrhuje  prechodné obdobie do vydania nových podmienok úverového poistenia.</w:t>
      </w:r>
    </w:p>
    <w:p>
      <w:pPr>
        <w:ind w:firstLine="708"/>
        <w:jc w:val="both"/>
        <w:rPr>
          <w:rFonts w:ascii="Times New Roman" w:hAnsi="Times New Roman" w:cs="Times New Roman"/>
          <w:szCs w:val="24"/>
        </w:rPr>
      </w:pPr>
    </w:p>
    <w:p>
      <w:pPr>
        <w:ind w:firstLine="708"/>
        <w:jc w:val="both"/>
        <w:rPr>
          <w:rFonts w:ascii="Times New Roman" w:hAnsi="Times New Roman" w:cs="Times New Roman"/>
          <w:szCs w:val="24"/>
        </w:rPr>
      </w:pPr>
      <w:r>
        <w:rPr>
          <w:rFonts w:ascii="Times New Roman" w:hAnsi="Times New Roman" w:cs="Times New Roman"/>
          <w:szCs w:val="24"/>
        </w:rPr>
        <w:t>Prechodné ustanovenie pri tvorbe a použití rezerv súvisí s úpravou uvedenou v bode 20,  z dôvodu jednotného postupu pri tvorbe rezerv v roku 2004.</w:t>
      </w:r>
    </w:p>
    <w:p>
      <w:pPr>
        <w:ind w:firstLine="708"/>
        <w:jc w:val="both"/>
        <w:rPr>
          <w:rFonts w:ascii="Times New Roman" w:hAnsi="Times New Roman" w:cs="Times New Roman"/>
          <w:b/>
          <w:szCs w:val="24"/>
        </w:rPr>
      </w:pPr>
    </w:p>
    <w:p>
      <w:pPr>
        <w:pStyle w:val="Heading5"/>
        <w:tabs>
          <w:tab w:val="clear" w:pos="993"/>
        </w:tabs>
        <w:rPr>
          <w:rFonts w:ascii="Times New Roman" w:hAnsi="Times New Roman" w:cs="Times New Roman"/>
          <w:szCs w:val="24"/>
        </w:rPr>
      </w:pPr>
    </w:p>
    <w:p>
      <w:pPr>
        <w:pStyle w:val="Heading5"/>
        <w:tabs>
          <w:tab w:val="clear" w:pos="993"/>
        </w:tabs>
        <w:rPr>
          <w:rFonts w:ascii="Times New Roman" w:hAnsi="Times New Roman" w:cs="Times New Roman"/>
          <w:szCs w:val="24"/>
        </w:rPr>
      </w:pPr>
    </w:p>
    <w:p>
      <w:pPr>
        <w:pStyle w:val="Heading5"/>
        <w:tabs>
          <w:tab w:val="clear" w:pos="993"/>
        </w:tabs>
        <w:rPr>
          <w:rFonts w:ascii="Times New Roman" w:hAnsi="Times New Roman" w:cs="Times New Roman"/>
          <w:b w:val="0"/>
          <w:szCs w:val="24"/>
        </w:rPr>
      </w:pPr>
      <w:r>
        <w:rPr>
          <w:rFonts w:ascii="Times New Roman" w:hAnsi="Times New Roman" w:cs="Times New Roman"/>
          <w:szCs w:val="24"/>
        </w:rPr>
        <w:t>K bodu 29</w:t>
      </w:r>
    </w:p>
    <w:p>
      <w:pPr>
        <w:jc w:val="both"/>
        <w:rPr>
          <w:rFonts w:ascii="Times New Roman" w:hAnsi="Times New Roman" w:cs="Times New Roman"/>
          <w:b/>
          <w:noProof/>
          <w:szCs w:val="24"/>
        </w:rPr>
      </w:pPr>
    </w:p>
    <w:p>
      <w:pPr>
        <w:ind w:firstLine="708"/>
        <w:jc w:val="both"/>
        <w:rPr>
          <w:rFonts w:ascii="Times New Roman" w:hAnsi="Times New Roman" w:cs="Times New Roman"/>
          <w:szCs w:val="24"/>
        </w:rPr>
      </w:pPr>
      <w:r>
        <w:rPr>
          <w:rFonts w:ascii="Times New Roman" w:hAnsi="Times New Roman" w:cs="Times New Roman"/>
          <w:szCs w:val="24"/>
        </w:rPr>
        <w:t>Uvedená zmena je navrhovaná vzhľadom na skutočnosť, že Národná banka Slovenska, ktorá má špecifické postavenie (postavenie centrálnej banky), používa vo svojej organizačnej štruktúre uvedené pojmy. V záujme zamedzenia zameniteľnosti sa navrhuje zaviesť pre najvyšších predstaviteľov Eximbanky označenie generálny riaditeľ a  námestník generálneho riaditeľa.</w:t>
      </w:r>
    </w:p>
    <w:p>
      <w:pPr>
        <w:jc w:val="both"/>
        <w:rPr>
          <w:rFonts w:ascii="Times New Roman" w:hAnsi="Times New Roman" w:cs="Times New Roman"/>
          <w:szCs w:val="24"/>
        </w:rPr>
      </w:pPr>
    </w:p>
    <w:p>
      <w:pPr>
        <w:ind w:firstLine="708"/>
        <w:jc w:val="both"/>
        <w:rPr>
          <w:rFonts w:ascii="Times New Roman" w:hAnsi="Times New Roman" w:cs="Times New Roman"/>
          <w:szCs w:val="24"/>
        </w:rPr>
      </w:pPr>
    </w:p>
    <w:p>
      <w:pPr>
        <w:ind w:firstLine="708"/>
        <w:jc w:val="both"/>
        <w:rPr>
          <w:rFonts w:ascii="Times New Roman" w:hAnsi="Times New Roman" w:cs="Times New Roman"/>
          <w:szCs w:val="24"/>
        </w:rPr>
      </w:pPr>
    </w:p>
    <w:p>
      <w:pPr>
        <w:ind w:firstLine="708"/>
        <w:jc w:val="both"/>
        <w:rPr>
          <w:rFonts w:ascii="Times New Roman" w:hAnsi="Times New Roman" w:cs="Times New Roman"/>
          <w:szCs w:val="24"/>
        </w:rPr>
      </w:pPr>
      <w:r>
        <w:rPr>
          <w:rFonts w:ascii="Times New Roman" w:hAnsi="Times New Roman" w:cs="Times New Roman"/>
          <w:szCs w:val="24"/>
        </w:rPr>
        <w:t xml:space="preserve">Účinnosť </w:t>
      </w:r>
      <w:r>
        <w:rPr>
          <w:rFonts w:ascii="Times New Roman" w:hAnsi="Times New Roman" w:cs="Times New Roman"/>
          <w:szCs w:val="24"/>
        </w:rPr>
        <w:t xml:space="preserve">zákona sa navrhuje od 1. decembra  2004.  </w:t>
      </w:r>
    </w:p>
    <w:p>
      <w:pPr>
        <w:ind w:firstLine="708"/>
        <w:jc w:val="both"/>
        <w:rPr>
          <w:rFonts w:ascii="Times New Roman" w:hAnsi="Times New Roman" w:cs="Times New Roman"/>
          <w:szCs w:val="24"/>
        </w:rPr>
      </w:pPr>
    </w:p>
    <w:p>
      <w:pPr>
        <w:tabs>
          <w:tab w:val="left" w:pos="5954"/>
        </w:tabs>
        <w:ind w:firstLine="708"/>
        <w:jc w:val="both"/>
        <w:rPr>
          <w:rFonts w:ascii="Times New Roman" w:hAnsi="Times New Roman" w:cs="Times New Roman"/>
          <w:szCs w:val="24"/>
        </w:rPr>
      </w:pPr>
    </w:p>
    <w:p>
      <w:pPr>
        <w:ind w:firstLine="708"/>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r>
        <w:rPr>
          <w:rFonts w:ascii="Times New Roman" w:hAnsi="Times New Roman" w:cs="Times New Roman"/>
          <w:szCs w:val="24"/>
        </w:rPr>
        <w:t>Bratislava 18. augusta 2004</w:t>
      </w: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tabs>
          <w:tab w:val="left" w:pos="5103"/>
        </w:tabs>
        <w:jc w:val="both"/>
        <w:rPr>
          <w:rFonts w:ascii="Times New Roman" w:hAnsi="Times New Roman" w:cs="Times New Roman"/>
          <w:szCs w:val="24"/>
        </w:rPr>
      </w:pPr>
      <w:r>
        <w:rPr>
          <w:rFonts w:ascii="Times New Roman" w:hAnsi="Times New Roman" w:cs="Times New Roman"/>
          <w:szCs w:val="24"/>
        </w:rPr>
        <w:t xml:space="preserve">                                                                                  Mikuláš  D z u r i n d a, v.r.</w:t>
      </w:r>
    </w:p>
    <w:p>
      <w:pPr>
        <w:jc w:val="both"/>
        <w:rPr>
          <w:rFonts w:ascii="Times New Roman" w:hAnsi="Times New Roman" w:cs="Times New Roman"/>
          <w:szCs w:val="24"/>
        </w:rPr>
      </w:pPr>
      <w:r>
        <w:rPr>
          <w:rFonts w:ascii="Times New Roman" w:hAnsi="Times New Roman" w:cs="Times New Roman"/>
          <w:szCs w:val="24"/>
        </w:rPr>
        <w:tab/>
        <w:tab/>
        <w:tab/>
        <w:tab/>
        <w:tab/>
        <w:tab/>
        <w:t>predseda vlády Slovenskej republiky</w:t>
      </w: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r>
        <w:rPr>
          <w:rFonts w:ascii="Times New Roman" w:hAnsi="Times New Roman" w:cs="Times New Roman"/>
          <w:szCs w:val="24"/>
        </w:rPr>
        <w:tab/>
        <w:tab/>
        <w:tab/>
        <w:tab/>
        <w:tab/>
        <w:tab/>
        <w:tab/>
        <w:t xml:space="preserve">  Ivan  M i k l o š, v.r.</w:t>
      </w:r>
    </w:p>
    <w:p>
      <w:pPr>
        <w:jc w:val="both"/>
        <w:rPr>
          <w:rFonts w:ascii="Times New Roman" w:hAnsi="Times New Roman" w:cs="Times New Roman"/>
          <w:szCs w:val="24"/>
        </w:rPr>
      </w:pPr>
      <w:r>
        <w:rPr>
          <w:rFonts w:ascii="Times New Roman" w:hAnsi="Times New Roman" w:cs="Times New Roman"/>
          <w:szCs w:val="24"/>
        </w:rPr>
        <w:tab/>
        <w:tab/>
        <w:tab/>
        <w:tab/>
        <w:tab/>
        <w:tab/>
        <w:t xml:space="preserve">              podpredseda vlády</w:t>
      </w:r>
    </w:p>
    <w:p>
      <w:pPr>
        <w:jc w:val="both"/>
        <w:rPr>
          <w:rFonts w:ascii="Times New Roman" w:hAnsi="Times New Roman" w:cs="Times New Roman"/>
          <w:szCs w:val="24"/>
        </w:rPr>
      </w:pPr>
      <w:r>
        <w:rPr>
          <w:rFonts w:ascii="Times New Roman" w:hAnsi="Times New Roman" w:cs="Times New Roman"/>
          <w:szCs w:val="24"/>
        </w:rPr>
        <w:tab/>
        <w:tab/>
        <w:tab/>
        <w:tab/>
        <w:tab/>
        <w:t xml:space="preserve">         a minister financií Slovenskej republiky</w:t>
      </w:r>
    </w:p>
    <w:sectPr>
      <w:pgSz w:w="11906" w:h="16838"/>
      <w:pgMar w:top="1417" w:right="1417" w:bottom="1417" w:left="1417"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Switzerland">
    <w:altName w:val="Times New Roman"/>
    <w:panose1 w:val="00000000000000000000"/>
    <w:charset w:val="00"/>
    <w:family w:val="auto"/>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3895"/>
    <w:multiLevelType w:val="singleLevel"/>
    <w:tmpl w:val="041B000F"/>
    <w:lvl w:ilvl="0">
      <w:start w:val="1"/>
      <w:numFmt w:val="decimal"/>
      <w:lvlText w:val="%1."/>
      <w:lvlJc w:val="left"/>
      <w:pPr>
        <w:tabs>
          <w:tab w:val="num" w:pos="360"/>
        </w:tabs>
        <w:ind w:left="360" w:hanging="360"/>
      </w:pPr>
    </w:lvl>
  </w:abstractNum>
  <w:abstractNum w:abstractNumId="1">
    <w:nsid w:val="02AF325D"/>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2">
    <w:nsid w:val="02EB272D"/>
    <w:multiLevelType w:val="singleLevel"/>
    <w:tmpl w:val="436628D4"/>
    <w:lvl w:ilvl="0">
      <w:start w:val="1"/>
      <w:numFmt w:val="upperLetter"/>
      <w:pStyle w:val="Heading3"/>
      <w:lvlText w:val="%1."/>
      <w:lvlJc w:val="left"/>
      <w:pPr>
        <w:tabs>
          <w:tab w:val="num" w:pos="360"/>
        </w:tabs>
        <w:ind w:left="360" w:hanging="360"/>
      </w:pPr>
    </w:lvl>
  </w:abstractNum>
  <w:abstractNum w:abstractNumId="3">
    <w:nsid w:val="037C49F7"/>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4">
    <w:nsid w:val="03A912E1"/>
    <w:multiLevelType w:val="singleLevel"/>
    <w:tmpl w:val="041B000F"/>
    <w:lvl w:ilvl="0">
      <w:start w:val="1"/>
      <w:numFmt w:val="decimal"/>
      <w:lvlText w:val="%1."/>
      <w:lvlJc w:val="left"/>
      <w:pPr>
        <w:tabs>
          <w:tab w:val="num" w:pos="360"/>
        </w:tabs>
        <w:ind w:left="360" w:hanging="360"/>
      </w:pPr>
    </w:lvl>
  </w:abstractNum>
  <w:abstractNum w:abstractNumId="5">
    <w:nsid w:val="067B3E91"/>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6">
    <w:nsid w:val="06CE3792"/>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7">
    <w:nsid w:val="088327A2"/>
    <w:multiLevelType w:val="singleLevel"/>
    <w:tmpl w:val="041B000F"/>
    <w:lvl w:ilvl="0">
      <w:start w:val="1"/>
      <w:numFmt w:val="decimal"/>
      <w:lvlText w:val="%1."/>
      <w:lvlJc w:val="left"/>
      <w:pPr>
        <w:tabs>
          <w:tab w:val="num" w:pos="360"/>
        </w:tabs>
        <w:ind w:left="360" w:hanging="360"/>
      </w:pPr>
    </w:lvl>
  </w:abstractNum>
  <w:abstractNum w:abstractNumId="8">
    <w:nsid w:val="08FF3CEA"/>
    <w:multiLevelType w:val="singleLevel"/>
    <w:tmpl w:val="2CDA1C8C"/>
    <w:lvl w:ilvl="0">
      <w:start w:val="1"/>
      <w:numFmt w:val="lowerLetter"/>
      <w:lvlText w:val="%1)"/>
      <w:lvlJc w:val="left"/>
      <w:pPr>
        <w:tabs>
          <w:tab w:val="num" w:pos="750"/>
        </w:tabs>
        <w:ind w:left="750" w:hanging="360"/>
      </w:pPr>
    </w:lvl>
  </w:abstractNum>
  <w:abstractNum w:abstractNumId="9">
    <w:nsid w:val="0A5476A0"/>
    <w:multiLevelType w:val="singleLevel"/>
    <w:tmpl w:val="74729498"/>
    <w:lvl w:ilvl="0">
      <w:start w:val="11"/>
      <w:numFmt w:val="lowerLetter"/>
      <w:lvlText w:val="%1)"/>
      <w:lvlJc w:val="left"/>
      <w:pPr>
        <w:tabs>
          <w:tab w:val="num" w:pos="636"/>
        </w:tabs>
        <w:ind w:left="636" w:hanging="360"/>
      </w:pPr>
    </w:lvl>
  </w:abstractNum>
  <w:abstractNum w:abstractNumId="10">
    <w:nsid w:val="0B6305DB"/>
    <w:multiLevelType w:val="singleLevel"/>
    <w:tmpl w:val="041B000F"/>
    <w:lvl w:ilvl="0">
      <w:start w:val="1"/>
      <w:numFmt w:val="decimal"/>
      <w:lvlText w:val="%1."/>
      <w:lvlJc w:val="left"/>
      <w:pPr>
        <w:tabs>
          <w:tab w:val="num" w:pos="360"/>
        </w:tabs>
        <w:ind w:left="360" w:hanging="360"/>
      </w:pPr>
    </w:lvl>
  </w:abstractNum>
  <w:abstractNum w:abstractNumId="11">
    <w:nsid w:val="0B9A445E"/>
    <w:multiLevelType w:val="singleLevel"/>
    <w:tmpl w:val="98322DF0"/>
    <w:lvl w:ilvl="0">
      <w:start w:val="1"/>
      <w:numFmt w:val="decimal"/>
      <w:lvlText w:val="%1."/>
      <w:lvlJc w:val="left"/>
      <w:pPr>
        <w:tabs>
          <w:tab w:val="num" w:pos="360"/>
        </w:tabs>
        <w:ind w:left="360" w:hanging="360"/>
      </w:pPr>
      <w:rPr>
        <w:b/>
        <w:rtl w:val="0"/>
      </w:rPr>
    </w:lvl>
  </w:abstractNum>
  <w:abstractNum w:abstractNumId="12">
    <w:nsid w:val="0E946D7F"/>
    <w:multiLevelType w:val="singleLevel"/>
    <w:tmpl w:val="041B0017"/>
    <w:lvl w:ilvl="0">
      <w:start w:val="1"/>
      <w:numFmt w:val="lowerLetter"/>
      <w:lvlText w:val="%1)"/>
      <w:lvlJc w:val="left"/>
      <w:pPr>
        <w:tabs>
          <w:tab w:val="num" w:pos="360"/>
        </w:tabs>
        <w:ind w:left="360" w:hanging="360"/>
      </w:pPr>
    </w:lvl>
  </w:abstractNum>
  <w:abstractNum w:abstractNumId="13">
    <w:nsid w:val="1003687B"/>
    <w:multiLevelType w:val="singleLevel"/>
    <w:tmpl w:val="041B000F"/>
    <w:lvl w:ilvl="0">
      <w:start w:val="1"/>
      <w:numFmt w:val="decimal"/>
      <w:lvlText w:val="%1."/>
      <w:lvlJc w:val="left"/>
      <w:pPr>
        <w:tabs>
          <w:tab w:val="num" w:pos="360"/>
        </w:tabs>
        <w:ind w:left="360" w:hanging="360"/>
      </w:pPr>
    </w:lvl>
  </w:abstractNum>
  <w:abstractNum w:abstractNumId="14">
    <w:nsid w:val="1037488A"/>
    <w:multiLevelType w:val="singleLevel"/>
    <w:tmpl w:val="33EEAC96"/>
    <w:lvl w:ilvl="0">
      <w:start w:val="1"/>
      <w:numFmt w:val="decimal"/>
      <w:lvlText w:val="%1."/>
      <w:lvlJc w:val="left"/>
      <w:pPr>
        <w:tabs>
          <w:tab w:val="num" w:pos="360"/>
        </w:tabs>
        <w:ind w:left="360" w:hanging="360"/>
      </w:pPr>
      <w:rPr>
        <w:b w:val="0"/>
        <w:i w:val="0"/>
        <w:rtl w:val="0"/>
      </w:rPr>
    </w:lvl>
  </w:abstractNum>
  <w:abstractNum w:abstractNumId="15">
    <w:nsid w:val="11D00192"/>
    <w:multiLevelType w:val="singleLevel"/>
    <w:tmpl w:val="98322DF0"/>
    <w:lvl w:ilvl="0">
      <w:start w:val="1"/>
      <w:numFmt w:val="decimal"/>
      <w:lvlText w:val="%1."/>
      <w:lvlJc w:val="left"/>
      <w:pPr>
        <w:tabs>
          <w:tab w:val="num" w:pos="360"/>
        </w:tabs>
        <w:ind w:left="360" w:hanging="360"/>
      </w:pPr>
      <w:rPr>
        <w:b/>
        <w:rtl w:val="0"/>
      </w:rPr>
    </w:lvl>
  </w:abstractNum>
  <w:abstractNum w:abstractNumId="16">
    <w:nsid w:val="11DB2B1F"/>
    <w:multiLevelType w:val="singleLevel"/>
    <w:tmpl w:val="03EE2120"/>
    <w:lvl w:ilvl="0">
      <w:start w:val="1"/>
      <w:numFmt w:val="decimal"/>
      <w:lvlText w:val="(%1)"/>
      <w:lvlJc w:val="left"/>
      <w:pPr>
        <w:tabs>
          <w:tab w:val="num" w:pos="804"/>
        </w:tabs>
        <w:ind w:left="804" w:hanging="444"/>
      </w:pPr>
    </w:lvl>
  </w:abstractNum>
  <w:abstractNum w:abstractNumId="17">
    <w:nsid w:val="12AE50FC"/>
    <w:multiLevelType w:val="singleLevel"/>
    <w:tmpl w:val="5420C682"/>
    <w:lvl w:ilvl="0">
      <w:start w:val="3"/>
      <w:numFmt w:val="decimal"/>
      <w:lvlJc w:val="left"/>
      <w:pPr>
        <w:tabs>
          <w:tab w:val="num" w:pos="360"/>
        </w:tabs>
        <w:ind w:left="360" w:hanging="360"/>
      </w:pPr>
      <w:rPr>
        <w:rFonts w:ascii="Times New Roman" w:hAnsi="Times New Roman"/>
        <w:rtl w:val="0"/>
      </w:rPr>
    </w:lvl>
  </w:abstractNum>
  <w:abstractNum w:abstractNumId="18">
    <w:nsid w:val="13085773"/>
    <w:multiLevelType w:val="singleLevel"/>
    <w:tmpl w:val="5420C682"/>
    <w:lvl w:ilvl="0">
      <w:start w:val="3"/>
      <w:numFmt w:val="decimal"/>
      <w:lvlJc w:val="left"/>
      <w:pPr>
        <w:tabs>
          <w:tab w:val="num" w:pos="360"/>
        </w:tabs>
        <w:ind w:left="360" w:hanging="360"/>
      </w:pPr>
      <w:rPr>
        <w:rFonts w:ascii="Times New Roman" w:hAnsi="Times New Roman"/>
        <w:rtl w:val="0"/>
      </w:rPr>
    </w:lvl>
  </w:abstractNum>
  <w:abstractNum w:abstractNumId="19">
    <w:nsid w:val="14151F0A"/>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20">
    <w:nsid w:val="157B3AB4"/>
    <w:multiLevelType w:val="singleLevel"/>
    <w:tmpl w:val="041B0019"/>
    <w:lvl w:ilvl="0">
      <w:start w:val="1"/>
      <w:numFmt w:val="lowerLetter"/>
      <w:lvlText w:val="(%1)"/>
      <w:lvlJc w:val="left"/>
      <w:pPr>
        <w:tabs>
          <w:tab w:val="num" w:pos="360"/>
        </w:tabs>
        <w:ind w:left="360" w:hanging="360"/>
      </w:pPr>
      <w:rPr>
        <w:b w:val="0"/>
        <w:rtl w:val="0"/>
      </w:rPr>
    </w:lvl>
  </w:abstractNum>
  <w:abstractNum w:abstractNumId="21">
    <w:nsid w:val="16B96445"/>
    <w:multiLevelType w:val="singleLevel"/>
    <w:tmpl w:val="EB6896DA"/>
    <w:lvl w:ilvl="0">
      <w:start w:val="23"/>
      <w:numFmt w:val="decimal"/>
      <w:lvlText w:val="%1."/>
      <w:lvlJc w:val="left"/>
      <w:pPr>
        <w:tabs>
          <w:tab w:val="num" w:pos="525"/>
        </w:tabs>
        <w:ind w:left="525" w:hanging="525"/>
      </w:pPr>
    </w:lvl>
  </w:abstractNum>
  <w:abstractNum w:abstractNumId="22">
    <w:nsid w:val="179A1290"/>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23">
    <w:nsid w:val="1864589F"/>
    <w:multiLevelType w:val="singleLevel"/>
    <w:tmpl w:val="356CD248"/>
    <w:lvl w:ilvl="0">
      <w:start w:val="1"/>
      <w:numFmt w:val="decimal"/>
      <w:lvlText w:val="(%1)"/>
      <w:lvlJc w:val="left"/>
      <w:pPr>
        <w:tabs>
          <w:tab w:val="num" w:pos="360"/>
        </w:tabs>
        <w:ind w:left="360" w:hanging="360"/>
      </w:pPr>
    </w:lvl>
  </w:abstractNum>
  <w:abstractNum w:abstractNumId="24">
    <w:nsid w:val="18801E43"/>
    <w:multiLevelType w:val="singleLevel"/>
    <w:tmpl w:val="041B0017"/>
    <w:lvl w:ilvl="0">
      <w:start w:val="1"/>
      <w:numFmt w:val="lowerLetter"/>
      <w:lvlText w:val="%1)"/>
      <w:lvlJc w:val="left"/>
      <w:pPr>
        <w:tabs>
          <w:tab w:val="num" w:pos="360"/>
        </w:tabs>
        <w:ind w:left="360" w:hanging="360"/>
      </w:pPr>
    </w:lvl>
  </w:abstractNum>
  <w:abstractNum w:abstractNumId="25">
    <w:nsid w:val="199C3666"/>
    <w:multiLevelType w:val="singleLevel"/>
    <w:tmpl w:val="6C30E0D4"/>
    <w:lvl w:ilvl="0">
      <w:start w:val="1"/>
      <w:numFmt w:val="decimal"/>
      <w:lvlText w:val="(%1)"/>
      <w:lvlJc w:val="left"/>
      <w:pPr>
        <w:tabs>
          <w:tab w:val="num" w:pos="810"/>
        </w:tabs>
        <w:ind w:left="810" w:hanging="360"/>
      </w:pPr>
    </w:lvl>
  </w:abstractNum>
  <w:abstractNum w:abstractNumId="26">
    <w:nsid w:val="1AF859AC"/>
    <w:multiLevelType w:val="singleLevel"/>
    <w:tmpl w:val="041B000F"/>
    <w:lvl w:ilvl="0">
      <w:start w:val="1"/>
      <w:numFmt w:val="decimal"/>
      <w:lvlText w:val="%1."/>
      <w:lvlJc w:val="left"/>
      <w:pPr>
        <w:tabs>
          <w:tab w:val="num" w:pos="360"/>
        </w:tabs>
        <w:ind w:left="360" w:hanging="360"/>
      </w:pPr>
    </w:lvl>
  </w:abstractNum>
  <w:abstractNum w:abstractNumId="27">
    <w:nsid w:val="1B2A50B6"/>
    <w:multiLevelType w:val="singleLevel"/>
    <w:tmpl w:val="041B000F"/>
    <w:lvl w:ilvl="0">
      <w:start w:val="1"/>
      <w:numFmt w:val="decimal"/>
      <w:lvlText w:val="%1."/>
      <w:lvlJc w:val="left"/>
      <w:pPr>
        <w:tabs>
          <w:tab w:val="num" w:pos="360"/>
        </w:tabs>
        <w:ind w:left="360" w:hanging="360"/>
      </w:pPr>
    </w:lvl>
  </w:abstractNum>
  <w:abstractNum w:abstractNumId="28">
    <w:nsid w:val="1C675927"/>
    <w:multiLevelType w:val="singleLevel"/>
    <w:tmpl w:val="E3AE23DE"/>
    <w:lvl w:ilvl="0">
      <w:start w:val="10"/>
      <w:numFmt w:val="decimal"/>
      <w:lvlText w:val="%1."/>
      <w:lvlJc w:val="left"/>
      <w:pPr>
        <w:tabs>
          <w:tab w:val="num" w:pos="480"/>
        </w:tabs>
        <w:ind w:left="480" w:hanging="480"/>
      </w:pPr>
    </w:lvl>
  </w:abstractNum>
  <w:abstractNum w:abstractNumId="29">
    <w:nsid w:val="1C86705B"/>
    <w:multiLevelType w:val="singleLevel"/>
    <w:tmpl w:val="46FEEA80"/>
    <w:lvl w:ilvl="0">
      <w:start w:val="1"/>
      <w:numFmt w:val="lowerLetter"/>
      <w:lvlText w:val="(%1)"/>
      <w:lvlJc w:val="left"/>
      <w:pPr>
        <w:tabs>
          <w:tab w:val="num" w:pos="810"/>
        </w:tabs>
        <w:ind w:left="810" w:hanging="360"/>
      </w:pPr>
    </w:lvl>
  </w:abstractNum>
  <w:abstractNum w:abstractNumId="30">
    <w:nsid w:val="1F67624C"/>
    <w:multiLevelType w:val="singleLevel"/>
    <w:tmpl w:val="041B000F"/>
    <w:lvl w:ilvl="0">
      <w:start w:val="1"/>
      <w:numFmt w:val="decimal"/>
      <w:lvlText w:val="%1."/>
      <w:lvlJc w:val="left"/>
      <w:pPr>
        <w:tabs>
          <w:tab w:val="num" w:pos="360"/>
        </w:tabs>
        <w:ind w:left="360" w:hanging="360"/>
      </w:pPr>
    </w:lvl>
  </w:abstractNum>
  <w:abstractNum w:abstractNumId="31">
    <w:nsid w:val="21433615"/>
    <w:multiLevelType w:val="singleLevel"/>
    <w:tmpl w:val="1EB6A002"/>
    <w:lvl w:ilvl="0">
      <w:start w:val="1"/>
      <w:numFmt w:val="lowerLetter"/>
      <w:lvlText w:val="%1)"/>
      <w:lvlJc w:val="left"/>
      <w:pPr>
        <w:tabs>
          <w:tab w:val="num" w:pos="750"/>
        </w:tabs>
        <w:ind w:left="750" w:hanging="360"/>
      </w:pPr>
    </w:lvl>
  </w:abstractNum>
  <w:abstractNum w:abstractNumId="32">
    <w:nsid w:val="22D16741"/>
    <w:multiLevelType w:val="singleLevel"/>
    <w:tmpl w:val="041B000F"/>
    <w:lvl w:ilvl="0">
      <w:start w:val="1"/>
      <w:numFmt w:val="decimal"/>
      <w:lvlText w:val="%1."/>
      <w:lvlJc w:val="left"/>
      <w:pPr>
        <w:tabs>
          <w:tab w:val="num" w:pos="360"/>
        </w:tabs>
        <w:ind w:left="360" w:hanging="360"/>
      </w:pPr>
    </w:lvl>
  </w:abstractNum>
  <w:abstractNum w:abstractNumId="33">
    <w:nsid w:val="24423DA9"/>
    <w:multiLevelType w:val="singleLevel"/>
    <w:tmpl w:val="98322DF0"/>
    <w:lvl w:ilvl="0">
      <w:start w:val="1"/>
      <w:numFmt w:val="decimal"/>
      <w:lvlText w:val="%1."/>
      <w:lvlJc w:val="left"/>
      <w:pPr>
        <w:tabs>
          <w:tab w:val="num" w:pos="360"/>
        </w:tabs>
        <w:ind w:left="360" w:hanging="360"/>
      </w:pPr>
      <w:rPr>
        <w:b/>
        <w:rtl w:val="0"/>
      </w:rPr>
    </w:lvl>
  </w:abstractNum>
  <w:abstractNum w:abstractNumId="34">
    <w:nsid w:val="286E2B9B"/>
    <w:multiLevelType w:val="singleLevel"/>
    <w:tmpl w:val="98322DF0"/>
    <w:lvl w:ilvl="0">
      <w:start w:val="1"/>
      <w:numFmt w:val="decimal"/>
      <w:lvlText w:val="%1."/>
      <w:lvlJc w:val="left"/>
      <w:pPr>
        <w:tabs>
          <w:tab w:val="num" w:pos="360"/>
        </w:tabs>
        <w:ind w:left="360" w:hanging="360"/>
      </w:pPr>
      <w:rPr>
        <w:b/>
        <w:rtl w:val="0"/>
      </w:rPr>
    </w:lvl>
  </w:abstractNum>
  <w:abstractNum w:abstractNumId="35">
    <w:nsid w:val="2B03594B"/>
    <w:multiLevelType w:val="singleLevel"/>
    <w:tmpl w:val="579EC31E"/>
    <w:lvl w:ilvl="0">
      <w:start w:val="10"/>
      <w:numFmt w:val="decimal"/>
      <w:lvlText w:val="%1."/>
      <w:lvlJc w:val="left"/>
      <w:pPr>
        <w:tabs>
          <w:tab w:val="num" w:pos="450"/>
        </w:tabs>
        <w:ind w:left="450" w:hanging="450"/>
      </w:pPr>
    </w:lvl>
  </w:abstractNum>
  <w:abstractNum w:abstractNumId="36">
    <w:nsid w:val="2D2350AE"/>
    <w:multiLevelType w:val="singleLevel"/>
    <w:tmpl w:val="30F6C61C"/>
    <w:lvl w:ilvl="0">
      <w:start w:val="1"/>
      <w:numFmt w:val="lowerLetter"/>
      <w:lvlText w:val="%1)"/>
      <w:lvlJc w:val="left"/>
      <w:pPr>
        <w:tabs>
          <w:tab w:val="num" w:pos="785"/>
        </w:tabs>
        <w:ind w:left="785" w:hanging="360"/>
      </w:pPr>
    </w:lvl>
  </w:abstractNum>
  <w:abstractNum w:abstractNumId="37">
    <w:nsid w:val="2E8F541A"/>
    <w:multiLevelType w:val="singleLevel"/>
    <w:tmpl w:val="1722B0EE"/>
    <w:lvl w:ilvl="0">
      <w:start w:val="1"/>
      <w:numFmt w:val="upperLetter"/>
      <w:lvlText w:val="%1."/>
      <w:lvlJc w:val="left"/>
      <w:pPr>
        <w:tabs>
          <w:tab w:val="num" w:pos="405"/>
        </w:tabs>
        <w:ind w:left="405" w:hanging="405"/>
      </w:pPr>
      <w:rPr>
        <w:b/>
        <w:i w:val="0"/>
        <w:u w:val="none"/>
        <w:rtl w:val="0"/>
      </w:rPr>
    </w:lvl>
  </w:abstractNum>
  <w:abstractNum w:abstractNumId="38">
    <w:nsid w:val="2F40628A"/>
    <w:multiLevelType w:val="singleLevel"/>
    <w:tmpl w:val="117059C0"/>
    <w:lvl w:ilvl="0">
      <w:start w:val="0"/>
      <w:numFmt w:val="bullet"/>
      <w:lvlText w:val="–"/>
      <w:lvlJc w:val="left"/>
      <w:pPr>
        <w:tabs>
          <w:tab w:val="num" w:pos="360"/>
        </w:tabs>
        <w:ind w:left="360" w:hanging="360"/>
      </w:pPr>
    </w:lvl>
  </w:abstractNum>
  <w:abstractNum w:abstractNumId="39">
    <w:nsid w:val="2F7F6502"/>
    <w:multiLevelType w:val="singleLevel"/>
    <w:tmpl w:val="041B000F"/>
    <w:lvl w:ilvl="0">
      <w:start w:val="1"/>
      <w:numFmt w:val="decimal"/>
      <w:lvlText w:val="%1."/>
      <w:lvlJc w:val="left"/>
      <w:pPr>
        <w:tabs>
          <w:tab w:val="num" w:pos="360"/>
        </w:tabs>
        <w:ind w:left="360" w:hanging="360"/>
      </w:pPr>
    </w:lvl>
  </w:abstractNum>
  <w:abstractNum w:abstractNumId="40">
    <w:nsid w:val="30A568DB"/>
    <w:multiLevelType w:val="singleLevel"/>
    <w:tmpl w:val="F01ACF26"/>
    <w:lvl w:ilvl="0">
      <w:start w:val="1"/>
      <w:numFmt w:val="decimal"/>
      <w:lvlText w:val="%1)"/>
      <w:lvlJc w:val="left"/>
      <w:pPr>
        <w:tabs>
          <w:tab w:val="num" w:pos="750"/>
        </w:tabs>
        <w:ind w:left="750" w:hanging="360"/>
      </w:pPr>
    </w:lvl>
  </w:abstractNum>
  <w:abstractNum w:abstractNumId="41">
    <w:nsid w:val="319A16A0"/>
    <w:multiLevelType w:val="singleLevel"/>
    <w:tmpl w:val="579EC31E"/>
    <w:lvl w:ilvl="0">
      <w:start w:val="10"/>
      <w:numFmt w:val="decimal"/>
      <w:lvlText w:val="%1."/>
      <w:lvlJc w:val="left"/>
      <w:pPr>
        <w:tabs>
          <w:tab w:val="num" w:pos="450"/>
        </w:tabs>
        <w:ind w:left="450" w:hanging="450"/>
      </w:pPr>
    </w:lvl>
  </w:abstractNum>
  <w:abstractNum w:abstractNumId="42">
    <w:nsid w:val="326D2EEE"/>
    <w:multiLevelType w:val="singleLevel"/>
    <w:tmpl w:val="28E66A42"/>
    <w:lvl w:ilvl="0">
      <w:start w:val="1"/>
      <w:numFmt w:val="decimal"/>
      <w:lvlText w:val="(%1)"/>
      <w:lvlJc w:val="left"/>
      <w:pPr>
        <w:tabs>
          <w:tab w:val="num" w:pos="1095"/>
        </w:tabs>
        <w:ind w:left="1095" w:hanging="435"/>
      </w:pPr>
    </w:lvl>
  </w:abstractNum>
  <w:abstractNum w:abstractNumId="43">
    <w:nsid w:val="34457CAE"/>
    <w:multiLevelType w:val="singleLevel"/>
    <w:tmpl w:val="F5264478"/>
    <w:lvl w:ilvl="0">
      <w:start w:val="1"/>
      <w:numFmt w:val="bullet"/>
      <w:lvlText w:val="-"/>
      <w:lvlJc w:val="left"/>
      <w:pPr>
        <w:tabs>
          <w:tab w:val="num" w:pos="360"/>
        </w:tabs>
        <w:ind w:left="360" w:hanging="360"/>
      </w:pPr>
      <w:rPr>
        <w:rFonts w:ascii="Times New Roman" w:hAnsi="Times New Roman"/>
        <w:rtl w:val="0"/>
      </w:rPr>
    </w:lvl>
  </w:abstractNum>
  <w:abstractNum w:abstractNumId="44">
    <w:nsid w:val="345679C6"/>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45">
    <w:nsid w:val="34DD4898"/>
    <w:multiLevelType w:val="singleLevel"/>
    <w:tmpl w:val="898A0DA2"/>
    <w:lvl w:ilvl="0">
      <w:start w:val="1"/>
      <w:numFmt w:val="decimal"/>
      <w:lvlText w:val="(%1)"/>
      <w:lvlJc w:val="left"/>
      <w:pPr>
        <w:tabs>
          <w:tab w:val="num" w:pos="797"/>
        </w:tabs>
        <w:ind w:left="797" w:hanging="372"/>
      </w:pPr>
    </w:lvl>
  </w:abstractNum>
  <w:abstractNum w:abstractNumId="46">
    <w:nsid w:val="35496572"/>
    <w:multiLevelType w:val="singleLevel"/>
    <w:tmpl w:val="041B0017"/>
    <w:lvl w:ilvl="0">
      <w:start w:val="1"/>
      <w:numFmt w:val="lowerLetter"/>
      <w:lvlText w:val="%1)"/>
      <w:lvlJc w:val="left"/>
      <w:pPr>
        <w:tabs>
          <w:tab w:val="num" w:pos="360"/>
        </w:tabs>
        <w:ind w:left="360" w:hanging="360"/>
      </w:pPr>
    </w:lvl>
  </w:abstractNum>
  <w:abstractNum w:abstractNumId="47">
    <w:nsid w:val="35BA6A21"/>
    <w:multiLevelType w:val="singleLevel"/>
    <w:tmpl w:val="041B000F"/>
    <w:lvl w:ilvl="0">
      <w:start w:val="1"/>
      <w:numFmt w:val="decimal"/>
      <w:lvlText w:val="%1."/>
      <w:lvlJc w:val="left"/>
      <w:pPr>
        <w:tabs>
          <w:tab w:val="num" w:pos="360"/>
        </w:tabs>
        <w:ind w:left="360" w:hanging="360"/>
      </w:pPr>
    </w:lvl>
  </w:abstractNum>
  <w:abstractNum w:abstractNumId="48">
    <w:nsid w:val="376D148A"/>
    <w:multiLevelType w:val="singleLevel"/>
    <w:tmpl w:val="5420C682"/>
    <w:lvl w:ilvl="0">
      <w:start w:val="3"/>
      <w:numFmt w:val="decimal"/>
      <w:lvlJc w:val="left"/>
      <w:pPr>
        <w:tabs>
          <w:tab w:val="num" w:pos="360"/>
        </w:tabs>
        <w:ind w:left="360" w:hanging="360"/>
      </w:pPr>
      <w:rPr>
        <w:rFonts w:ascii="Times New Roman" w:hAnsi="Times New Roman"/>
        <w:rtl w:val="0"/>
      </w:rPr>
    </w:lvl>
  </w:abstractNum>
  <w:abstractNum w:abstractNumId="49">
    <w:nsid w:val="392620B8"/>
    <w:multiLevelType w:val="singleLevel"/>
    <w:tmpl w:val="041B0017"/>
    <w:lvl w:ilvl="0">
      <w:start w:val="1"/>
      <w:numFmt w:val="lowerLetter"/>
      <w:lvlText w:val="%1)"/>
      <w:lvlJc w:val="left"/>
      <w:pPr>
        <w:tabs>
          <w:tab w:val="num" w:pos="360"/>
        </w:tabs>
        <w:ind w:left="360" w:hanging="360"/>
      </w:pPr>
    </w:lvl>
  </w:abstractNum>
  <w:abstractNum w:abstractNumId="50">
    <w:nsid w:val="3D890498"/>
    <w:multiLevelType w:val="singleLevel"/>
    <w:tmpl w:val="E3AE23DE"/>
    <w:lvl w:ilvl="0">
      <w:start w:val="10"/>
      <w:numFmt w:val="decimal"/>
      <w:lvlText w:val="%1."/>
      <w:lvlJc w:val="left"/>
      <w:pPr>
        <w:tabs>
          <w:tab w:val="num" w:pos="480"/>
        </w:tabs>
        <w:ind w:left="480" w:hanging="480"/>
      </w:pPr>
    </w:lvl>
  </w:abstractNum>
  <w:abstractNum w:abstractNumId="51">
    <w:nsid w:val="3ED07F05"/>
    <w:multiLevelType w:val="singleLevel"/>
    <w:tmpl w:val="041B000F"/>
    <w:lvl w:ilvl="0">
      <w:start w:val="1"/>
      <w:numFmt w:val="decimal"/>
      <w:lvlText w:val="%1."/>
      <w:lvlJc w:val="left"/>
      <w:pPr>
        <w:tabs>
          <w:tab w:val="num" w:pos="360"/>
        </w:tabs>
        <w:ind w:left="360" w:hanging="360"/>
      </w:pPr>
    </w:lvl>
  </w:abstractNum>
  <w:abstractNum w:abstractNumId="52">
    <w:nsid w:val="43E30C39"/>
    <w:multiLevelType w:val="singleLevel"/>
    <w:tmpl w:val="041B000F"/>
    <w:lvl w:ilvl="0">
      <w:start w:val="1"/>
      <w:numFmt w:val="decimal"/>
      <w:lvlText w:val="%1."/>
      <w:lvlJc w:val="left"/>
      <w:pPr>
        <w:tabs>
          <w:tab w:val="num" w:pos="360"/>
        </w:tabs>
        <w:ind w:left="360" w:hanging="360"/>
      </w:pPr>
    </w:lvl>
  </w:abstractNum>
  <w:abstractNum w:abstractNumId="53">
    <w:nsid w:val="45021069"/>
    <w:multiLevelType w:val="singleLevel"/>
    <w:tmpl w:val="964E9BEE"/>
    <w:lvl w:ilvl="0">
      <w:start w:val="16"/>
      <w:numFmt w:val="decimal"/>
      <w:lvlText w:val="%1."/>
      <w:lvlJc w:val="left"/>
      <w:pPr>
        <w:tabs>
          <w:tab w:val="num" w:pos="450"/>
        </w:tabs>
        <w:ind w:left="450" w:hanging="450"/>
      </w:pPr>
    </w:lvl>
  </w:abstractNum>
  <w:abstractNum w:abstractNumId="54">
    <w:nsid w:val="458B274A"/>
    <w:multiLevelType w:val="singleLevel"/>
    <w:tmpl w:val="041B000F"/>
    <w:lvl w:ilvl="0">
      <w:start w:val="1"/>
      <w:numFmt w:val="decimal"/>
      <w:lvlText w:val="%1."/>
      <w:lvlJc w:val="left"/>
      <w:pPr>
        <w:tabs>
          <w:tab w:val="num" w:pos="360"/>
        </w:tabs>
        <w:ind w:left="360" w:hanging="360"/>
      </w:pPr>
    </w:lvl>
  </w:abstractNum>
  <w:abstractNum w:abstractNumId="55">
    <w:nsid w:val="45C5559B"/>
    <w:multiLevelType w:val="singleLevel"/>
    <w:tmpl w:val="041B000F"/>
    <w:lvl w:ilvl="0">
      <w:start w:val="6"/>
      <w:numFmt w:val="decimal"/>
      <w:lvlText w:val="%1."/>
      <w:lvlJc w:val="left"/>
      <w:pPr>
        <w:tabs>
          <w:tab w:val="num" w:pos="360"/>
        </w:tabs>
        <w:ind w:left="360" w:hanging="360"/>
      </w:pPr>
    </w:lvl>
  </w:abstractNum>
  <w:abstractNum w:abstractNumId="56">
    <w:nsid w:val="4772271E"/>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57">
    <w:nsid w:val="48C56F1F"/>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58">
    <w:nsid w:val="499A4A9E"/>
    <w:multiLevelType w:val="singleLevel"/>
    <w:tmpl w:val="117059C0"/>
    <w:lvl w:ilvl="0">
      <w:start w:val="0"/>
      <w:numFmt w:val="bullet"/>
      <w:lvlText w:val="–"/>
      <w:lvlJc w:val="left"/>
      <w:pPr>
        <w:tabs>
          <w:tab w:val="num" w:pos="360"/>
        </w:tabs>
        <w:ind w:left="360" w:hanging="360"/>
      </w:pPr>
    </w:lvl>
  </w:abstractNum>
  <w:abstractNum w:abstractNumId="59">
    <w:nsid w:val="4B20546A"/>
    <w:multiLevelType w:val="singleLevel"/>
    <w:tmpl w:val="4B148E12"/>
    <w:lvl w:ilvl="0">
      <w:start w:val="1"/>
      <w:numFmt w:val="lowerLetter"/>
      <w:lvlText w:val="(%1)"/>
      <w:lvlJc w:val="left"/>
      <w:pPr>
        <w:tabs>
          <w:tab w:val="num" w:pos="750"/>
        </w:tabs>
        <w:ind w:left="750" w:hanging="360"/>
      </w:pPr>
    </w:lvl>
  </w:abstractNum>
  <w:abstractNum w:abstractNumId="60">
    <w:nsid w:val="4C1C1B65"/>
    <w:multiLevelType w:val="singleLevel"/>
    <w:tmpl w:val="61F2D788"/>
    <w:lvl w:ilvl="0">
      <w:start w:val="1"/>
      <w:numFmt w:val="decimal"/>
      <w:lvlText w:val="%1."/>
      <w:lvlJc w:val="left"/>
      <w:pPr>
        <w:tabs>
          <w:tab w:val="num" w:pos="675"/>
        </w:tabs>
        <w:ind w:left="675" w:hanging="360"/>
      </w:pPr>
    </w:lvl>
  </w:abstractNum>
  <w:abstractNum w:abstractNumId="61">
    <w:nsid w:val="4C452693"/>
    <w:multiLevelType w:val="singleLevel"/>
    <w:tmpl w:val="041B000F"/>
    <w:lvl w:ilvl="0">
      <w:start w:val="1"/>
      <w:numFmt w:val="decimal"/>
      <w:lvlText w:val="%1."/>
      <w:lvlJc w:val="left"/>
      <w:pPr>
        <w:tabs>
          <w:tab w:val="num" w:pos="360"/>
        </w:tabs>
        <w:ind w:left="360" w:hanging="360"/>
      </w:pPr>
    </w:lvl>
  </w:abstractNum>
  <w:abstractNum w:abstractNumId="62">
    <w:nsid w:val="4C4953F3"/>
    <w:multiLevelType w:val="singleLevel"/>
    <w:tmpl w:val="041B000F"/>
    <w:lvl w:ilvl="0">
      <w:start w:val="1"/>
      <w:numFmt w:val="decimal"/>
      <w:lvlText w:val="%1."/>
      <w:lvlJc w:val="left"/>
      <w:pPr>
        <w:tabs>
          <w:tab w:val="num" w:pos="360"/>
        </w:tabs>
        <w:ind w:left="360" w:hanging="360"/>
      </w:pPr>
    </w:lvl>
  </w:abstractNum>
  <w:abstractNum w:abstractNumId="63">
    <w:nsid w:val="4CCB5291"/>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64">
    <w:nsid w:val="4CE65061"/>
    <w:multiLevelType w:val="singleLevel"/>
    <w:tmpl w:val="041B000F"/>
    <w:lvl w:ilvl="0">
      <w:start w:val="1"/>
      <w:numFmt w:val="decimal"/>
      <w:lvlText w:val="%1."/>
      <w:lvlJc w:val="left"/>
      <w:pPr>
        <w:tabs>
          <w:tab w:val="num" w:pos="360"/>
        </w:tabs>
        <w:ind w:left="360" w:hanging="360"/>
      </w:pPr>
    </w:lvl>
  </w:abstractNum>
  <w:abstractNum w:abstractNumId="65">
    <w:nsid w:val="4E031C9F"/>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66">
    <w:nsid w:val="50B91B02"/>
    <w:multiLevelType w:val="singleLevel"/>
    <w:tmpl w:val="8E7E1CD8"/>
    <w:lvl w:ilvl="0">
      <w:start w:val="0"/>
      <w:numFmt w:val="bullet"/>
      <w:lvlText w:val="-"/>
      <w:lvlJc w:val="left"/>
      <w:pPr>
        <w:tabs>
          <w:tab w:val="num" w:pos="360"/>
        </w:tabs>
        <w:ind w:left="360" w:hanging="360"/>
      </w:pPr>
      <w:rPr>
        <w:rFonts w:ascii="Times New Roman" w:hAnsi="Times New Roman"/>
        <w:rtl w:val="0"/>
      </w:rPr>
    </w:lvl>
  </w:abstractNum>
  <w:abstractNum w:abstractNumId="67">
    <w:nsid w:val="534D04C4"/>
    <w:multiLevelType w:val="singleLevel"/>
    <w:tmpl w:val="0C56AD42"/>
    <w:lvl w:ilvl="0">
      <w:start w:val="1"/>
      <w:numFmt w:val="decimal"/>
      <w:lvlText w:val="%1)"/>
      <w:lvlJc w:val="left"/>
      <w:pPr>
        <w:tabs>
          <w:tab w:val="num" w:pos="750"/>
        </w:tabs>
        <w:ind w:left="750" w:hanging="360"/>
      </w:pPr>
    </w:lvl>
  </w:abstractNum>
  <w:abstractNum w:abstractNumId="68">
    <w:nsid w:val="535F3C0D"/>
    <w:multiLevelType w:val="singleLevel"/>
    <w:tmpl w:val="0952E4CE"/>
    <w:lvl w:ilvl="0">
      <w:start w:val="2"/>
      <w:numFmt w:val="bullet"/>
      <w:lvlText w:val="-"/>
      <w:lvlJc w:val="left"/>
      <w:pPr>
        <w:tabs>
          <w:tab w:val="num" w:pos="360"/>
        </w:tabs>
        <w:ind w:left="360" w:hanging="360"/>
      </w:pPr>
      <w:rPr>
        <w:rFonts w:ascii="Times New Roman" w:hAnsi="Times New Roman"/>
        <w:rtl w:val="0"/>
      </w:rPr>
    </w:lvl>
  </w:abstractNum>
  <w:abstractNum w:abstractNumId="69">
    <w:nsid w:val="55CE00DF"/>
    <w:multiLevelType w:val="singleLevel"/>
    <w:tmpl w:val="579EC31E"/>
    <w:lvl w:ilvl="0">
      <w:start w:val="10"/>
      <w:numFmt w:val="decimal"/>
      <w:lvlText w:val="%1."/>
      <w:lvlJc w:val="left"/>
      <w:pPr>
        <w:tabs>
          <w:tab w:val="num" w:pos="450"/>
        </w:tabs>
        <w:ind w:left="450" w:hanging="450"/>
      </w:pPr>
    </w:lvl>
  </w:abstractNum>
  <w:abstractNum w:abstractNumId="70">
    <w:nsid w:val="566E0445"/>
    <w:multiLevelType w:val="singleLevel"/>
    <w:tmpl w:val="0316B8BE"/>
    <w:lvl w:ilvl="0">
      <w:start w:val="2"/>
      <w:numFmt w:val="lowerLetter"/>
      <w:lvlText w:val="%1)"/>
      <w:lvlJc w:val="left"/>
      <w:pPr>
        <w:tabs>
          <w:tab w:val="num" w:pos="870"/>
        </w:tabs>
        <w:ind w:left="870" w:hanging="360"/>
      </w:pPr>
    </w:lvl>
  </w:abstractNum>
  <w:abstractNum w:abstractNumId="71">
    <w:nsid w:val="5ACC7C40"/>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72">
    <w:nsid w:val="5B016DDA"/>
    <w:multiLevelType w:val="singleLevel"/>
    <w:tmpl w:val="44E6B714"/>
    <w:lvl w:ilvl="0">
      <w:start w:val="1"/>
      <w:numFmt w:val="decimal"/>
      <w:lvlText w:val="%1."/>
      <w:lvlJc w:val="left"/>
      <w:pPr>
        <w:tabs>
          <w:tab w:val="num" w:pos="810"/>
        </w:tabs>
        <w:ind w:left="810" w:hanging="360"/>
      </w:pPr>
    </w:lvl>
  </w:abstractNum>
  <w:abstractNum w:abstractNumId="73">
    <w:nsid w:val="5B257341"/>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74">
    <w:nsid w:val="5B470776"/>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75">
    <w:nsid w:val="5C644326"/>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76">
    <w:nsid w:val="5DC93F64"/>
    <w:multiLevelType w:val="singleLevel"/>
    <w:tmpl w:val="98322DF0"/>
    <w:lvl w:ilvl="0">
      <w:start w:val="1"/>
      <w:numFmt w:val="decimal"/>
      <w:lvlText w:val="%1."/>
      <w:lvlJc w:val="left"/>
      <w:pPr>
        <w:tabs>
          <w:tab w:val="num" w:pos="360"/>
        </w:tabs>
        <w:ind w:left="360" w:hanging="360"/>
      </w:pPr>
      <w:rPr>
        <w:b/>
        <w:rtl w:val="0"/>
      </w:rPr>
    </w:lvl>
  </w:abstractNum>
  <w:abstractNum w:abstractNumId="77">
    <w:nsid w:val="5EC90B0B"/>
    <w:multiLevelType w:val="singleLevel"/>
    <w:tmpl w:val="041B000F"/>
    <w:lvl w:ilvl="0">
      <w:start w:val="1"/>
      <w:numFmt w:val="decimal"/>
      <w:lvlText w:val="%1."/>
      <w:lvlJc w:val="left"/>
      <w:pPr>
        <w:tabs>
          <w:tab w:val="num" w:pos="360"/>
        </w:tabs>
        <w:ind w:left="360" w:hanging="360"/>
      </w:pPr>
    </w:lvl>
  </w:abstractNum>
  <w:abstractNum w:abstractNumId="78">
    <w:nsid w:val="5F550CE9"/>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79">
    <w:nsid w:val="5F5E6F93"/>
    <w:multiLevelType w:val="singleLevel"/>
    <w:tmpl w:val="041B000F"/>
    <w:lvl w:ilvl="0">
      <w:start w:val="7"/>
      <w:numFmt w:val="decimal"/>
      <w:lvlText w:val="%1."/>
      <w:lvlJc w:val="left"/>
      <w:pPr>
        <w:tabs>
          <w:tab w:val="num" w:pos="360"/>
        </w:tabs>
        <w:ind w:left="360" w:hanging="360"/>
      </w:pPr>
    </w:lvl>
  </w:abstractNum>
  <w:abstractNum w:abstractNumId="80">
    <w:nsid w:val="60DB0139"/>
    <w:multiLevelType w:val="singleLevel"/>
    <w:tmpl w:val="339A28E6"/>
    <w:lvl w:ilvl="0">
      <w:start w:val="1"/>
      <w:numFmt w:val="decimal"/>
      <w:lvlText w:val="(%1)"/>
      <w:lvlJc w:val="left"/>
      <w:pPr>
        <w:tabs>
          <w:tab w:val="num" w:pos="750"/>
        </w:tabs>
        <w:ind w:left="750" w:hanging="360"/>
      </w:pPr>
    </w:lvl>
  </w:abstractNum>
  <w:abstractNum w:abstractNumId="81">
    <w:nsid w:val="60F84F82"/>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82">
    <w:nsid w:val="616708DF"/>
    <w:multiLevelType w:val="singleLevel"/>
    <w:tmpl w:val="041B000F"/>
    <w:lvl w:ilvl="0">
      <w:start w:val="1"/>
      <w:numFmt w:val="decimal"/>
      <w:lvlText w:val="%1."/>
      <w:lvlJc w:val="left"/>
      <w:pPr>
        <w:tabs>
          <w:tab w:val="num" w:pos="360"/>
        </w:tabs>
        <w:ind w:left="360" w:hanging="360"/>
      </w:pPr>
    </w:lvl>
  </w:abstractNum>
  <w:abstractNum w:abstractNumId="83">
    <w:nsid w:val="618619C7"/>
    <w:multiLevelType w:val="singleLevel"/>
    <w:tmpl w:val="2CAAF1B4"/>
    <w:lvl w:ilvl="0">
      <w:start w:val="1"/>
      <w:numFmt w:val="lowerLetter"/>
      <w:lvlText w:val="(%1)"/>
      <w:lvlJc w:val="left"/>
      <w:pPr>
        <w:tabs>
          <w:tab w:val="num" w:pos="750"/>
        </w:tabs>
        <w:ind w:left="750" w:hanging="360"/>
      </w:pPr>
      <w:rPr>
        <w:b w:val="0"/>
        <w:rtl w:val="0"/>
      </w:rPr>
    </w:lvl>
  </w:abstractNum>
  <w:abstractNum w:abstractNumId="84">
    <w:nsid w:val="65640B6D"/>
    <w:multiLevelType w:val="singleLevel"/>
    <w:tmpl w:val="0F0A79AE"/>
    <w:lvl w:ilvl="0">
      <w:start w:val="1"/>
      <w:numFmt w:val="decimal"/>
      <w:lvlText w:val="(%1)"/>
      <w:lvlJc w:val="left"/>
      <w:pPr>
        <w:tabs>
          <w:tab w:val="num" w:pos="420"/>
        </w:tabs>
        <w:ind w:left="420" w:hanging="360"/>
      </w:pPr>
    </w:lvl>
  </w:abstractNum>
  <w:abstractNum w:abstractNumId="85">
    <w:nsid w:val="658C7684"/>
    <w:multiLevelType w:val="singleLevel"/>
    <w:tmpl w:val="FE2EBB1E"/>
    <w:lvl w:ilvl="0">
      <w:start w:val="20"/>
      <w:numFmt w:val="decimal"/>
      <w:lvlText w:val="%1."/>
      <w:lvlJc w:val="left"/>
      <w:pPr>
        <w:tabs>
          <w:tab w:val="num" w:pos="480"/>
        </w:tabs>
        <w:ind w:left="480" w:hanging="480"/>
      </w:pPr>
    </w:lvl>
  </w:abstractNum>
  <w:abstractNum w:abstractNumId="86">
    <w:nsid w:val="66632F31"/>
    <w:multiLevelType w:val="singleLevel"/>
    <w:tmpl w:val="041B000F"/>
    <w:lvl w:ilvl="0">
      <w:start w:val="1"/>
      <w:numFmt w:val="decimal"/>
      <w:lvlText w:val="%1."/>
      <w:lvlJc w:val="left"/>
      <w:pPr>
        <w:tabs>
          <w:tab w:val="num" w:pos="360"/>
        </w:tabs>
        <w:ind w:left="360" w:hanging="360"/>
      </w:pPr>
    </w:lvl>
  </w:abstractNum>
  <w:abstractNum w:abstractNumId="87">
    <w:nsid w:val="69552B2F"/>
    <w:multiLevelType w:val="singleLevel"/>
    <w:tmpl w:val="041B000F"/>
    <w:lvl w:ilvl="0">
      <w:start w:val="1"/>
      <w:numFmt w:val="decimal"/>
      <w:lvlText w:val="%1."/>
      <w:lvlJc w:val="left"/>
      <w:pPr>
        <w:tabs>
          <w:tab w:val="num" w:pos="360"/>
        </w:tabs>
        <w:ind w:left="360" w:hanging="360"/>
      </w:pPr>
    </w:lvl>
  </w:abstractNum>
  <w:abstractNum w:abstractNumId="88">
    <w:nsid w:val="6BD8051F"/>
    <w:multiLevelType w:val="singleLevel"/>
    <w:tmpl w:val="98322DF0"/>
    <w:lvl w:ilvl="0">
      <w:start w:val="1"/>
      <w:numFmt w:val="decimal"/>
      <w:lvlText w:val="%1."/>
      <w:lvlJc w:val="left"/>
      <w:pPr>
        <w:tabs>
          <w:tab w:val="num" w:pos="360"/>
        </w:tabs>
        <w:ind w:left="360" w:hanging="360"/>
      </w:pPr>
      <w:rPr>
        <w:b/>
        <w:rtl w:val="0"/>
      </w:rPr>
    </w:lvl>
  </w:abstractNum>
  <w:abstractNum w:abstractNumId="89">
    <w:nsid w:val="6C3F7B81"/>
    <w:multiLevelType w:val="singleLevel"/>
    <w:tmpl w:val="041B000F"/>
    <w:lvl w:ilvl="0">
      <w:start w:val="1"/>
      <w:numFmt w:val="decimal"/>
      <w:lvlText w:val="%1."/>
      <w:lvlJc w:val="left"/>
      <w:pPr>
        <w:tabs>
          <w:tab w:val="num" w:pos="360"/>
        </w:tabs>
        <w:ind w:left="360" w:hanging="360"/>
      </w:pPr>
    </w:lvl>
  </w:abstractNum>
  <w:abstractNum w:abstractNumId="90">
    <w:nsid w:val="6CFE24AE"/>
    <w:multiLevelType w:val="singleLevel"/>
    <w:tmpl w:val="E3AE23DE"/>
    <w:lvl w:ilvl="0">
      <w:start w:val="10"/>
      <w:numFmt w:val="decimal"/>
      <w:lvlText w:val="%1."/>
      <w:lvlJc w:val="left"/>
      <w:pPr>
        <w:tabs>
          <w:tab w:val="num" w:pos="480"/>
        </w:tabs>
        <w:ind w:left="480" w:hanging="480"/>
      </w:pPr>
    </w:lvl>
  </w:abstractNum>
  <w:abstractNum w:abstractNumId="91">
    <w:nsid w:val="6EF45F31"/>
    <w:multiLevelType w:val="singleLevel"/>
    <w:tmpl w:val="579EC31E"/>
    <w:lvl w:ilvl="0">
      <w:start w:val="10"/>
      <w:numFmt w:val="decimal"/>
      <w:lvlText w:val="%1."/>
      <w:lvlJc w:val="left"/>
      <w:pPr>
        <w:tabs>
          <w:tab w:val="num" w:pos="450"/>
        </w:tabs>
        <w:ind w:left="450" w:hanging="450"/>
      </w:pPr>
    </w:lvl>
  </w:abstractNum>
  <w:abstractNum w:abstractNumId="92">
    <w:nsid w:val="705F479B"/>
    <w:multiLevelType w:val="singleLevel"/>
    <w:tmpl w:val="041B0017"/>
    <w:lvl w:ilvl="0">
      <w:start w:val="1"/>
      <w:numFmt w:val="lowerLetter"/>
      <w:lvlText w:val="%1)"/>
      <w:lvlJc w:val="left"/>
      <w:pPr>
        <w:tabs>
          <w:tab w:val="num" w:pos="360"/>
        </w:tabs>
        <w:ind w:left="360" w:hanging="360"/>
      </w:pPr>
    </w:lvl>
  </w:abstractNum>
  <w:abstractNum w:abstractNumId="93">
    <w:nsid w:val="715C188C"/>
    <w:multiLevelType w:val="singleLevel"/>
    <w:tmpl w:val="041B000F"/>
    <w:lvl w:ilvl="0">
      <w:start w:val="1"/>
      <w:numFmt w:val="decimal"/>
      <w:lvlText w:val="%1."/>
      <w:lvlJc w:val="left"/>
      <w:pPr>
        <w:tabs>
          <w:tab w:val="num" w:pos="360"/>
        </w:tabs>
        <w:ind w:left="360" w:hanging="360"/>
      </w:pPr>
    </w:lvl>
  </w:abstractNum>
  <w:abstractNum w:abstractNumId="94">
    <w:nsid w:val="71D53EDD"/>
    <w:multiLevelType w:val="singleLevel"/>
    <w:tmpl w:val="1EB6A002"/>
    <w:lvl w:ilvl="0">
      <w:start w:val="1"/>
      <w:numFmt w:val="lowerLetter"/>
      <w:lvlText w:val="%1)"/>
      <w:lvlJc w:val="left"/>
      <w:pPr>
        <w:tabs>
          <w:tab w:val="num" w:pos="750"/>
        </w:tabs>
        <w:ind w:left="750" w:hanging="360"/>
      </w:pPr>
    </w:lvl>
  </w:abstractNum>
  <w:abstractNum w:abstractNumId="95">
    <w:nsid w:val="729768BF"/>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96">
    <w:nsid w:val="73A43D1A"/>
    <w:multiLevelType w:val="singleLevel"/>
    <w:tmpl w:val="041B000F"/>
    <w:lvl w:ilvl="0">
      <w:start w:val="1"/>
      <w:numFmt w:val="decimal"/>
      <w:lvlText w:val="%1."/>
      <w:lvlJc w:val="left"/>
      <w:pPr>
        <w:tabs>
          <w:tab w:val="num" w:pos="360"/>
        </w:tabs>
        <w:ind w:left="360" w:hanging="360"/>
      </w:pPr>
    </w:lvl>
  </w:abstractNum>
  <w:abstractNum w:abstractNumId="97">
    <w:nsid w:val="75115E60"/>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98">
    <w:nsid w:val="755B7B55"/>
    <w:multiLevelType w:val="singleLevel"/>
    <w:tmpl w:val="041B000F"/>
    <w:lvl w:ilvl="0">
      <w:start w:val="1"/>
      <w:numFmt w:val="decimal"/>
      <w:lvlText w:val="%1."/>
      <w:lvlJc w:val="left"/>
      <w:pPr>
        <w:tabs>
          <w:tab w:val="num" w:pos="360"/>
        </w:tabs>
        <w:ind w:left="360" w:hanging="360"/>
      </w:pPr>
    </w:lvl>
  </w:abstractNum>
  <w:abstractNum w:abstractNumId="99">
    <w:nsid w:val="79F33944"/>
    <w:multiLevelType w:val="singleLevel"/>
    <w:tmpl w:val="33581474"/>
    <w:lvl w:ilvl="0">
      <w:start w:val="1"/>
      <w:numFmt w:val="decimal"/>
      <w:lvlText w:val="%1."/>
      <w:lvlJc w:val="left"/>
      <w:pPr>
        <w:tabs>
          <w:tab w:val="num" w:pos="360"/>
        </w:tabs>
        <w:ind w:left="360" w:hanging="360"/>
      </w:pPr>
      <w:rPr>
        <w:b w:val="0"/>
        <w:i w:val="0"/>
        <w:rtl w:val="0"/>
      </w:rPr>
    </w:lvl>
  </w:abstractNum>
  <w:num w:numId="1">
    <w:abstractNumId w:val="54"/>
  </w:num>
  <w:num w:numId="2">
    <w:abstractNumId w:val="9"/>
  </w:num>
  <w:num w:numId="3">
    <w:abstractNumId w:val="45"/>
  </w:num>
  <w:num w:numId="4">
    <w:abstractNumId w:val="36"/>
  </w:num>
  <w:num w:numId="5">
    <w:abstractNumId w:val="16"/>
  </w:num>
  <w:num w:numId="6">
    <w:abstractNumId w:val="66"/>
  </w:num>
  <w:num w:numId="7">
    <w:abstractNumId w:val="51"/>
  </w:num>
  <w:num w:numId="8">
    <w:abstractNumId w:val="38"/>
  </w:num>
  <w:num w:numId="9">
    <w:abstractNumId w:val="58"/>
  </w:num>
  <w:num w:numId="10">
    <w:abstractNumId w:val="2"/>
  </w:num>
  <w:num w:numId="11">
    <w:abstractNumId w:val="37"/>
  </w:num>
  <w:num w:numId="12">
    <w:abstractNumId w:val="14"/>
  </w:num>
  <w:num w:numId="13">
    <w:abstractNumId w:val="96"/>
  </w:num>
  <w:num w:numId="14">
    <w:abstractNumId w:val="61"/>
  </w:num>
  <w:num w:numId="15">
    <w:abstractNumId w:val="10"/>
  </w:num>
  <w:num w:numId="16">
    <w:abstractNumId w:val="43"/>
  </w:num>
  <w:num w:numId="17">
    <w:abstractNumId w:val="13"/>
  </w:num>
  <w:num w:numId="18">
    <w:abstractNumId w:val="68"/>
  </w:num>
  <w:num w:numId="19">
    <w:abstractNumId w:val="52"/>
  </w:num>
  <w:num w:numId="20">
    <w:abstractNumId w:val="7"/>
  </w:num>
  <w:num w:numId="21">
    <w:abstractNumId w:val="30"/>
  </w:num>
  <w:num w:numId="22">
    <w:abstractNumId w:val="64"/>
  </w:num>
  <w:num w:numId="23">
    <w:abstractNumId w:val="77"/>
  </w:num>
  <w:num w:numId="24">
    <w:abstractNumId w:val="87"/>
  </w:num>
  <w:num w:numId="25">
    <w:abstractNumId w:val="82"/>
  </w:num>
  <w:num w:numId="26">
    <w:abstractNumId w:val="98"/>
  </w:num>
  <w:num w:numId="27">
    <w:abstractNumId w:val="47"/>
  </w:num>
  <w:num w:numId="28">
    <w:abstractNumId w:val="62"/>
  </w:num>
  <w:num w:numId="29">
    <w:abstractNumId w:val="26"/>
  </w:num>
  <w:num w:numId="30">
    <w:abstractNumId w:val="93"/>
  </w:num>
  <w:num w:numId="31">
    <w:abstractNumId w:val="72"/>
  </w:num>
  <w:num w:numId="32">
    <w:abstractNumId w:val="12"/>
  </w:num>
  <w:num w:numId="33">
    <w:abstractNumId w:val="32"/>
  </w:num>
  <w:num w:numId="34">
    <w:abstractNumId w:val="0"/>
  </w:num>
  <w:num w:numId="35">
    <w:abstractNumId w:val="8"/>
  </w:num>
  <w:num w:numId="36">
    <w:abstractNumId w:val="46"/>
  </w:num>
  <w:num w:numId="37">
    <w:abstractNumId w:val="24"/>
  </w:num>
  <w:num w:numId="38">
    <w:abstractNumId w:val="48"/>
  </w:num>
  <w:num w:numId="39">
    <w:abstractNumId w:val="17"/>
  </w:num>
  <w:num w:numId="40">
    <w:abstractNumId w:val="18"/>
  </w:num>
  <w:num w:numId="41">
    <w:abstractNumId w:val="27"/>
  </w:num>
  <w:num w:numId="42">
    <w:abstractNumId w:val="23"/>
  </w:num>
  <w:num w:numId="43">
    <w:abstractNumId w:val="84"/>
  </w:num>
  <w:num w:numId="44">
    <w:abstractNumId w:val="67"/>
  </w:num>
  <w:num w:numId="45">
    <w:abstractNumId w:val="40"/>
  </w:num>
  <w:num w:numId="46">
    <w:abstractNumId w:val="55"/>
  </w:num>
  <w:num w:numId="47">
    <w:abstractNumId w:val="79"/>
  </w:num>
  <w:num w:numId="48">
    <w:abstractNumId w:val="25"/>
  </w:num>
  <w:num w:numId="49">
    <w:abstractNumId w:val="80"/>
  </w:num>
  <w:num w:numId="50">
    <w:abstractNumId w:val="42"/>
  </w:num>
  <w:num w:numId="51">
    <w:abstractNumId w:val="85"/>
  </w:num>
  <w:num w:numId="52">
    <w:abstractNumId w:val="20"/>
  </w:num>
  <w:num w:numId="53">
    <w:abstractNumId w:val="59"/>
  </w:num>
  <w:num w:numId="54">
    <w:abstractNumId w:val="83"/>
  </w:num>
  <w:num w:numId="55">
    <w:abstractNumId w:val="29"/>
  </w:num>
  <w:num w:numId="56">
    <w:abstractNumId w:val="92"/>
  </w:num>
  <w:num w:numId="57">
    <w:abstractNumId w:val="49"/>
  </w:num>
  <w:num w:numId="58">
    <w:abstractNumId w:val="31"/>
  </w:num>
  <w:num w:numId="59">
    <w:abstractNumId w:val="94"/>
  </w:num>
  <w:num w:numId="60">
    <w:abstractNumId w:val="60"/>
  </w:num>
  <w:num w:numId="61">
    <w:abstractNumId w:val="70"/>
  </w:num>
  <w:num w:numId="62">
    <w:abstractNumId w:val="21"/>
  </w:num>
  <w:num w:numId="63">
    <w:abstractNumId w:val="86"/>
  </w:num>
  <w:num w:numId="64">
    <w:abstractNumId w:val="41"/>
  </w:num>
  <w:num w:numId="65">
    <w:abstractNumId w:val="91"/>
  </w:num>
  <w:num w:numId="66">
    <w:abstractNumId w:val="35"/>
  </w:num>
  <w:num w:numId="67">
    <w:abstractNumId w:val="69"/>
  </w:num>
  <w:num w:numId="68">
    <w:abstractNumId w:val="28"/>
  </w:num>
  <w:num w:numId="69">
    <w:abstractNumId w:val="50"/>
  </w:num>
  <w:num w:numId="70">
    <w:abstractNumId w:val="90"/>
  </w:num>
  <w:num w:numId="71">
    <w:abstractNumId w:val="33"/>
  </w:num>
  <w:num w:numId="72">
    <w:abstractNumId w:val="76"/>
  </w:num>
  <w:num w:numId="73">
    <w:abstractNumId w:val="15"/>
  </w:num>
  <w:num w:numId="74">
    <w:abstractNumId w:val="88"/>
  </w:num>
  <w:num w:numId="75">
    <w:abstractNumId w:val="34"/>
  </w:num>
  <w:num w:numId="76">
    <w:abstractNumId w:val="11"/>
  </w:num>
  <w:num w:numId="77">
    <w:abstractNumId w:val="75"/>
  </w:num>
  <w:num w:numId="78">
    <w:abstractNumId w:val="56"/>
  </w:num>
  <w:num w:numId="79">
    <w:abstractNumId w:val="81"/>
  </w:num>
  <w:num w:numId="80">
    <w:abstractNumId w:val="3"/>
  </w:num>
  <w:num w:numId="81">
    <w:abstractNumId w:val="78"/>
  </w:num>
  <w:num w:numId="82">
    <w:abstractNumId w:val="95"/>
  </w:num>
  <w:num w:numId="83">
    <w:abstractNumId w:val="44"/>
  </w:num>
  <w:num w:numId="84">
    <w:abstractNumId w:val="5"/>
  </w:num>
  <w:num w:numId="85">
    <w:abstractNumId w:val="6"/>
  </w:num>
  <w:num w:numId="86">
    <w:abstractNumId w:val="19"/>
  </w:num>
  <w:num w:numId="87">
    <w:abstractNumId w:val="1"/>
  </w:num>
  <w:num w:numId="88">
    <w:abstractNumId w:val="74"/>
  </w:num>
  <w:num w:numId="89">
    <w:abstractNumId w:val="99"/>
  </w:num>
  <w:num w:numId="90">
    <w:abstractNumId w:val="22"/>
  </w:num>
  <w:num w:numId="91">
    <w:abstractNumId w:val="73"/>
  </w:num>
  <w:num w:numId="92">
    <w:abstractNumId w:val="63"/>
  </w:num>
  <w:num w:numId="93">
    <w:abstractNumId w:val="71"/>
  </w:num>
  <w:num w:numId="94">
    <w:abstractNumId w:val="97"/>
  </w:num>
  <w:num w:numId="95">
    <w:abstractNumId w:val="65"/>
  </w:num>
  <w:num w:numId="96">
    <w:abstractNumId w:val="57"/>
  </w:num>
  <w:num w:numId="97">
    <w:abstractNumId w:val="53"/>
  </w:num>
  <w:num w:numId="98">
    <w:abstractNumId w:val="4"/>
  </w:num>
  <w:num w:numId="99">
    <w:abstractNumId w:val="89"/>
  </w:num>
  <w:num w:numId="10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rFonts w:ascii="AT*Switzerland" w:hAnsi="AT*Switzerland"/>
      <w:sz w:val="24"/>
      <w:szCs w:val="20"/>
      <w:rtl w:val="0"/>
      <w:lang w:val="sk-SK" w:bidi="ar-SA"/>
    </w:rPr>
  </w:style>
  <w:style w:type="paragraph" w:styleId="Heading1">
    <w:name w:val="heading 1"/>
    <w:basedOn w:val="Normal"/>
    <w:next w:val="Normal"/>
    <w:uiPriority w:val="9"/>
    <w:qFormat/>
    <w:pPr>
      <w:keepNext/>
      <w:tabs>
        <w:tab w:val="left" w:pos="993"/>
      </w:tabs>
      <w:ind w:left="425" w:right="425"/>
      <w:jc w:val="center"/>
      <w:outlineLvl w:val="0"/>
    </w:pPr>
    <w:rPr>
      <w:b/>
      <w:noProof/>
      <w:lang w:val="en-GB"/>
    </w:rPr>
  </w:style>
  <w:style w:type="paragraph" w:styleId="Heading2">
    <w:name w:val="heading 2"/>
    <w:basedOn w:val="Normal"/>
    <w:next w:val="Normal"/>
    <w:uiPriority w:val="9"/>
    <w:qFormat/>
    <w:pPr>
      <w:keepNext/>
      <w:jc w:val="center"/>
      <w:outlineLvl w:val="1"/>
    </w:pPr>
    <w:rPr>
      <w:b/>
    </w:rPr>
  </w:style>
  <w:style w:type="paragraph" w:styleId="Heading3">
    <w:name w:val="heading 3"/>
    <w:basedOn w:val="Normal"/>
    <w:next w:val="Normal"/>
    <w:uiPriority w:val="9"/>
    <w:qFormat/>
    <w:pPr>
      <w:keepNext/>
      <w:numPr>
        <w:ilvl w:val="0"/>
        <w:numId w:val="10"/>
      </w:numPr>
      <w:tabs>
        <w:tab w:val="left" w:pos="360"/>
      </w:tabs>
      <w:ind w:left="360" w:hanging="360"/>
      <w:jc w:val="left"/>
      <w:outlineLvl w:val="2"/>
    </w:pPr>
    <w:rPr>
      <w:b/>
    </w:rPr>
  </w:style>
  <w:style w:type="paragraph" w:styleId="Heading4">
    <w:name w:val="heading 4"/>
    <w:basedOn w:val="Normal"/>
    <w:next w:val="Normal"/>
    <w:uiPriority w:val="9"/>
    <w:qFormat/>
    <w:pPr>
      <w:keepNext/>
      <w:tabs>
        <w:tab w:val="left" w:pos="993"/>
      </w:tabs>
      <w:ind w:left="360"/>
      <w:jc w:val="both"/>
      <w:outlineLvl w:val="3"/>
    </w:pPr>
    <w:rPr>
      <w:b/>
    </w:rPr>
  </w:style>
  <w:style w:type="paragraph" w:styleId="Heading5">
    <w:name w:val="heading 5"/>
    <w:basedOn w:val="Normal"/>
    <w:next w:val="Normal"/>
    <w:uiPriority w:val="9"/>
    <w:qFormat/>
    <w:pPr>
      <w:keepNext/>
      <w:tabs>
        <w:tab w:val="left" w:pos="993"/>
      </w:tabs>
      <w:jc w:val="both"/>
      <w:outlineLvl w:val="4"/>
    </w:pPr>
    <w:rPr>
      <w:b/>
    </w:rPr>
  </w:style>
  <w:style w:type="paragraph" w:styleId="Heading6">
    <w:name w:val="heading 6"/>
    <w:basedOn w:val="Normal"/>
    <w:next w:val="Normal"/>
    <w:uiPriority w:val="9"/>
    <w:qFormat/>
    <w:pPr>
      <w:keepNext/>
      <w:jc w:val="left"/>
      <w:outlineLvl w:val="5"/>
    </w:pPr>
    <w:rPr>
      <w:b/>
      <w:sz w:val="28"/>
      <w:u w:val="single"/>
    </w:rPr>
  </w:style>
  <w:style w:type="paragraph" w:styleId="Heading7">
    <w:name w:val="heading 7"/>
    <w:basedOn w:val="Normal"/>
    <w:next w:val="Normal"/>
    <w:uiPriority w:val="9"/>
    <w:qFormat/>
    <w:pPr>
      <w:keepNext/>
      <w:tabs>
        <w:tab w:val="left" w:pos="993"/>
      </w:tabs>
      <w:jc w:val="left"/>
      <w:outlineLvl w:val="6"/>
    </w:pPr>
    <w:rPr>
      <w:b/>
    </w:rPr>
  </w:style>
  <w:style w:type="paragraph" w:styleId="Heading8">
    <w:name w:val="heading 8"/>
    <w:basedOn w:val="Normal"/>
    <w:next w:val="Normal"/>
    <w:uiPriority w:val="9"/>
    <w:qFormat/>
    <w:pPr>
      <w:keepNext/>
      <w:jc w:val="both"/>
      <w:outlineLvl w:val="7"/>
    </w:pPr>
    <w:rPr>
      <w:b/>
      <w:i/>
    </w:rPr>
  </w:style>
  <w:style w:type="paragraph" w:styleId="Heading9">
    <w:name w:val="heading 9"/>
    <w:basedOn w:val="Normal"/>
    <w:next w:val="Normal"/>
    <w:uiPriority w:val="9"/>
    <w:qFormat/>
    <w:pPr>
      <w:keepNext/>
      <w:ind w:firstLine="60"/>
      <w:jc w:val="left"/>
      <w:outlineLvl w:val="8"/>
    </w:pPr>
    <w:rPr>
      <w:b/>
    </w:rPr>
  </w:style>
  <w:style w:type="character" w:default="1" w:styleId="DefaultParagraphFont">
    <w:name w:val="Default Paragraph Font"/>
    <w:semiHidden/>
  </w:style>
  <w:style w:type="paragraph" w:styleId="Title">
    <w:name w:val="Title"/>
    <w:basedOn w:val="Normal"/>
    <w:uiPriority w:val="10"/>
    <w:qFormat/>
    <w:pPr>
      <w:jc w:val="center"/>
    </w:pPr>
    <w:rPr>
      <w:b/>
    </w:rPr>
  </w:style>
  <w:style w:type="paragraph" w:styleId="BodyTextIndent">
    <w:name w:val="Body Text Indent"/>
    <w:basedOn w:val="Normal"/>
    <w:pPr>
      <w:ind w:firstLine="708"/>
      <w:jc w:val="left"/>
    </w:pPr>
  </w:style>
  <w:style w:type="paragraph" w:styleId="BlockText">
    <w:name w:val="Block Text"/>
    <w:basedOn w:val="Normal"/>
    <w:pPr>
      <w:ind w:left="425" w:right="425"/>
      <w:jc w:val="left"/>
      <w:outlineLvl w:val="0"/>
    </w:pPr>
  </w:style>
  <w:style w:type="paragraph" w:styleId="Footer">
    <w:name w:val="footer"/>
    <w:basedOn w:val="Normal"/>
    <w:pPr>
      <w:tabs>
        <w:tab w:val="center" w:pos="4153"/>
        <w:tab w:val="right" w:pos="8306"/>
      </w:tabs>
      <w:ind w:left="425" w:right="425"/>
      <w:jc w:val="left"/>
    </w:pPr>
    <w:rPr>
      <w:noProof/>
      <w:lang w:val="en-GB"/>
    </w:rPr>
  </w:style>
  <w:style w:type="paragraph" w:styleId="BodyText3">
    <w:name w:val="Body Text 3"/>
    <w:basedOn w:val="Normal"/>
    <w:pPr>
      <w:ind w:right="425"/>
      <w:jc w:val="both"/>
    </w:pPr>
    <w:rPr>
      <w:i/>
    </w:rPr>
  </w:style>
  <w:style w:type="paragraph" w:styleId="BodyTextIndent2">
    <w:name w:val="Body Text Indent 2"/>
    <w:basedOn w:val="Normal"/>
    <w:pPr>
      <w:ind w:firstLine="708"/>
      <w:jc w:val="both"/>
    </w:pPr>
  </w:style>
  <w:style w:type="paragraph" w:styleId="BodyText">
    <w:name w:val="Body Text"/>
    <w:basedOn w:val="Normal"/>
    <w:pPr>
      <w:jc w:val="both"/>
    </w:pPr>
  </w:style>
  <w:style w:type="paragraph" w:styleId="PlainText">
    <w:name w:val="Plain Text"/>
    <w:basedOn w:val="Normal"/>
    <w:pPr>
      <w:jc w:val="left"/>
    </w:pPr>
    <w:rPr>
      <w:rFonts w:ascii="Courier New" w:hAnsi="Courier New"/>
      <w:noProof/>
      <w:sz w:val="20"/>
    </w:rPr>
  </w:style>
  <w:style w:type="paragraph" w:styleId="BodyText2">
    <w:name w:val="Body Text 2"/>
    <w:basedOn w:val="Normal"/>
    <w:pPr>
      <w:tabs>
        <w:tab w:val="left" w:pos="993"/>
      </w:tabs>
      <w:jc w:val="both"/>
    </w:pPr>
    <w:rPr>
      <w:i/>
    </w:rPr>
  </w:style>
  <w:style w:type="paragraph" w:styleId="Subtitle">
    <w:name w:val="Subtitle"/>
    <w:basedOn w:val="Normal"/>
    <w:uiPriority w:val="11"/>
    <w:qFormat/>
    <w:pPr>
      <w:jc w:val="left"/>
    </w:pPr>
    <w:rPr>
      <w:b/>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Textbubliny">
    <w:name w:val="Text bubliny"/>
    <w:basedOn w:val="Normal"/>
    <w:semiHidden/>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53</TotalTime>
  <Pages>1</Pages>
  <Words>1311</Words>
  <Characters>7477</Characters>
  <Application>Microsoft Office Word</Application>
  <DocSecurity>0</DocSecurity>
  <Lines>0</Lines>
  <Paragraphs>0</Paragraphs>
  <ScaleCrop>false</ScaleCrop>
  <Company>EXIMBANKA SR</Company>
  <LinksUpToDate>false</LinksUpToDate>
  <CharactersWithSpaces>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OPRALOVÁ Ľubica</dc:creator>
  <cp:lastModifiedBy>Marta Gulárová</cp:lastModifiedBy>
  <cp:revision>6</cp:revision>
  <cp:lastPrinted>2004-08-19T07:47:00Z</cp:lastPrinted>
  <dcterms:created xsi:type="dcterms:W3CDTF">2004-08-18T13:35:00Z</dcterms:created>
  <dcterms:modified xsi:type="dcterms:W3CDTF">2004-08-19T07:48:00Z</dcterms:modified>
</cp:coreProperties>
</file>