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BodyTextIndent"/>
        <w:jc w:val="both"/>
        <w:rPr>
          <w:rFonts w:ascii="Times New Roman" w:hAnsi="Times New Roman" w:cs="Times New Roman"/>
          <w:b/>
          <w:bCs/>
        </w:rPr>
      </w:pPr>
    </w:p>
    <w:p>
      <w:pPr>
        <w:pStyle w:val="BodyTextIndent"/>
        <w:jc w:val="both"/>
        <w:rPr>
          <w:rFonts w:ascii="Times New Roman" w:hAnsi="Times New Roman" w:cs="Times New Roman"/>
          <w:b/>
          <w:bCs/>
        </w:rPr>
      </w:pPr>
      <w:r>
        <w:rPr>
          <w:rFonts w:ascii="Times New Roman" w:hAnsi="Times New Roman" w:cs="Times New Roman"/>
          <w:b/>
          <w:bCs/>
        </w:rPr>
        <w:t xml:space="preserve">Osobitná časť </w:t>
      </w:r>
    </w:p>
    <w:p>
      <w:pPr>
        <w:pStyle w:val="BodyTextIndent"/>
        <w:jc w:val="both"/>
        <w:rPr>
          <w:rFonts w:ascii="Times New Roman" w:hAnsi="Times New Roman" w:cs="Times New Roman"/>
        </w:rPr>
      </w:pPr>
    </w:p>
    <w:p>
      <w:pPr>
        <w:pStyle w:val="BodyTextIndent"/>
        <w:jc w:val="both"/>
        <w:rPr>
          <w:rFonts w:ascii="Times New Roman" w:hAnsi="Times New Roman" w:cs="Times New Roman"/>
        </w:rPr>
      </w:pPr>
    </w:p>
    <w:p>
      <w:pPr>
        <w:pStyle w:val="BodyTextIndent"/>
        <w:jc w:val="both"/>
        <w:rPr>
          <w:rFonts w:ascii="Times New Roman" w:hAnsi="Times New Roman" w:cs="Times New Roman"/>
          <w:b/>
          <w:bCs/>
        </w:rPr>
      </w:pPr>
      <w:r>
        <w:rPr>
          <w:rFonts w:ascii="Times New Roman" w:hAnsi="Times New Roman" w:cs="Times New Roman"/>
          <w:b/>
          <w:bCs/>
        </w:rPr>
        <w:t xml:space="preserve">K bodu 1 </w:t>
      </w:r>
    </w:p>
    <w:p>
      <w:pPr>
        <w:pStyle w:val="BodyTextIndent"/>
        <w:jc w:val="both"/>
        <w:rPr>
          <w:rFonts w:ascii="Times New Roman" w:hAnsi="Times New Roman" w:cs="Times New Roman"/>
        </w:rPr>
      </w:pPr>
    </w:p>
    <w:p>
      <w:pPr>
        <w:pStyle w:val="BodyTextIndent"/>
        <w:ind w:firstLine="696"/>
        <w:jc w:val="both"/>
        <w:rPr>
          <w:rFonts w:ascii="Times New Roman" w:hAnsi="Times New Roman" w:cs="Times New Roman"/>
        </w:rPr>
      </w:pPr>
      <w:r>
        <w:rPr>
          <w:rFonts w:ascii="Times New Roman" w:hAnsi="Times New Roman" w:cs="Times New Roman"/>
        </w:rPr>
        <w:t xml:space="preserve">Rozšírenie činností stavebných sporiteľní sa týka možnosti nákupu kvalitných bankových a podnikových dlhopisov a obchodovania na vlastný účet s finančnými nástrojmi peňažného a kapitálového trhu, a to aj s derivátmi určenými na zabezpečenie  pozícií a zníženie úrokového rizika. Tieto činnosti prispejú k zvýšeniu kvality v oblasti riadenia rizík, ktoré predpokladá Bazilejská dohoda o kapitáli. </w:t>
      </w:r>
    </w:p>
    <w:p>
      <w:pPr>
        <w:pStyle w:val="BodyTextIndent"/>
        <w:jc w:val="both"/>
        <w:rPr>
          <w:rFonts w:ascii="Times New Roman" w:hAnsi="Times New Roman" w:cs="Times New Roman"/>
          <w:b/>
          <w:bCs/>
        </w:rPr>
      </w:pPr>
    </w:p>
    <w:p>
      <w:pPr>
        <w:pStyle w:val="BodyTextIndent"/>
        <w:jc w:val="both"/>
        <w:rPr>
          <w:rFonts w:ascii="Times New Roman" w:hAnsi="Times New Roman" w:cs="Times New Roman"/>
          <w:b/>
          <w:bCs/>
        </w:rPr>
      </w:pPr>
    </w:p>
    <w:p>
      <w:pPr>
        <w:pStyle w:val="BodyTextIndent"/>
        <w:jc w:val="both"/>
        <w:rPr>
          <w:rFonts w:ascii="Times New Roman" w:hAnsi="Times New Roman" w:cs="Times New Roman"/>
        </w:rPr>
      </w:pPr>
      <w:r>
        <w:rPr>
          <w:rFonts w:ascii="Times New Roman" w:hAnsi="Times New Roman" w:cs="Times New Roman"/>
          <w:b/>
          <w:bCs/>
        </w:rPr>
        <w:t>K bodu 2</w:t>
      </w:r>
    </w:p>
    <w:p>
      <w:pPr>
        <w:pStyle w:val="BodyTextIndent"/>
        <w:ind w:firstLine="696"/>
        <w:jc w:val="both"/>
        <w:rPr>
          <w:rFonts w:ascii="Times New Roman" w:hAnsi="Times New Roman" w:cs="Times New Roman"/>
        </w:rPr>
      </w:pPr>
    </w:p>
    <w:p>
      <w:pPr>
        <w:pStyle w:val="BodyTextIndent"/>
        <w:ind w:firstLine="696"/>
        <w:jc w:val="both"/>
        <w:rPr>
          <w:rFonts w:ascii="Times New Roman" w:hAnsi="Times New Roman" w:cs="Times New Roman"/>
        </w:rPr>
      </w:pPr>
      <w:r>
        <w:rPr>
          <w:rFonts w:ascii="Times New Roman" w:hAnsi="Times New Roman" w:cs="Times New Roman"/>
        </w:rPr>
        <w:t>Doplnením bodu 2 sa rozšíria možnosti poskytovania úverov na novú bytovú výstavbu pre právnické osoby a fyzické osoby – podnikateľov z dočasne voľných zdrojov fondu stavebného sporenia za účelom ich následného predaja po kolaudácii bytových objektov. Právnická osoba spláca počas výstavby len úroky z takto poskytnutého úveru  bez nutnosti povinného sporenia počas výstavby, kedy je finančná náročnosť a zaťaženosť pre stavebníka najvyššia. Splatenie takýchto stavebných úverov je riešené v § 8 ods. 8, z ktorého vyplýva povinnosť právnickej osoby prednostne splatiť úver z finančných prostriedkov získaných predajom bytu, bytového domu, alebo jeho časti. Jedná sa teda o stavebné úvery s lehotou splatnosti naviazanou na lehotu výstavby bytového objektu. Nároky stavebných sporiteľov na výplatu vkladov a poskytnutie úverov nie sú týmto ustanovením dotknuté, nakoľko sa jedná o doplnenie ustanovenia o použití prostriedkov z dočasne voľných zdrojov fondu stavebného sporenia, ktoré môže stavebná sporiteľňa poskytnúť iba v prípade ak je zabezpečené plnenie podľa § 12 ods. 1 písm. a/ a c/.</w:t>
      </w:r>
    </w:p>
    <w:p>
      <w:pPr>
        <w:pStyle w:val="BodyTextIndent"/>
        <w:jc w:val="both"/>
        <w:rPr>
          <w:rFonts w:ascii="Times New Roman" w:hAnsi="Times New Roman" w:cs="Times New Roman"/>
        </w:rPr>
      </w:pPr>
    </w:p>
    <w:p>
      <w:pPr>
        <w:pStyle w:val="BodyTextIndent"/>
        <w:jc w:val="both"/>
        <w:rPr>
          <w:rFonts w:ascii="Times New Roman" w:hAnsi="Times New Roman" w:cs="Times New Roman"/>
        </w:rPr>
      </w:pPr>
    </w:p>
    <w:p>
      <w:pPr>
        <w:pStyle w:val="BodyTextIndent"/>
        <w:jc w:val="both"/>
        <w:rPr>
          <w:rFonts w:ascii="Times New Roman" w:hAnsi="Times New Roman" w:cs="Times New Roman"/>
          <w:b/>
          <w:bCs/>
        </w:rPr>
      </w:pPr>
      <w:r>
        <w:rPr>
          <w:rFonts w:ascii="Times New Roman" w:hAnsi="Times New Roman" w:cs="Times New Roman"/>
          <w:b/>
          <w:bCs/>
        </w:rPr>
        <w:t>K bod</w:t>
      </w:r>
      <w:r>
        <w:rPr>
          <w:rFonts w:ascii="Times New Roman" w:hAnsi="Times New Roman" w:cs="Times New Roman"/>
          <w:b/>
          <w:bCs/>
        </w:rPr>
        <w:t>u 3</w:t>
      </w:r>
    </w:p>
    <w:p>
      <w:pPr>
        <w:pStyle w:val="BodyTextIndent"/>
        <w:jc w:val="both"/>
        <w:rPr>
          <w:rFonts w:ascii="Times New Roman" w:hAnsi="Times New Roman" w:cs="Times New Roman"/>
          <w:b/>
          <w:bCs/>
        </w:rPr>
      </w:pPr>
    </w:p>
    <w:p>
      <w:pPr>
        <w:pStyle w:val="BodyTextIndent"/>
        <w:jc w:val="both"/>
        <w:rPr>
          <w:rFonts w:ascii="Times New Roman" w:hAnsi="Times New Roman" w:cs="Times New Roman"/>
          <w:b/>
          <w:bCs/>
        </w:rPr>
      </w:pPr>
      <w:r>
        <w:rPr>
          <w:rFonts w:ascii="Times New Roman" w:hAnsi="Times New Roman" w:cs="Times New Roman"/>
        </w:rPr>
        <w:tab/>
        <w:t>Ide o zosúladenie terminológie v zákone o stavebnom sporení s terminológiou používanou v novelizovanom zákone o bankách a zákone o platobnom styku.</w:t>
      </w:r>
      <w:r>
        <w:rPr>
          <w:rFonts w:ascii="Times New Roman" w:hAnsi="Times New Roman" w:cs="Times New Roman"/>
          <w:b/>
          <w:bCs/>
        </w:rPr>
        <w:t xml:space="preserve"> </w:t>
      </w:r>
    </w:p>
    <w:p>
      <w:pPr>
        <w:pStyle w:val="BodyTextIndent"/>
        <w:jc w:val="both"/>
        <w:rPr>
          <w:rFonts w:ascii="Times New Roman" w:hAnsi="Times New Roman" w:cs="Times New Roman"/>
          <w:b/>
          <w:bCs/>
        </w:rPr>
      </w:pPr>
    </w:p>
    <w:p>
      <w:pPr>
        <w:pStyle w:val="BodyTextIndent"/>
        <w:jc w:val="both"/>
        <w:rPr>
          <w:rFonts w:ascii="Times New Roman" w:hAnsi="Times New Roman" w:cs="Times New Roman"/>
          <w:b/>
          <w:bCs/>
        </w:rPr>
      </w:pPr>
    </w:p>
    <w:p>
      <w:pPr>
        <w:pStyle w:val="BodyTextIndent"/>
        <w:jc w:val="both"/>
        <w:rPr>
          <w:rFonts w:ascii="Times New Roman" w:hAnsi="Times New Roman" w:cs="Times New Roman"/>
          <w:b/>
          <w:bCs/>
        </w:rPr>
      </w:pPr>
      <w:r>
        <w:rPr>
          <w:rFonts w:ascii="Times New Roman" w:hAnsi="Times New Roman" w:cs="Times New Roman"/>
          <w:b/>
          <w:bCs/>
        </w:rPr>
        <w:t>K bodu 4</w:t>
      </w:r>
    </w:p>
    <w:p>
      <w:pPr>
        <w:pStyle w:val="BodyTextIndent"/>
        <w:jc w:val="both"/>
        <w:rPr>
          <w:rFonts w:ascii="Times New Roman" w:hAnsi="Times New Roman" w:cs="Times New Roman"/>
          <w:b/>
          <w:bCs/>
        </w:rPr>
      </w:pPr>
    </w:p>
    <w:p>
      <w:pPr>
        <w:pStyle w:val="BodyTextIndent"/>
        <w:ind w:firstLine="696"/>
        <w:jc w:val="both"/>
        <w:rPr>
          <w:rFonts w:ascii="Times New Roman" w:hAnsi="Times New Roman" w:cs="Times New Roman"/>
        </w:rPr>
      </w:pPr>
      <w:r>
        <w:rPr>
          <w:rFonts w:ascii="Times New Roman" w:hAnsi="Times New Roman" w:cs="Times New Roman"/>
        </w:rPr>
        <w:t>V súlade so zákonom č. 483/2001</w:t>
      </w:r>
      <w:r>
        <w:rPr>
          <w:rFonts w:ascii="Times New Roman" w:hAnsi="Times New Roman" w:cs="Times New Roman"/>
          <w:color w:val="000000"/>
        </w:rPr>
        <w:t>Z.z. o bankách a o zmene a doplnení niektorých zákonov v z</w:t>
      </w:r>
      <w:r>
        <w:rPr>
          <w:rFonts w:ascii="Times New Roman" w:hAnsi="Times New Roman" w:cs="Times New Roman"/>
          <w:color w:val="000000"/>
        </w:rPr>
        <w:t>není neskorších predpisov</w:t>
      </w:r>
      <w:r>
        <w:rPr>
          <w:rFonts w:ascii="Times New Roman" w:hAnsi="Times New Roman" w:cs="Times New Roman"/>
        </w:rPr>
        <w:t xml:space="preserve">  je zároveň zakomponovaná podmienka obozretného podnikania pre stavebné sporiteľne, a to v povinnosti požiadať Národnú banku Slovenska o predchádzajúci súhlas pred začatím obchodovania s jednotlivými typmi nástrojov. </w:t>
      </w:r>
    </w:p>
    <w:p>
      <w:pPr>
        <w:pStyle w:val="BodyTextIndent"/>
        <w:jc w:val="both"/>
        <w:rPr>
          <w:rFonts w:ascii="Times New Roman" w:hAnsi="Times New Roman" w:cs="Times New Roman"/>
          <w:b/>
          <w:bCs/>
        </w:rPr>
      </w:pPr>
    </w:p>
    <w:p>
      <w:pPr>
        <w:pStyle w:val="BodyTextIndent"/>
        <w:jc w:val="both"/>
        <w:rPr>
          <w:rFonts w:ascii="Times New Roman" w:hAnsi="Times New Roman" w:cs="Times New Roman"/>
          <w:b/>
          <w:bCs/>
        </w:rPr>
      </w:pPr>
    </w:p>
    <w:p>
      <w:pPr>
        <w:pStyle w:val="BodyTextIndent"/>
        <w:ind w:left="0" w:firstLine="708"/>
        <w:jc w:val="both"/>
        <w:rPr>
          <w:rFonts w:ascii="Times New Roman" w:hAnsi="Times New Roman" w:cs="Times New Roman"/>
          <w:b/>
          <w:bCs/>
        </w:rPr>
      </w:pPr>
      <w:r>
        <w:rPr>
          <w:rFonts w:ascii="Times New Roman" w:hAnsi="Times New Roman" w:cs="Times New Roman"/>
          <w:b/>
          <w:bCs/>
        </w:rPr>
        <w:t>K bodu 5 a</w:t>
      </w:r>
      <w:r>
        <w:rPr>
          <w:rFonts w:ascii="Times New Roman" w:hAnsi="Times New Roman" w:cs="Times New Roman"/>
          <w:b/>
          <w:bCs/>
        </w:rPr>
        <w:t> 6</w:t>
      </w:r>
    </w:p>
    <w:p>
      <w:pPr>
        <w:pStyle w:val="BodyTextIndent"/>
        <w:jc w:val="both"/>
        <w:rPr>
          <w:rFonts w:ascii="Times New Roman" w:hAnsi="Times New Roman" w:cs="Times New Roman"/>
        </w:rPr>
      </w:pPr>
    </w:p>
    <w:p>
      <w:pPr>
        <w:pStyle w:val="BodyTextIndent"/>
        <w:ind w:firstLine="696"/>
        <w:jc w:val="both"/>
        <w:rPr>
          <w:rFonts w:ascii="Times New Roman" w:hAnsi="Times New Roman" w:cs="Times New Roman"/>
        </w:rPr>
      </w:pPr>
      <w:r>
        <w:rPr>
          <w:rFonts w:ascii="Times New Roman" w:hAnsi="Times New Roman" w:cs="Times New Roman"/>
        </w:rPr>
        <w:t>Navrhovaný postup založený na transparentnosti posilní predbežnú kontrolu oprávnenosti nárokov na poskytovanie štátnej prémie pre stavebných sporiteľov. Ministerstvo financií SR zabezpečí pre poskytovateľa štátnej prémie informácie z bankového systému evidencie zmlúv o stavebnom sporení. Navrhovaný postup posilní nestrannosť v procese nárokovania a poukazovania štátnej prémie stavebnými sporiteľmi, ktorými naň, na základe splnenia zákonom stanovených podmienok, vznikol nárok.</w:t>
      </w:r>
    </w:p>
    <w:p>
      <w:pPr>
        <w:pStyle w:val="BodyTextIndent"/>
        <w:jc w:val="both"/>
        <w:rPr>
          <w:rFonts w:ascii="Times New Roman" w:hAnsi="Times New Roman" w:cs="Times New Roman"/>
        </w:rPr>
      </w:pPr>
    </w:p>
    <w:p>
      <w:pPr>
        <w:pStyle w:val="BodyTextIndent"/>
        <w:jc w:val="both"/>
        <w:rPr>
          <w:rFonts w:ascii="Times New Roman" w:hAnsi="Times New Roman" w:cs="Times New Roman"/>
        </w:rPr>
      </w:pPr>
    </w:p>
    <w:p>
      <w:pPr>
        <w:pStyle w:val="BodyTextIndent"/>
        <w:jc w:val="both"/>
        <w:rPr>
          <w:rFonts w:ascii="Times New Roman" w:hAnsi="Times New Roman" w:cs="Times New Roman"/>
          <w:b/>
          <w:bCs/>
        </w:rPr>
      </w:pPr>
      <w:r>
        <w:rPr>
          <w:rFonts w:ascii="Times New Roman" w:hAnsi="Times New Roman" w:cs="Times New Roman"/>
          <w:b/>
          <w:bCs/>
        </w:rPr>
        <w:t>K bodu 7,8 a 9</w:t>
      </w:r>
    </w:p>
    <w:p>
      <w:pPr>
        <w:pStyle w:val="BodyTextIndent"/>
        <w:jc w:val="both"/>
        <w:rPr>
          <w:rFonts w:ascii="Times New Roman" w:hAnsi="Times New Roman" w:cs="Times New Roman"/>
        </w:rPr>
      </w:pPr>
    </w:p>
    <w:p>
      <w:pPr>
        <w:pStyle w:val="BodyTextIndent"/>
        <w:ind w:firstLine="696"/>
        <w:jc w:val="both"/>
        <w:rPr>
          <w:rFonts w:ascii="Times New Roman" w:hAnsi="Times New Roman" w:cs="Times New Roman"/>
        </w:rPr>
      </w:pPr>
      <w:r>
        <w:rPr>
          <w:rFonts w:ascii="Times New Roman" w:hAnsi="Times New Roman" w:cs="Times New Roman"/>
        </w:rPr>
        <w:t>Zvýšením percentuálneho podielu sa rozšíri možnosť uzatvárania zmlúv o stavebnom sporení s právnickými osobami a teda aj možnosť rozšírenia podpory novej bytovej výstavby poskytnutím finančných zdrojov formou stavebných úverov na hromadnú bytovú výstavbu pre investorov – prevažne stavebné firmy.</w:t>
      </w:r>
    </w:p>
    <w:p>
      <w:pPr>
        <w:pStyle w:val="BodyTextIndent"/>
        <w:ind w:firstLine="696"/>
        <w:jc w:val="both"/>
        <w:rPr>
          <w:rFonts w:ascii="Times New Roman" w:hAnsi="Times New Roman" w:cs="Times New Roman"/>
        </w:rPr>
      </w:pPr>
      <w:r>
        <w:rPr>
          <w:rFonts w:ascii="Times New Roman" w:hAnsi="Times New Roman" w:cs="Times New Roman"/>
        </w:rPr>
        <w:t>Naakumulovaním zdrojov na výstavbu sa nielen podporí nová bytová výstavba, ale aj umožní novým vlastníkom získať byt, resp. rodinný dom prostredníctvom stavebného úveru, ktorý bude zabezpečený týmto bytom (bez nutnosti mať iný záložný objekt).</w:t>
      </w:r>
    </w:p>
    <w:p>
      <w:pPr>
        <w:pStyle w:val="BodyTextIndent"/>
        <w:ind w:firstLine="696"/>
        <w:jc w:val="both"/>
        <w:rPr>
          <w:rFonts w:ascii="Times New Roman" w:hAnsi="Times New Roman" w:cs="Times New Roman"/>
        </w:rPr>
      </w:pPr>
      <w:r>
        <w:rPr>
          <w:rFonts w:ascii="Times New Roman" w:hAnsi="Times New Roman" w:cs="Times New Roman"/>
        </w:rPr>
        <w:t>Z časového hľadiska ide o strednodobé úvery so splatnosťou maximálne do 36 mesiacov (v závislosti od dĺžky trvania výstavby), neviažuce dlhodobo finančné prostriedky z fondu stavebného sporenia.</w:t>
      </w:r>
    </w:p>
    <w:p>
      <w:pPr>
        <w:pStyle w:val="BodyTextIndent"/>
        <w:ind w:firstLine="696"/>
        <w:jc w:val="both"/>
        <w:rPr>
          <w:rFonts w:ascii="Times New Roman" w:hAnsi="Times New Roman" w:cs="Times New Roman"/>
        </w:rPr>
      </w:pPr>
      <w:r>
        <w:rPr>
          <w:rFonts w:ascii="Times New Roman" w:hAnsi="Times New Roman" w:cs="Times New Roman"/>
        </w:rPr>
        <w:t>Návrh nemá dopad na štátny rozpočet, nakoľko právnické osoby nemajú nárok na štátnu prémiu.</w:t>
      </w:r>
    </w:p>
    <w:p>
      <w:pPr>
        <w:pStyle w:val="BodyTextIndent"/>
        <w:jc w:val="both"/>
        <w:rPr>
          <w:rFonts w:ascii="Times New Roman" w:hAnsi="Times New Roman" w:cs="Times New Roman"/>
        </w:rPr>
      </w:pPr>
    </w:p>
    <w:p>
      <w:pPr>
        <w:pStyle w:val="BodyTextIndent"/>
        <w:jc w:val="both"/>
        <w:rPr>
          <w:rFonts w:ascii="Times New Roman" w:hAnsi="Times New Roman" w:cs="Times New Roman"/>
        </w:rPr>
      </w:pPr>
    </w:p>
    <w:p>
      <w:pPr>
        <w:pStyle w:val="BodyTextIndent"/>
        <w:jc w:val="both"/>
        <w:rPr>
          <w:rFonts w:ascii="Times New Roman" w:hAnsi="Times New Roman" w:cs="Times New Roman"/>
          <w:b/>
          <w:bCs/>
        </w:rPr>
      </w:pPr>
      <w:r>
        <w:rPr>
          <w:rFonts w:ascii="Times New Roman" w:hAnsi="Times New Roman" w:cs="Times New Roman"/>
          <w:b/>
          <w:bCs/>
        </w:rPr>
        <w:t>K bodu 10 a 18</w:t>
      </w:r>
    </w:p>
    <w:p>
      <w:pPr>
        <w:pStyle w:val="BodyTextIndent"/>
        <w:jc w:val="both"/>
        <w:rPr>
          <w:rFonts w:ascii="Times New Roman" w:hAnsi="Times New Roman" w:cs="Times New Roman"/>
        </w:rPr>
      </w:pPr>
    </w:p>
    <w:p>
      <w:pPr>
        <w:ind w:left="720" w:firstLine="696"/>
        <w:jc w:val="both"/>
        <w:rPr>
          <w:rFonts w:ascii="Times New Roman" w:hAnsi="Times New Roman" w:cs="Times New Roman"/>
        </w:rPr>
      </w:pPr>
      <w:r>
        <w:rPr>
          <w:rFonts w:ascii="Times New Roman" w:hAnsi="Times New Roman" w:cs="Times New Roman"/>
        </w:rPr>
        <w:t>Vzorec pre určenie výšky percentuálneho podielu štátnej prémie podľa Prílohy č. 1 vychádza z predpokladu lineárnej závislosti výšky štátnej prémie a rendity stavebného sporenia pri úročení vkladov v dohodnutej výške, pričom referenčnú sadzbu tvorí výnos do splatnosti štátnych dlhopisov v indexe SDX podľa údajov zverejňovaných BCPB. Určuje sa v aktuálnom roku pre nasledujúci rok ako priemer za jednotlivé obchodovacie dni na BCPB za vymedzené obdobie (od 1.júla predchádzajúceho roka do 30.júna aktuálneho roka). Ako alternatíva v prípade nedostupnosti tejto sadzby je 12 mesačný BRIBOR vyhlasovaný Národnou bankou Slovenska.</w:t>
      </w:r>
    </w:p>
    <w:p>
      <w:pPr>
        <w:ind w:left="720" w:firstLine="696"/>
        <w:jc w:val="both"/>
        <w:rPr>
          <w:rFonts w:ascii="Times New Roman" w:hAnsi="Times New Roman" w:cs="Times New Roman"/>
        </w:rPr>
      </w:pPr>
    </w:p>
    <w:p>
      <w:pPr>
        <w:pStyle w:val="BodyTextIndent"/>
        <w:ind w:left="0"/>
        <w:jc w:val="both"/>
        <w:rPr>
          <w:rFonts w:ascii="Times New Roman" w:hAnsi="Times New Roman" w:cs="Times New Roman"/>
          <w:b/>
          <w:bCs/>
        </w:rPr>
      </w:pPr>
    </w:p>
    <w:p>
      <w:pPr>
        <w:pStyle w:val="BodyTextIndent"/>
        <w:jc w:val="both"/>
        <w:rPr>
          <w:rFonts w:ascii="Times New Roman" w:hAnsi="Times New Roman" w:cs="Times New Roman"/>
          <w:b/>
          <w:bCs/>
        </w:rPr>
      </w:pPr>
      <w:r>
        <w:rPr>
          <w:rFonts w:ascii="Times New Roman" w:hAnsi="Times New Roman" w:cs="Times New Roman"/>
          <w:b/>
          <w:bCs/>
        </w:rPr>
        <w:t xml:space="preserve">K bodu 11 </w:t>
      </w:r>
    </w:p>
    <w:p>
      <w:pPr>
        <w:pStyle w:val="BodyTextIndent"/>
        <w:jc w:val="both"/>
        <w:rPr>
          <w:rFonts w:ascii="Times New Roman" w:hAnsi="Times New Roman" w:cs="Times New Roman"/>
        </w:rPr>
      </w:pPr>
    </w:p>
    <w:p>
      <w:pPr>
        <w:pStyle w:val="BodyTextIndent"/>
        <w:ind w:firstLine="696"/>
        <w:jc w:val="both"/>
        <w:rPr>
          <w:rFonts w:ascii="Times New Roman" w:hAnsi="Times New Roman" w:cs="Times New Roman"/>
        </w:rPr>
      </w:pPr>
      <w:r>
        <w:rPr>
          <w:rFonts w:ascii="Times New Roman" w:hAnsi="Times New Roman" w:cs="Times New Roman"/>
        </w:rPr>
        <w:t>Prípadná strata nároku na štátnu prémiu zo všetkých zmlúv o stavebnom sporení za celý kalendárny rok z dôvodu viacnásobného označenia prémiovo zvýhodnených zmlúv sa viaže na vklad realizovaný v priebehu tohto kalendárneho roka.</w:t>
      </w:r>
    </w:p>
    <w:p>
      <w:pPr>
        <w:pStyle w:val="BodyTextIndent"/>
        <w:ind w:firstLine="696"/>
        <w:jc w:val="both"/>
        <w:rPr>
          <w:rFonts w:ascii="Times New Roman" w:hAnsi="Times New Roman" w:cs="Times New Roman"/>
        </w:rPr>
      </w:pPr>
      <w:r>
        <w:rPr>
          <w:rFonts w:ascii="Times New Roman" w:hAnsi="Times New Roman" w:cs="Times New Roman"/>
        </w:rPr>
        <w:t>Navrhovaná úprava  v odseku (6) odstraňuje rozpor medzi právom každého sporiteľa na prevod a cieľom povoliť prevod zmluvy s nárokom na štátnu prémiu maximálne raz ročne. Súčasne vypúšťa spojenie práv, vzhľadom k tomu, že klient môže spájať výhradne práva zo zmlúv, ktoré mu patria.</w:t>
      </w:r>
    </w:p>
    <w:p>
      <w:pPr>
        <w:pStyle w:val="BodyTextIndent"/>
        <w:ind w:firstLine="696"/>
        <w:jc w:val="both"/>
        <w:rPr>
          <w:rFonts w:ascii="Times New Roman" w:hAnsi="Times New Roman" w:cs="Times New Roman"/>
        </w:rPr>
      </w:pPr>
    </w:p>
    <w:p>
      <w:pPr>
        <w:pStyle w:val="BodyTextIndent"/>
        <w:ind w:firstLine="696"/>
        <w:jc w:val="both"/>
        <w:rPr>
          <w:rFonts w:ascii="Times New Roman" w:hAnsi="Times New Roman" w:cs="Times New Roman"/>
        </w:rPr>
      </w:pPr>
    </w:p>
    <w:p>
      <w:pPr>
        <w:pStyle w:val="BodyTextIndent"/>
        <w:ind w:firstLine="696"/>
        <w:jc w:val="both"/>
        <w:rPr>
          <w:rFonts w:ascii="Times New Roman" w:hAnsi="Times New Roman" w:cs="Times New Roman"/>
        </w:rPr>
      </w:pPr>
    </w:p>
    <w:p>
      <w:pPr>
        <w:pStyle w:val="BodyTextIndent"/>
        <w:jc w:val="both"/>
        <w:rPr>
          <w:rFonts w:ascii="Times New Roman" w:hAnsi="Times New Roman" w:cs="Times New Roman"/>
          <w:b/>
          <w:bCs/>
        </w:rPr>
      </w:pPr>
      <w:r>
        <w:rPr>
          <w:rFonts w:ascii="Times New Roman" w:hAnsi="Times New Roman" w:cs="Times New Roman"/>
          <w:b/>
          <w:bCs/>
        </w:rPr>
        <w:t>K bodu 12</w:t>
      </w:r>
    </w:p>
    <w:p>
      <w:pPr>
        <w:pStyle w:val="BodyTextIndent"/>
        <w:jc w:val="both"/>
        <w:rPr>
          <w:rFonts w:ascii="Times New Roman" w:hAnsi="Times New Roman" w:cs="Times New Roman"/>
          <w:b/>
          <w:bCs/>
        </w:rPr>
      </w:pPr>
    </w:p>
    <w:p>
      <w:pPr>
        <w:pStyle w:val="BodyTextIndent"/>
        <w:ind w:firstLine="696"/>
        <w:jc w:val="both"/>
        <w:rPr>
          <w:rFonts w:ascii="Times New Roman" w:hAnsi="Times New Roman" w:cs="Times New Roman"/>
        </w:rPr>
      </w:pPr>
      <w:r>
        <w:rPr>
          <w:rFonts w:ascii="Times New Roman" w:hAnsi="Times New Roman" w:cs="Times New Roman"/>
        </w:rPr>
        <w:t>Ustanovenie je zmenené z dôvodu zmeny spôsobu výpočtu percentuálneho podielu štátnej prémie podľa bodu10.</w:t>
      </w:r>
    </w:p>
    <w:p>
      <w:pPr>
        <w:pStyle w:val="BodyTextIndent"/>
        <w:jc w:val="both"/>
        <w:rPr>
          <w:rFonts w:ascii="Times New Roman" w:hAnsi="Times New Roman" w:cs="Times New Roman"/>
        </w:rPr>
      </w:pPr>
    </w:p>
    <w:p>
      <w:pPr>
        <w:pStyle w:val="BodyTextIndent"/>
        <w:jc w:val="both"/>
        <w:rPr>
          <w:rFonts w:ascii="Times New Roman" w:hAnsi="Times New Roman" w:cs="Times New Roman"/>
        </w:rPr>
      </w:pPr>
    </w:p>
    <w:p>
      <w:pPr>
        <w:pStyle w:val="BodyTextIndent"/>
        <w:jc w:val="both"/>
        <w:rPr>
          <w:rFonts w:ascii="Times New Roman" w:hAnsi="Times New Roman" w:cs="Times New Roman"/>
        </w:rPr>
      </w:pPr>
      <w:r>
        <w:rPr>
          <w:rFonts w:ascii="Times New Roman" w:hAnsi="Times New Roman" w:cs="Times New Roman"/>
          <w:b/>
          <w:bCs/>
        </w:rPr>
        <w:t>K bodu 13</w:t>
      </w:r>
    </w:p>
    <w:p>
      <w:pPr>
        <w:pStyle w:val="BodyTextIndent"/>
        <w:jc w:val="both"/>
        <w:rPr>
          <w:rFonts w:ascii="Times New Roman" w:hAnsi="Times New Roman" w:cs="Times New Roman"/>
        </w:rPr>
      </w:pPr>
    </w:p>
    <w:p>
      <w:pPr>
        <w:pStyle w:val="BodyTextIndent"/>
        <w:ind w:firstLine="696"/>
        <w:jc w:val="both"/>
        <w:rPr>
          <w:rFonts w:ascii="Times New Roman" w:hAnsi="Times New Roman" w:cs="Times New Roman"/>
        </w:rPr>
      </w:pPr>
      <w:r>
        <w:rPr>
          <w:rFonts w:ascii="Times New Roman" w:hAnsi="Times New Roman" w:cs="Times New Roman"/>
        </w:rPr>
        <w:t>Vzhľadom k navrhovanej úprave finančných vzťahov v rámci plánovania a rozpočtovania finančných prostriedkov určených na podporu výstavby a zlepšenie kvality bývania, prechádza kompetencia poskytovania a zúčtovania štátnej prémie na kapitolu Ministerstva výstavby a regionálneho rozvoja Slovenskej republiky.</w:t>
      </w:r>
    </w:p>
    <w:p>
      <w:pPr>
        <w:pStyle w:val="BodyTextIndent"/>
        <w:jc w:val="both"/>
        <w:rPr>
          <w:rFonts w:ascii="Times New Roman" w:hAnsi="Times New Roman" w:cs="Times New Roman"/>
        </w:rPr>
      </w:pPr>
    </w:p>
    <w:p>
      <w:pPr>
        <w:pStyle w:val="BodyTextIndent"/>
        <w:jc w:val="both"/>
        <w:rPr>
          <w:rFonts w:ascii="Times New Roman" w:hAnsi="Times New Roman" w:cs="Times New Roman"/>
        </w:rPr>
      </w:pPr>
    </w:p>
    <w:p>
      <w:pPr>
        <w:pStyle w:val="BodyTextIndent"/>
        <w:jc w:val="both"/>
        <w:rPr>
          <w:rFonts w:ascii="Times New Roman" w:hAnsi="Times New Roman" w:cs="Times New Roman"/>
        </w:rPr>
      </w:pPr>
      <w:r>
        <w:rPr>
          <w:rFonts w:ascii="Times New Roman" w:hAnsi="Times New Roman" w:cs="Times New Roman"/>
          <w:b/>
          <w:bCs/>
        </w:rPr>
        <w:t>K bodu 14</w:t>
      </w:r>
    </w:p>
    <w:p>
      <w:pPr>
        <w:pStyle w:val="BodyTextIndent"/>
        <w:jc w:val="both"/>
        <w:rPr>
          <w:rFonts w:ascii="Times New Roman" w:hAnsi="Times New Roman" w:cs="Times New Roman"/>
        </w:rPr>
      </w:pPr>
    </w:p>
    <w:p>
      <w:pPr>
        <w:pStyle w:val="BodyTextIndent"/>
        <w:ind w:firstLine="696"/>
        <w:jc w:val="both"/>
        <w:rPr>
          <w:rFonts w:ascii="Times New Roman" w:hAnsi="Times New Roman" w:cs="Times New Roman"/>
        </w:rPr>
      </w:pPr>
      <w:r>
        <w:rPr>
          <w:rFonts w:ascii="Times New Roman" w:hAnsi="Times New Roman" w:cs="Times New Roman"/>
        </w:rPr>
        <w:t xml:space="preserve">Termín poskytovania prostriedkov na štátnu prémiu Ministerstvom výstavby a regionálneho rozvoja Slovenskej republiky sa posúva z dôvodu splnenia podmienky v bode 5. Ministerstvo financií SR zabezpečí pre poskytovateľa štátnej prémie informácie z bankového systému evidencie zmlúv o stavebnom sporení. Navrhovaný postup posilní nestrannosť v procese nárokovania a poukazovania štátnej prémie stavebnými sporiteľmi, ktorými naň, na základe splnenia zákonom stanovených podmienok, vznikol nárok  </w:t>
        <w:tab/>
      </w:r>
    </w:p>
    <w:p>
      <w:pPr>
        <w:pStyle w:val="BodyTextIndent"/>
        <w:jc w:val="both"/>
        <w:rPr>
          <w:rFonts w:ascii="Times New Roman" w:hAnsi="Times New Roman" w:cs="Times New Roman"/>
        </w:rPr>
      </w:pPr>
    </w:p>
    <w:p>
      <w:pPr>
        <w:pStyle w:val="BodyTextIndent"/>
        <w:jc w:val="both"/>
        <w:rPr>
          <w:rFonts w:ascii="Times New Roman" w:hAnsi="Times New Roman" w:cs="Times New Roman"/>
          <w:b/>
          <w:bCs/>
        </w:rPr>
      </w:pPr>
    </w:p>
    <w:p>
      <w:pPr>
        <w:pStyle w:val="BodyTextIndent"/>
        <w:jc w:val="both"/>
        <w:rPr>
          <w:rFonts w:ascii="Times New Roman" w:hAnsi="Times New Roman" w:cs="Times New Roman"/>
          <w:b/>
          <w:bCs/>
        </w:rPr>
      </w:pPr>
      <w:r>
        <w:rPr>
          <w:rFonts w:ascii="Times New Roman" w:hAnsi="Times New Roman" w:cs="Times New Roman"/>
          <w:b/>
          <w:bCs/>
        </w:rPr>
        <w:t>K bodu 15 a 16</w:t>
      </w:r>
    </w:p>
    <w:p>
      <w:pPr>
        <w:pStyle w:val="BodyTextIndent"/>
        <w:jc w:val="both"/>
        <w:rPr>
          <w:rFonts w:ascii="Times New Roman" w:hAnsi="Times New Roman" w:cs="Times New Roman"/>
        </w:rPr>
      </w:pPr>
    </w:p>
    <w:p>
      <w:pPr>
        <w:pStyle w:val="BodyTextIndent"/>
        <w:ind w:firstLine="696"/>
        <w:jc w:val="both"/>
        <w:rPr>
          <w:rFonts w:ascii="Times New Roman" w:hAnsi="Times New Roman" w:cs="Times New Roman"/>
        </w:rPr>
      </w:pPr>
      <w:r>
        <w:rPr>
          <w:rFonts w:ascii="Times New Roman" w:hAnsi="Times New Roman" w:cs="Times New Roman"/>
        </w:rPr>
        <w:t xml:space="preserve">Navrhovaná zmena korešponduje so zmenou v bode 1 a 2. Návrh si nevyžaduje dodatočné náklady zo štátneho rozpočtu, nakoľko právnické osoby nemajú nárok na štátnu prémiu.  </w:t>
      </w:r>
    </w:p>
    <w:p>
      <w:pPr>
        <w:pStyle w:val="BodyTextIndent"/>
        <w:jc w:val="both"/>
        <w:rPr>
          <w:rFonts w:ascii="Times New Roman" w:hAnsi="Times New Roman" w:cs="Times New Roman"/>
        </w:rPr>
      </w:pPr>
    </w:p>
    <w:p>
      <w:pPr>
        <w:pStyle w:val="BodyTextIndent"/>
        <w:jc w:val="both"/>
        <w:rPr>
          <w:rFonts w:ascii="Times New Roman" w:hAnsi="Times New Roman" w:cs="Times New Roman"/>
        </w:rPr>
      </w:pPr>
    </w:p>
    <w:p>
      <w:pPr>
        <w:pStyle w:val="BodyTextIndent"/>
        <w:jc w:val="both"/>
        <w:rPr>
          <w:rFonts w:ascii="Times New Roman" w:hAnsi="Times New Roman" w:cs="Times New Roman"/>
          <w:b/>
          <w:bCs/>
        </w:rPr>
      </w:pPr>
      <w:r>
        <w:rPr>
          <w:rFonts w:ascii="Times New Roman" w:hAnsi="Times New Roman" w:cs="Times New Roman"/>
          <w:b/>
          <w:bCs/>
        </w:rPr>
        <w:t>K bodu 17</w:t>
      </w:r>
    </w:p>
    <w:p>
      <w:pPr>
        <w:pStyle w:val="BodyTextIndent"/>
        <w:jc w:val="both"/>
        <w:rPr>
          <w:rFonts w:ascii="Times New Roman" w:hAnsi="Times New Roman" w:cs="Times New Roman"/>
          <w:b/>
          <w:bCs/>
        </w:rPr>
      </w:pPr>
    </w:p>
    <w:p>
      <w:pPr>
        <w:pStyle w:val="BodyTextIndent"/>
        <w:ind w:firstLine="696"/>
        <w:jc w:val="both"/>
        <w:rPr>
          <w:rFonts w:ascii="Times New Roman" w:hAnsi="Times New Roman" w:cs="Times New Roman"/>
        </w:rPr>
      </w:pPr>
      <w:r>
        <w:rPr>
          <w:rFonts w:ascii="Times New Roman" w:hAnsi="Times New Roman" w:cs="Times New Roman"/>
        </w:rPr>
        <w:t>Prechodné ustanovenie upravuje spôsob určenia percentuálnej sadzby štátnej prémie po účinnosti zákona, teda od 1. januára 2005 z dôvodu, že vyhlásenie úplného znenia opatrenia o výške percentuálneho podielu štátnej prémie pre nasledujúci rok podľa bodu 10 je potrebné zverejniť v Zbierke zákonov do 30 dní od uplynutia rozhodujúceho obdobia. Rozhodujúce obdobie pre určenie percentuálneho podielu štátnej prémie je podľa prílohy - Obdobie od 1.</w:t>
      </w:r>
      <w:r>
        <w:rPr>
          <w:rFonts w:ascii="Times New Roman" w:hAnsi="Times New Roman" w:cs="Times New Roman"/>
        </w:rPr>
        <w:t xml:space="preserve">júla predchádzajúceho kalendárneho roka do 30.júna aktuálneho kalendárneho roka.    </w:t>
      </w:r>
    </w:p>
    <w:p>
      <w:pPr>
        <w:pStyle w:val="BodyTextIndent"/>
        <w:ind w:firstLine="696"/>
        <w:jc w:val="both"/>
        <w:rPr>
          <w:rFonts w:ascii="Times New Roman" w:hAnsi="Times New Roman" w:cs="Times New Roman"/>
        </w:rPr>
      </w:pPr>
      <w:r>
        <w:rPr>
          <w:rFonts w:ascii="Times New Roman" w:hAnsi="Times New Roman" w:cs="Times New Roman"/>
        </w:rPr>
        <w:t>Zákon ďalej ohraničuje lehotu na prijatie a zapracovanie zmien stavebnými sporiteľňami vyvolaných úpravami v zákone   do zásad stavebného sporenia  a všeobecných  obchodný</w:t>
      </w:r>
      <w:r>
        <w:rPr>
          <w:rFonts w:ascii="Times New Roman" w:hAnsi="Times New Roman" w:cs="Times New Roman"/>
        </w:rPr>
        <w:t xml:space="preserve">ch podmienok  do 30. júna 2005. </w:t>
      </w:r>
    </w:p>
    <w:p>
      <w:pPr>
        <w:pStyle w:val="BodyTextIndent"/>
        <w:ind w:firstLine="696"/>
        <w:jc w:val="both"/>
        <w:rPr>
          <w:rFonts w:ascii="Times New Roman" w:hAnsi="Times New Roman" w:cs="Times New Roman"/>
        </w:rPr>
      </w:pPr>
      <w:r>
        <w:rPr>
          <w:rFonts w:ascii="Times New Roman" w:hAnsi="Times New Roman" w:cs="Times New Roman"/>
        </w:rPr>
        <w:t xml:space="preserve">Zároveň upravuje, z dôvodu zachovania povolenia Národnej banky Slovenska udeleného do 1.1.2005, rozsah povolenia v súvislosti s možnosťou rozšírenia činnosti podľa bodu 1.       </w:t>
      </w:r>
    </w:p>
    <w:p>
      <w:pPr>
        <w:pStyle w:val="BodyTextIndent"/>
        <w:jc w:val="both"/>
        <w:rPr>
          <w:rFonts w:ascii="Times New Roman" w:hAnsi="Times New Roman" w:cs="Times New Roman"/>
          <w:b/>
          <w:bCs/>
        </w:rPr>
      </w:pPr>
    </w:p>
    <w:p>
      <w:pPr>
        <w:pStyle w:val="BodyTextIndent"/>
        <w:jc w:val="both"/>
        <w:rPr>
          <w:rFonts w:ascii="Times New Roman" w:hAnsi="Times New Roman" w:cs="Times New Roman"/>
          <w:b/>
          <w:bCs/>
        </w:rPr>
      </w:pPr>
    </w:p>
    <w:p>
      <w:pPr>
        <w:pStyle w:val="BodyTextIndent"/>
        <w:jc w:val="both"/>
        <w:rPr>
          <w:rFonts w:ascii="Times New Roman" w:hAnsi="Times New Roman" w:cs="Times New Roman"/>
          <w:b/>
          <w:bCs/>
        </w:rPr>
      </w:pPr>
    </w:p>
    <w:p>
      <w:pPr>
        <w:pStyle w:val="BodyTextIndent"/>
        <w:jc w:val="both"/>
        <w:rPr>
          <w:rFonts w:ascii="Times New Roman" w:hAnsi="Times New Roman" w:cs="Times New Roman"/>
          <w:b/>
          <w:bCs/>
        </w:rPr>
      </w:pPr>
      <w:r>
        <w:rPr>
          <w:rFonts w:ascii="Times New Roman" w:hAnsi="Times New Roman" w:cs="Times New Roman"/>
          <w:b/>
          <w:bCs/>
        </w:rPr>
        <w:t xml:space="preserve">K čl. II  bod 1 a 2 </w:t>
      </w:r>
    </w:p>
    <w:p>
      <w:pPr>
        <w:pStyle w:val="BodyTextIndent"/>
        <w:jc w:val="both"/>
        <w:rPr>
          <w:rFonts w:ascii="Times New Roman" w:hAnsi="Times New Roman" w:cs="Times New Roman"/>
        </w:rPr>
      </w:pPr>
    </w:p>
    <w:p>
      <w:pPr>
        <w:pStyle w:val="BodyTextIndent"/>
        <w:ind w:firstLine="696"/>
        <w:jc w:val="both"/>
        <w:rPr>
          <w:rFonts w:ascii="Times New Roman" w:hAnsi="Times New Roman" w:cs="Times New Roman"/>
        </w:rPr>
      </w:pPr>
      <w:r>
        <w:rPr>
          <w:rFonts w:ascii="Times New Roman" w:hAnsi="Times New Roman" w:cs="Times New Roman"/>
        </w:rPr>
        <w:t xml:space="preserve">Úpravou v zákone č. 575/2001 Z.z. o organizácii činnosti vlády a organizácii ústrednej štátnej správy v znení neskorších predpisov sa navrhuje vykonať prenos kompetencie poskytovania a zúčtovania štátnej prémie z kapitoly </w:t>
      </w:r>
      <w:r>
        <w:rPr>
          <w:rFonts w:ascii="Times New Roman" w:hAnsi="Times New Roman" w:cs="Times New Roman"/>
          <w:bCs/>
        </w:rPr>
        <w:t xml:space="preserve">Ministerstva financií SR </w:t>
      </w:r>
      <w:r>
        <w:rPr>
          <w:rFonts w:ascii="Times New Roman" w:hAnsi="Times New Roman" w:cs="Times New Roman"/>
        </w:rPr>
        <w:t>na kapitolu Ministerstva výs</w:t>
      </w:r>
      <w:r>
        <w:rPr>
          <w:rFonts w:ascii="Times New Roman" w:hAnsi="Times New Roman" w:cs="Times New Roman"/>
        </w:rPr>
        <w:t>tavby a regionálneho rozvoja Slovenskej republiky.</w:t>
      </w:r>
    </w:p>
    <w:p>
      <w:pPr>
        <w:pStyle w:val="BodyTextIndent"/>
        <w:jc w:val="both"/>
        <w:rPr>
          <w:rFonts w:ascii="Times New Roman" w:hAnsi="Times New Roman" w:cs="Times New Roman"/>
        </w:rPr>
      </w:pPr>
    </w:p>
    <w:p>
      <w:pPr>
        <w:pStyle w:val="BodyTextIndent"/>
        <w:jc w:val="both"/>
        <w:rPr>
          <w:rFonts w:ascii="Times New Roman" w:hAnsi="Times New Roman" w:cs="Times New Roman"/>
        </w:rPr>
      </w:pPr>
    </w:p>
    <w:p>
      <w:pPr>
        <w:pStyle w:val="BodyTextIndent"/>
        <w:jc w:val="both"/>
        <w:rPr>
          <w:rFonts w:ascii="Times New Roman" w:hAnsi="Times New Roman" w:cs="Times New Roman"/>
          <w:b/>
          <w:bCs/>
        </w:rPr>
      </w:pPr>
      <w:r>
        <w:rPr>
          <w:rFonts w:ascii="Times New Roman" w:hAnsi="Times New Roman" w:cs="Times New Roman"/>
          <w:b/>
          <w:bCs/>
        </w:rPr>
        <w:t>K čl. III.</w:t>
      </w:r>
    </w:p>
    <w:p>
      <w:pPr>
        <w:pStyle w:val="BodyTextIndent"/>
        <w:jc w:val="both"/>
        <w:rPr>
          <w:rFonts w:ascii="Times New Roman" w:hAnsi="Times New Roman" w:cs="Times New Roman"/>
        </w:rPr>
      </w:pPr>
    </w:p>
    <w:p>
      <w:pPr>
        <w:pStyle w:val="BodyTextIndent"/>
        <w:jc w:val="both"/>
        <w:rPr>
          <w:rFonts w:ascii="Times New Roman" w:hAnsi="Times New Roman" w:cs="Times New Roman"/>
        </w:rPr>
      </w:pPr>
    </w:p>
    <w:p>
      <w:pPr>
        <w:pStyle w:val="BodyTextIndent"/>
        <w:jc w:val="both"/>
        <w:rPr>
          <w:rFonts w:ascii="Times New Roman" w:hAnsi="Times New Roman" w:cs="Times New Roman"/>
        </w:rPr>
      </w:pPr>
      <w:r>
        <w:rPr>
          <w:rFonts w:ascii="Times New Roman" w:hAnsi="Times New Roman" w:cs="Times New Roman"/>
        </w:rPr>
        <w:t>Navrhuje sa účinnosť tohto zákona od 1.1.2005.</w:t>
      </w:r>
    </w:p>
    <w:p>
      <w:pPr>
        <w:pStyle w:val="BodyTextIndent"/>
        <w:jc w:val="both"/>
        <w:rPr>
          <w:rFonts w:ascii="Times New Roman" w:hAnsi="Times New Roman" w:cs="Times New Roman"/>
        </w:rPr>
      </w:pPr>
    </w:p>
    <w:p>
      <w:pPr>
        <w:pStyle w:val="BodyTextIndent"/>
        <w:jc w:val="both"/>
        <w:rPr>
          <w:rFonts w:ascii="Times New Roman" w:hAnsi="Times New Roman" w:cs="Times New Roman"/>
        </w:rPr>
      </w:pPr>
    </w:p>
    <w:p>
      <w:pPr>
        <w:pStyle w:val="BodyTextIndent"/>
        <w:jc w:val="both"/>
        <w:rPr>
          <w:rFonts w:ascii="Times New Roman" w:hAnsi="Times New Roman" w:cs="Times New Roman"/>
        </w:rPr>
      </w:pPr>
    </w:p>
    <w:p>
      <w:pPr>
        <w:pStyle w:val="BodyTextIndent"/>
        <w:jc w:val="both"/>
        <w:rPr>
          <w:rFonts w:ascii="Times New Roman" w:hAnsi="Times New Roman" w:cs="Times New Roman"/>
        </w:rPr>
      </w:pPr>
    </w:p>
    <w:p>
      <w:pPr>
        <w:pStyle w:val="BodyTextIndent"/>
        <w:ind w:left="90" w:firstLine="630"/>
        <w:rPr>
          <w:rFonts w:ascii="Times New Roman" w:hAnsi="Times New Roman" w:cs="Times New Roman"/>
        </w:rPr>
      </w:pPr>
      <w:r>
        <w:rPr>
          <w:rFonts w:ascii="Times New Roman" w:hAnsi="Times New Roman" w:cs="Times New Roman"/>
        </w:rPr>
        <w:t>Bratislava 8. júla 2004</w:t>
      </w:r>
    </w:p>
    <w:p>
      <w:pPr>
        <w:pStyle w:val="BodyTextIndent"/>
        <w:ind w:left="90" w:firstLine="630"/>
        <w:rPr>
          <w:rFonts w:ascii="Times New Roman" w:hAnsi="Times New Roman" w:cs="Times New Roman"/>
        </w:rPr>
      </w:pPr>
    </w:p>
    <w:p>
      <w:pPr>
        <w:pStyle w:val="BodyTextIndent"/>
        <w:ind w:left="90" w:firstLine="630"/>
        <w:rPr>
          <w:rFonts w:ascii="Times New Roman" w:hAnsi="Times New Roman" w:cs="Times New Roman"/>
        </w:rPr>
      </w:pPr>
    </w:p>
    <w:p>
      <w:pPr>
        <w:pStyle w:val="BodyTextIndent"/>
        <w:ind w:left="90" w:firstLine="630"/>
        <w:rPr>
          <w:rFonts w:ascii="Times New Roman" w:hAnsi="Times New Roman" w:cs="Times New Roman"/>
        </w:rPr>
      </w:pPr>
    </w:p>
    <w:p>
      <w:pPr>
        <w:pStyle w:val="BodyTextIndent"/>
        <w:ind w:left="90" w:firstLine="630"/>
        <w:rPr>
          <w:rFonts w:ascii="Times New Roman" w:hAnsi="Times New Roman" w:cs="Times New Roman"/>
        </w:rPr>
      </w:pPr>
    </w:p>
    <w:p>
      <w:pPr>
        <w:pStyle w:val="BodyTextIndent"/>
        <w:ind w:left="90" w:firstLine="630"/>
        <w:rPr>
          <w:rFonts w:ascii="Times New Roman" w:hAnsi="Times New Roman" w:cs="Times New Roman"/>
        </w:rPr>
      </w:pPr>
    </w:p>
    <w:p>
      <w:pPr>
        <w:pStyle w:val="BodyTextIndent"/>
        <w:ind w:left="90" w:firstLine="630"/>
        <w:rPr>
          <w:rFonts w:ascii="Times New Roman" w:hAnsi="Times New Roman" w:cs="Times New Roman"/>
        </w:rPr>
      </w:pPr>
    </w:p>
    <w:p>
      <w:pPr>
        <w:pStyle w:val="BodyTextIndent"/>
        <w:ind w:left="90" w:firstLine="630"/>
        <w:rPr>
          <w:rFonts w:ascii="Times New Roman" w:hAnsi="Times New Roman" w:cs="Times New Roman"/>
        </w:rPr>
      </w:pPr>
    </w:p>
    <w:p>
      <w:pPr>
        <w:pStyle w:val="BodyTextIndent"/>
        <w:ind w:left="90" w:firstLine="630"/>
        <w:rPr>
          <w:rFonts w:ascii="Times New Roman" w:hAnsi="Times New Roman" w:cs="Times New Roman"/>
        </w:rPr>
      </w:pPr>
    </w:p>
    <w:p>
      <w:pPr>
        <w:pStyle w:val="BodyTextIndent"/>
        <w:ind w:left="90" w:firstLine="630"/>
        <w:rPr>
          <w:rFonts w:ascii="Times New Roman" w:hAnsi="Times New Roman" w:cs="Times New Roman"/>
        </w:rPr>
      </w:pPr>
    </w:p>
    <w:p>
      <w:pPr>
        <w:pStyle w:val="BodyText"/>
        <w:ind w:firstLine="720"/>
        <w:jc w:val="center"/>
        <w:rPr>
          <w:rFonts w:ascii="Times New Roman" w:hAnsi="Times New Roman" w:cs="Times New Roman"/>
        </w:rPr>
      </w:pPr>
      <w:r>
        <w:rPr>
          <w:rFonts w:ascii="Times New Roman" w:hAnsi="Times New Roman" w:cs="Times New Roman"/>
        </w:rPr>
        <w:t xml:space="preserve">Mikuláš   D z u r i n d a, v.r. </w:t>
      </w:r>
    </w:p>
    <w:p>
      <w:pPr>
        <w:pStyle w:val="BodyText"/>
        <w:ind w:firstLine="720"/>
        <w:jc w:val="center"/>
        <w:rPr>
          <w:rFonts w:ascii="Times New Roman" w:hAnsi="Times New Roman" w:cs="Times New Roman"/>
        </w:rPr>
      </w:pPr>
      <w:r>
        <w:rPr>
          <w:rFonts w:ascii="Times New Roman" w:hAnsi="Times New Roman" w:cs="Times New Roman"/>
        </w:rPr>
        <w:t>predseda vlády Slovenskej republiky</w:t>
      </w:r>
    </w:p>
    <w:p>
      <w:pPr>
        <w:pStyle w:val="BodyText"/>
        <w:ind w:firstLine="720"/>
        <w:jc w:val="center"/>
        <w:rPr>
          <w:rFonts w:ascii="Times New Roman" w:hAnsi="Times New Roman" w:cs="Times New Roman"/>
        </w:rPr>
      </w:pPr>
    </w:p>
    <w:p>
      <w:pPr>
        <w:pStyle w:val="BodyText"/>
        <w:ind w:firstLine="720"/>
        <w:jc w:val="center"/>
        <w:rPr>
          <w:rFonts w:ascii="Times New Roman" w:hAnsi="Times New Roman" w:cs="Times New Roman"/>
        </w:rPr>
      </w:pPr>
    </w:p>
    <w:p>
      <w:pPr>
        <w:pStyle w:val="BodyText"/>
        <w:ind w:firstLine="720"/>
        <w:jc w:val="center"/>
        <w:rPr>
          <w:rFonts w:ascii="Times New Roman" w:hAnsi="Times New Roman" w:cs="Times New Roman"/>
        </w:rPr>
      </w:pPr>
    </w:p>
    <w:p>
      <w:pPr>
        <w:pStyle w:val="BodyText"/>
        <w:ind w:firstLine="720"/>
        <w:jc w:val="center"/>
        <w:rPr>
          <w:rFonts w:ascii="Times New Roman" w:hAnsi="Times New Roman" w:cs="Times New Roman"/>
        </w:rPr>
      </w:pPr>
    </w:p>
    <w:p>
      <w:pPr>
        <w:pStyle w:val="BodyText"/>
        <w:ind w:firstLine="720"/>
        <w:jc w:val="center"/>
        <w:rPr>
          <w:rFonts w:ascii="Times New Roman" w:hAnsi="Times New Roman" w:cs="Times New Roman"/>
        </w:rPr>
      </w:pPr>
    </w:p>
    <w:p>
      <w:pPr>
        <w:pStyle w:val="BodyText"/>
        <w:ind w:firstLine="720"/>
        <w:jc w:val="center"/>
        <w:rPr>
          <w:rFonts w:ascii="Times New Roman" w:hAnsi="Times New Roman" w:cs="Times New Roman"/>
        </w:rPr>
      </w:pPr>
    </w:p>
    <w:p>
      <w:pPr>
        <w:pStyle w:val="BodyText"/>
        <w:ind w:firstLine="720"/>
        <w:jc w:val="center"/>
        <w:rPr>
          <w:rFonts w:ascii="Times New Roman" w:hAnsi="Times New Roman" w:cs="Times New Roman"/>
        </w:rPr>
      </w:pPr>
    </w:p>
    <w:p>
      <w:pPr>
        <w:pStyle w:val="BodyText"/>
        <w:ind w:firstLine="720"/>
        <w:jc w:val="center"/>
        <w:rPr>
          <w:rFonts w:ascii="Times New Roman" w:hAnsi="Times New Roman" w:cs="Times New Roman"/>
        </w:rPr>
      </w:pPr>
    </w:p>
    <w:p>
      <w:pPr>
        <w:pStyle w:val="BodyText"/>
        <w:ind w:firstLine="720"/>
        <w:jc w:val="center"/>
        <w:rPr>
          <w:rFonts w:ascii="Times New Roman" w:hAnsi="Times New Roman" w:cs="Times New Roman"/>
        </w:rPr>
      </w:pPr>
      <w:r>
        <w:rPr>
          <w:rFonts w:ascii="Times New Roman" w:hAnsi="Times New Roman" w:cs="Times New Roman"/>
        </w:rPr>
        <w:t>Ivan  M i k l o š, v.r.</w:t>
      </w:r>
    </w:p>
    <w:p>
      <w:pPr>
        <w:pStyle w:val="BodyText"/>
        <w:ind w:firstLine="720"/>
        <w:jc w:val="center"/>
        <w:rPr>
          <w:rFonts w:ascii="Times New Roman" w:hAnsi="Times New Roman" w:cs="Times New Roman"/>
        </w:rPr>
      </w:pPr>
      <w:r>
        <w:rPr>
          <w:rFonts w:ascii="Times New Roman" w:hAnsi="Times New Roman" w:cs="Times New Roman"/>
        </w:rPr>
        <w:t>podpr</w:t>
      </w:r>
      <w:r>
        <w:rPr>
          <w:rFonts w:ascii="Times New Roman" w:hAnsi="Times New Roman" w:cs="Times New Roman"/>
        </w:rPr>
        <w:t xml:space="preserve">edseda vlády </w:t>
      </w:r>
    </w:p>
    <w:p>
      <w:pPr>
        <w:pStyle w:val="BodyText"/>
        <w:ind w:firstLine="720"/>
        <w:jc w:val="center"/>
        <w:rPr>
          <w:rFonts w:ascii="Times New Roman" w:hAnsi="Times New Roman" w:cs="Times New Roman"/>
        </w:rPr>
      </w:pPr>
      <w:r>
        <w:rPr>
          <w:rFonts w:ascii="Times New Roman" w:hAnsi="Times New Roman" w:cs="Times New Roman"/>
        </w:rPr>
        <w:t>a minister financií Slovenskej republiky</w:t>
      </w:r>
    </w:p>
    <w:p>
      <w:pPr>
        <w:pStyle w:val="BodyText"/>
        <w:ind w:firstLine="720"/>
        <w:jc w:val="center"/>
        <w:rPr>
          <w:rFonts w:ascii="Times New Roman" w:hAnsi="Times New Roman" w:cs="Times New Roman"/>
        </w:rPr>
      </w:pPr>
    </w:p>
    <w:p>
      <w:pPr>
        <w:pStyle w:val="BodyText"/>
        <w:ind w:firstLine="720"/>
        <w:jc w:val="center"/>
        <w:rPr>
          <w:rFonts w:ascii="Times New Roman" w:hAnsi="Times New Roman" w:cs="Times New Roman"/>
        </w:rPr>
      </w:pPr>
    </w:p>
    <w:p>
      <w:pPr>
        <w:rPr>
          <w:rFonts w:ascii="Times New Roman" w:hAnsi="Times New Roman" w:cs="Times New Roman"/>
        </w:rPr>
      </w:pPr>
    </w:p>
    <w:p>
      <w:pPr>
        <w:pStyle w:val="BodyTextIndent"/>
        <w:jc w:val="both"/>
        <w:rPr>
          <w:rFonts w:ascii="Times New Roman" w:hAnsi="Times New Roman" w:cs="Times New Roman"/>
        </w:rPr>
      </w:pPr>
    </w:p>
    <w:sectPr>
      <w:footerReference w:type="default" r:id="rId4"/>
      <w:pgSz w:w="11906" w:h="16838"/>
      <w:pgMar w:top="1417" w:right="1417" w:bottom="1417" w:left="1417" w:header="708" w:footer="708" w:gutter="0"/>
      <w:pgNumType w:chapStyle="1"/>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Pr>
        <w:rStyle w:val="PageNumber"/>
        <w:rFonts w:ascii="Times New Roman" w:hAnsi="Times New Roman" w:cs="Times New Roman"/>
        <w:noProof/>
      </w:rPr>
      <w:t>3</w:t>
    </w:r>
    <w:r>
      <w:rPr>
        <w:rStyle w:val="PageNumber"/>
        <w:rFonts w:ascii="Times New Roman" w:hAnsi="Times New Roman" w:cs="Times New Roman"/>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D78"/>
    <w:multiLevelType w:val="hybridMultilevel"/>
    <w:tmpl w:val="9120191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1C6F07B4"/>
    <w:multiLevelType w:val="hybridMultilevel"/>
    <w:tmpl w:val="8C96F51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1CDC596E"/>
    <w:multiLevelType w:val="hybridMultilevel"/>
    <w:tmpl w:val="3FA6157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2B3A159E"/>
    <w:multiLevelType w:val="hybridMultilevel"/>
    <w:tmpl w:val="E9A61B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3A232298"/>
    <w:multiLevelType w:val="multilevel"/>
    <w:tmpl w:val="519AEFC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4E28225D"/>
    <w:multiLevelType w:val="hybridMultilevel"/>
    <w:tmpl w:val="789A3370"/>
    <w:lvl w:ilvl="0">
      <w:start w:val="1"/>
      <w:numFmt w:val="lowerLetter"/>
      <w:lvlText w:val="%1)"/>
      <w:lvlJc w:val="left"/>
      <w:pPr>
        <w:tabs>
          <w:tab w:val="num" w:pos="1605"/>
        </w:tabs>
        <w:ind w:left="1605" w:hanging="360"/>
      </w:pPr>
      <w:rPr>
        <w:b w:val="0"/>
        <w:rtl w:val="0"/>
      </w:rPr>
    </w:lvl>
    <w:lvl w:ilvl="1">
      <w:start w:val="1"/>
      <w:numFmt w:val="bullet"/>
      <w:lvlText w:val="-"/>
      <w:lvlJc w:val="left"/>
      <w:pPr>
        <w:tabs>
          <w:tab w:val="num" w:pos="1920"/>
        </w:tabs>
        <w:ind w:left="1920" w:hanging="360"/>
      </w:pPr>
      <w:rPr>
        <w:rFonts w:ascii="Arial" w:hAnsi="Arial" w:cs="Arial"/>
        <w:b w:val="0"/>
        <w:rtl w:val="0"/>
      </w:rPr>
    </w:lvl>
    <w:lvl w:ilvl="2">
      <w:start w:val="1"/>
      <w:numFmt w:val="decimal"/>
      <w:lvlText w:val="%3."/>
      <w:lvlJc w:val="left"/>
      <w:pPr>
        <w:tabs>
          <w:tab w:val="num" w:pos="3225"/>
        </w:tabs>
        <w:ind w:left="3225" w:hanging="360"/>
      </w:pPr>
      <w:rPr>
        <w:b w:val="0"/>
        <w:rtl w:val="0"/>
      </w:rPr>
    </w:lvl>
    <w:lvl w:ilvl="3">
      <w:start w:val="1"/>
      <w:numFmt w:val="decimal"/>
      <w:lvlText w:val="%4."/>
      <w:lvlJc w:val="left"/>
      <w:pPr>
        <w:tabs>
          <w:tab w:val="num" w:pos="3765"/>
        </w:tabs>
        <w:ind w:left="3765" w:hanging="360"/>
      </w:pPr>
    </w:lvl>
    <w:lvl w:ilvl="4">
      <w:start w:val="1"/>
      <w:numFmt w:val="lowerLetter"/>
      <w:lvlText w:val="%5."/>
      <w:lvlJc w:val="left"/>
      <w:pPr>
        <w:tabs>
          <w:tab w:val="num" w:pos="4485"/>
        </w:tabs>
        <w:ind w:left="4485" w:hanging="360"/>
      </w:pPr>
    </w:lvl>
    <w:lvl w:ilvl="5">
      <w:start w:val="1"/>
      <w:numFmt w:val="lowerRoman"/>
      <w:lvlText w:val="%6."/>
      <w:lvlJc w:val="right"/>
      <w:pPr>
        <w:tabs>
          <w:tab w:val="num" w:pos="5205"/>
        </w:tabs>
        <w:ind w:left="5205" w:hanging="180"/>
      </w:pPr>
    </w:lvl>
    <w:lvl w:ilvl="6">
      <w:start w:val="1"/>
      <w:numFmt w:val="decimal"/>
      <w:lvlText w:val="%7."/>
      <w:lvlJc w:val="left"/>
      <w:pPr>
        <w:tabs>
          <w:tab w:val="num" w:pos="5925"/>
        </w:tabs>
        <w:ind w:left="5925" w:hanging="360"/>
      </w:pPr>
    </w:lvl>
    <w:lvl w:ilvl="7">
      <w:start w:val="1"/>
      <w:numFmt w:val="lowerLetter"/>
      <w:lvlText w:val="%8."/>
      <w:lvlJc w:val="left"/>
      <w:pPr>
        <w:tabs>
          <w:tab w:val="num" w:pos="6645"/>
        </w:tabs>
        <w:ind w:left="6645" w:hanging="360"/>
      </w:pPr>
    </w:lvl>
    <w:lvl w:ilvl="8">
      <w:start w:val="1"/>
      <w:numFmt w:val="lowerRoman"/>
      <w:lvlText w:val="%9."/>
      <w:lvlJc w:val="right"/>
      <w:pPr>
        <w:tabs>
          <w:tab w:val="num" w:pos="7365"/>
        </w:tabs>
        <w:ind w:left="7365" w:hanging="180"/>
      </w:pPr>
    </w:lvl>
  </w:abstractNum>
  <w:abstractNum w:abstractNumId="6">
    <w:nsid w:val="5D7215D8"/>
    <w:multiLevelType w:val="multilevel"/>
    <w:tmpl w:val="911C8044"/>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5EEA09B6"/>
    <w:multiLevelType w:val="hybridMultilevel"/>
    <w:tmpl w:val="32B6E3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47E7C50"/>
    <w:multiLevelType w:val="hybridMultilevel"/>
    <w:tmpl w:val="A484EAB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nsid w:val="784A1042"/>
    <w:multiLevelType w:val="hybridMultilevel"/>
    <w:tmpl w:val="4E6865E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2"/>
  </w:num>
  <w:num w:numId="3">
    <w:abstractNumId w:val="0"/>
  </w:num>
  <w:num w:numId="4">
    <w:abstractNumId w:val="3"/>
  </w:num>
  <w:num w:numId="5">
    <w:abstractNumId w:val="8"/>
  </w:num>
  <w:num w:numId="6">
    <w:abstractNumId w:val="4"/>
  </w:num>
  <w:num w:numId="7">
    <w:abstractNumId w:val="6"/>
  </w:num>
  <w:num w:numId="8">
    <w:abstractNumId w:val="9"/>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center"/>
      <w:outlineLvl w:val="0"/>
    </w:pPr>
    <w:rPr>
      <w:b/>
      <w:bCs/>
    </w:rPr>
  </w:style>
  <w:style w:type="character" w:default="1" w:styleId="DefaultParagraphFont">
    <w:name w:val="Default Paragraph Font"/>
  </w:style>
  <w:style w:type="paragraph" w:styleId="Title">
    <w:name w:val="Title"/>
    <w:basedOn w:val="Normal"/>
    <w:uiPriority w:val="10"/>
    <w:qFormat/>
    <w:pPr>
      <w:jc w:val="center"/>
    </w:pPr>
    <w:rPr>
      <w:b/>
      <w:bCs/>
    </w:rPr>
  </w:style>
  <w:style w:type="paragraph" w:styleId="BodyTextIndent">
    <w:name w:val="Body Text Indent"/>
    <w:basedOn w:val="Normal"/>
    <w:pPr>
      <w:ind w:left="720"/>
      <w:jc w:val="left"/>
    </w:pPr>
  </w:style>
  <w:style w:type="paragraph" w:styleId="BodyTextIndent2">
    <w:name w:val="Body Text Indent 2"/>
    <w:basedOn w:val="Normal"/>
    <w:pPr>
      <w:ind w:left="720"/>
      <w:jc w:val="both"/>
    </w:pPr>
  </w:style>
  <w:style w:type="paragraph" w:styleId="BodyText">
    <w:name w:val="Body Text"/>
    <w:basedOn w:val="Normal"/>
    <w:pPr>
      <w:jc w:val="both"/>
    </w:pPr>
  </w:style>
  <w:style w:type="paragraph" w:styleId="Subtitle">
    <w:name w:val="Subtitle"/>
    <w:basedOn w:val="Normal"/>
    <w:uiPriority w:val="11"/>
    <w:qFormat/>
    <w:pPr>
      <w:jc w:val="left"/>
    </w:pPr>
    <w:rPr>
      <w:b/>
      <w:bCs/>
    </w:rPr>
  </w:style>
  <w:style w:type="paragraph" w:styleId="BodyText2">
    <w:name w:val="Body Text 2"/>
    <w:basedOn w:val="Normal"/>
    <w:pPr>
      <w:jc w:val="both"/>
    </w:pPr>
    <w:rPr>
      <w:szCs w:val="20"/>
    </w:rPr>
  </w:style>
  <w:style w:type="paragraph" w:customStyle="1" w:styleId="Zkladntext">
    <w:name w:val="Základní text"/>
    <w:pPr>
      <w:widowControl w:val="0"/>
      <w:autoSpaceDE w:val="0"/>
      <w:autoSpaceDN w:val="0"/>
      <w:bidi w:val="0"/>
      <w:adjustRightInd w:val="0"/>
      <w:ind w:left="0" w:right="0"/>
      <w:jc w:val="left"/>
      <w:textAlignment w:val="auto"/>
    </w:pPr>
    <w:rPr>
      <w:color w:val="000000"/>
      <w:sz w:val="24"/>
      <w:szCs w:val="20"/>
      <w:rtl w:val="0"/>
      <w:lang w:val="sk-SK" w:bidi="ar-SA"/>
    </w:rPr>
  </w:style>
  <w:style w:type="paragraph" w:styleId="BodyTextIndent3">
    <w:name w:val="Body Text Indent 3"/>
    <w:basedOn w:val="Normal"/>
    <w:pPr>
      <w:ind w:left="360" w:firstLine="348"/>
      <w:jc w:val="both"/>
    </w:pPr>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1045</Words>
  <Characters>5959</Characters>
  <Application>Microsoft Office Word</Application>
  <DocSecurity>0</DocSecurity>
  <Lines>0</Lines>
  <Paragraphs>0</Paragraphs>
  <ScaleCrop>false</ScaleCrop>
  <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Novela zákona č</dc:title>
  <dc:creator>Marta Gulárová</dc:creator>
  <cp:lastModifiedBy>Ing. Gabriel Droba</cp:lastModifiedBy>
  <cp:revision>2</cp:revision>
  <cp:lastPrinted>2004-07-15T08:03:00Z</cp:lastPrinted>
  <dcterms:created xsi:type="dcterms:W3CDTF">2004-07-19T14:28:00Z</dcterms:created>
  <dcterms:modified xsi:type="dcterms:W3CDTF">2004-07-19T14:28:00Z</dcterms:modified>
</cp:coreProperties>
</file>