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jc w:val="center"/>
        <w:rPr>
          <w:rFonts w:ascii="Times New Roman" w:hAnsi="Times New Roman" w:cs="Times New Roman"/>
          <w:b/>
          <w:bCs/>
        </w:rPr>
      </w:pPr>
    </w:p>
    <w:p>
      <w:pPr>
        <w:pStyle w:val="Subtitle"/>
        <w:ind w:left="360"/>
        <w:rPr>
          <w:rFonts w:ascii="Times New Roman" w:hAnsi="Times New Roman" w:cs="Times New Roman"/>
        </w:rPr>
      </w:pPr>
      <w:r>
        <w:rPr>
          <w:rFonts w:ascii="Times New Roman" w:hAnsi="Times New Roman" w:cs="Times New Roman"/>
        </w:rPr>
        <w:t>Všeobecná časť</w:t>
      </w:r>
    </w:p>
    <w:p>
      <w:pPr>
        <w:rPr>
          <w:rFonts w:ascii="Times New Roman" w:hAnsi="Times New Roman" w:cs="Times New Roman"/>
        </w:rPr>
      </w:pPr>
    </w:p>
    <w:p>
      <w:pPr>
        <w:pStyle w:val="BodyTextIndent3"/>
        <w:rPr>
          <w:rFonts w:ascii="Times New Roman" w:hAnsi="Times New Roman" w:cs="Times New Roman"/>
        </w:rPr>
      </w:pPr>
      <w:r>
        <w:rPr>
          <w:rFonts w:ascii="Times New Roman" w:hAnsi="Times New Roman" w:cs="Times New Roman"/>
        </w:rPr>
        <w:t xml:space="preserve">Návrh novely zákona Slovenskej národnej rady č. 310/1992 Zb. o stavebnom sporení v znení neskorších predpisov a zákona č. 575/2001 Z.z. o organizácii činnosti vlády a organizácii ústrednej štátnej správy v znení neskorších </w:t>
      </w:r>
      <w:r>
        <w:rPr>
          <w:rFonts w:ascii="Times New Roman" w:hAnsi="Times New Roman" w:cs="Times New Roman"/>
        </w:rPr>
        <w:t xml:space="preserve">predpisov sa predkladá z viacerých dôvodov </w:t>
      </w:r>
    </w:p>
    <w:p>
      <w:pPr>
        <w:ind w:left="360"/>
        <w:rPr>
          <w:rFonts w:ascii="Times New Roman" w:hAnsi="Times New Roman" w:cs="Times New Roman"/>
        </w:rPr>
      </w:pPr>
    </w:p>
    <w:p>
      <w:pPr>
        <w:autoSpaceDE/>
        <w:autoSpaceDN/>
        <w:spacing w:line="240" w:lineRule="atLeast"/>
        <w:ind w:left="360" w:firstLine="360"/>
        <w:jc w:val="both"/>
        <w:rPr>
          <w:rFonts w:ascii="Times New Roman" w:hAnsi="Times New Roman" w:cs="Times New Roman"/>
          <w:color w:val="000000"/>
        </w:rPr>
      </w:pPr>
      <w:r>
        <w:rPr>
          <w:rFonts w:ascii="Times New Roman" w:hAnsi="Times New Roman" w:cs="Times New Roman"/>
        </w:rPr>
        <w:t xml:space="preserve">Hlavným dôvodom je </w:t>
      </w:r>
      <w:r>
        <w:rPr>
          <w:rFonts w:ascii="Times New Roman" w:hAnsi="Times New Roman" w:cs="Times New Roman"/>
          <w:color w:val="000000"/>
          <w:szCs w:val="20"/>
        </w:rPr>
        <w:t>zásadná zmena v určení výšky percenta štátnej prémie. V ostatnom období sa výška prémie porovnávala prostredníctvom rendity s vývojom vybraných vkladových produktov a na základe tohto vývoja sa viackrát upravovala. Nakoľko je uvedená výška  definovaná v zákone, hľadal sa mechanizmus, ktorý umožní pružne reagovať na zmeny vývoja na trhu bez potreby "otvárania zákona". Efektívne úročenie vkladov stavebného sporenia - rendita sa navrhuje porovnávať s vývojom vybraných produktov finančného trhu. V záujme motivácie sa navrhuje renditu stavebného sporenia upraviť o konkrétnu hodnotu /1%/nad dosiahnutú úroveň výnosu sledovaného ukazovateľa. Vyhodnocovaním závislosti výšky rendity a konkrétneho percenta bol vytvorený vzorec, ktorý závislosť presne vymedzuje. Zároveň sa navrhuje vymedziť interval, v rámci ktorého sa výška štátnej prémie môže upravovať. V záujme objektivizácie sa ako základ pre porovnanie navrhuje vychádzať z vývoja výšky výnosu do splatnosti štátnych dlhopisov/index SDX/. Tento údaj je pravidelne zverejňovaný Burzou cenných papierov Bratislava a jeho vývoj je relatívne stabilný. Z hľadiska zblíženia SR s EU po vstupe je možné očakávať klesajúci trend. Výhodou indexu SDX je napríklad</w:t>
      </w:r>
      <w:r>
        <w:rPr>
          <w:rFonts w:ascii="Times New Roman" w:hAnsi="Times New Roman" w:cs="Times New Roman"/>
          <w:color w:val="000000"/>
        </w:rPr>
        <w:t xml:space="preserve"> jeho použitie ako benchmark pre korunové dlhopisové fondy, jeho aktuálna trhová sadzba je zverejňovaná denne (obchodné dni), je pomerne stabilná na základe veľkého objemu obchodovaných ŠD, ktorých priemerná splatnosť je cca 3,5 roka (od apríla možné členenie aj na dlhodobé CP od 5 rokov a krátkodobé 1-5 rokov) a v neposlednom rade je málo ovplyvniteľný krátkodobými zmenami úrokových sadzieb na finančnom trhu z dôvodu výkonu menovej politiky NBS. V prípade nedostupnosti tejto sadzby alternatívu predstavuje 12 mesačný BRIBOR, zverejňovaný NBS.  </w:t>
      </w:r>
    </w:p>
    <w:p>
      <w:pPr>
        <w:rPr>
          <w:rFonts w:ascii="Times New Roman" w:hAnsi="Times New Roman" w:cs="Times New Roman"/>
          <w:color w:val="000000"/>
        </w:rPr>
      </w:pPr>
    </w:p>
    <w:p>
      <w:pPr>
        <w:pStyle w:val="BodyText2"/>
        <w:ind w:left="360" w:firstLine="348"/>
        <w:rPr>
          <w:rFonts w:ascii="Times New Roman" w:hAnsi="Times New Roman" w:cs="Times New Roman"/>
        </w:rPr>
      </w:pPr>
      <w:r>
        <w:rPr>
          <w:rFonts w:ascii="Times New Roman" w:hAnsi="Times New Roman" w:cs="Times New Roman"/>
        </w:rPr>
        <w:t>Vzhľadom k navrhovanej úprave finančných vzťahov v rámci plánovania a rozpočtovania finančných prostriedkov určených na podporu výstavby a zlepšenie kvality bývania, prechádza kompetencia poskytovania a zúčtovania štátnej prémie na kapitolu Ministerstva výstavby a regionálneho rozvoja Slovenskej republiky. Uvedené ustanovenie naväzuje na schválené východiská štátneho rozpočtu na rok 2005.</w:t>
      </w:r>
    </w:p>
    <w:p>
      <w:pPr>
        <w:pStyle w:val="BodyText2"/>
        <w:ind w:left="360" w:firstLine="348"/>
        <w:rPr>
          <w:rFonts w:ascii="Times New Roman" w:hAnsi="Times New Roman" w:cs="Times New Roman"/>
        </w:rPr>
      </w:pPr>
    </w:p>
    <w:p>
      <w:pPr>
        <w:pStyle w:val="BodyText2"/>
        <w:ind w:left="360" w:firstLine="348"/>
        <w:rPr>
          <w:rFonts w:ascii="Times New Roman" w:hAnsi="Times New Roman" w:cs="Times New Roman"/>
        </w:rPr>
      </w:pPr>
      <w:r>
        <w:rPr>
          <w:rFonts w:ascii="Times New Roman" w:hAnsi="Times New Roman" w:cs="Times New Roman"/>
        </w:rPr>
        <w:t>S ohľadom na vytváranie rovnakých podmienok podnikania subjektov bankového sektora SR sa rozširuje možnosť stavebných sporiteľní obchodovať s finančnými produktmi peňažného a kapitálového trhu. Zároveň sa rozširuje možnosť poskytovania úverov za komerčných podmienok z dočasne voľných zdrojov fondu stavebného sporenia aj právnickým osobám.</w:t>
      </w:r>
    </w:p>
    <w:p>
      <w:pPr>
        <w:pStyle w:val="BodyText2"/>
        <w:ind w:left="360" w:firstLine="348"/>
        <w:rPr>
          <w:rFonts w:ascii="Times New Roman" w:hAnsi="Times New Roman" w:cs="Times New Roman"/>
        </w:rPr>
      </w:pPr>
    </w:p>
    <w:p>
      <w:pPr>
        <w:pStyle w:val="BodyText2"/>
        <w:ind w:left="360" w:firstLine="348"/>
        <w:rPr>
          <w:rFonts w:ascii="Times New Roman" w:hAnsi="Times New Roman" w:cs="Times New Roman"/>
        </w:rPr>
      </w:pPr>
      <w:r>
        <w:rPr>
          <w:rFonts w:ascii="Times New Roman" w:hAnsi="Times New Roman" w:cs="Times New Roman"/>
        </w:rPr>
        <w:t>Okrem toho sa navrhuje vykonať niektoré zmeny legislatívno-technického charakteru.</w:t>
      </w:r>
    </w:p>
    <w:p>
      <w:pPr>
        <w:pStyle w:val="BodyText2"/>
        <w:ind w:left="360" w:firstLine="348"/>
        <w:rPr>
          <w:rFonts w:ascii="Times New Roman" w:hAnsi="Times New Roman" w:cs="Times New Roman"/>
        </w:rPr>
      </w:pPr>
    </w:p>
    <w:p>
      <w:pPr>
        <w:pStyle w:val="BodyText2"/>
        <w:ind w:left="360" w:firstLine="348"/>
        <w:rPr>
          <w:rFonts w:ascii="Times New Roman" w:hAnsi="Times New Roman" w:cs="Times New Roman"/>
        </w:rPr>
      </w:pPr>
      <w:r>
        <w:rPr>
          <w:rFonts w:ascii="Times New Roman" w:hAnsi="Times New Roman" w:cs="Times New Roman"/>
        </w:rPr>
        <w:t>Navrhovaná novela zákona o stavebnom sporení nezakladá nároky na štátny rozpočet, na rozpočty obcí a na počty pracovných síl. Predložený návrh novely zákona o stavebnom spo</w:t>
      </w:r>
      <w:r>
        <w:rPr>
          <w:rFonts w:ascii="Times New Roman" w:hAnsi="Times New Roman" w:cs="Times New Roman"/>
        </w:rPr>
        <w:t>rení je v súlade s Ústavou Slovenskej republiky a inými medzinárodnými zmluvami, ktorými je Slovenská republika viazaná.</w:t>
      </w:r>
    </w:p>
    <w:p>
      <w:pPr>
        <w:pStyle w:val="BodyText2"/>
        <w:ind w:left="360" w:firstLine="348"/>
        <w:rPr>
          <w:rFonts w:ascii="Times New Roman" w:hAnsi="Times New Roman" w:cs="Times New Roman"/>
        </w:rPr>
      </w:pPr>
    </w:p>
    <w:p>
      <w:pPr>
        <w:pStyle w:val="BodyText"/>
        <w:jc w:val="center"/>
        <w:rPr>
          <w:rFonts w:ascii="Times New Roman" w:hAnsi="Times New Roman" w:cs="Times New Roman"/>
          <w:b/>
          <w:bCs/>
          <w:sz w:val="28"/>
          <w:u w:val="single"/>
        </w:rPr>
      </w:pPr>
      <w:r>
        <w:rPr>
          <w:rFonts w:ascii="Times New Roman" w:hAnsi="Times New Roman" w:cs="Times New Roman"/>
          <w:b/>
          <w:bCs/>
          <w:sz w:val="28"/>
          <w:u w:val="single"/>
        </w:rPr>
        <w:t xml:space="preserve">Doložka </w:t>
      </w:r>
    </w:p>
    <w:p>
      <w:pPr>
        <w:pStyle w:val="BodyText"/>
        <w:jc w:val="center"/>
        <w:rPr>
          <w:rFonts w:ascii="Times New Roman" w:hAnsi="Times New Roman" w:cs="Times New Roman"/>
          <w:b/>
          <w:bCs/>
          <w:sz w:val="28"/>
        </w:rPr>
      </w:pPr>
    </w:p>
    <w:p>
      <w:pPr>
        <w:pStyle w:val="BodyText"/>
        <w:jc w:val="center"/>
        <w:rPr>
          <w:rFonts w:ascii="Times New Roman" w:hAnsi="Times New Roman" w:cs="Times New Roman"/>
          <w:b/>
          <w:bCs/>
          <w:u w:val="single"/>
        </w:rPr>
      </w:pPr>
      <w:r>
        <w:rPr>
          <w:rFonts w:ascii="Times New Roman" w:hAnsi="Times New Roman" w:cs="Times New Roman"/>
          <w:b/>
          <w:bCs/>
          <w:u w:val="single"/>
        </w:rPr>
        <w:t>k návrhu zákona o jeho finančných a ekonomických vplyvoch,</w:t>
      </w:r>
    </w:p>
    <w:p>
      <w:pPr>
        <w:pStyle w:val="BodyText"/>
        <w:jc w:val="center"/>
        <w:rPr>
          <w:rFonts w:ascii="Times New Roman" w:hAnsi="Times New Roman" w:cs="Times New Roman"/>
          <w:u w:val="single"/>
        </w:rPr>
      </w:pPr>
      <w:r>
        <w:rPr>
          <w:rFonts w:ascii="Times New Roman" w:hAnsi="Times New Roman" w:cs="Times New Roman"/>
          <w:b/>
          <w:bCs/>
          <w:u w:val="single"/>
        </w:rPr>
        <w:t>environmentálnych vplyvoch a vplyvoch na zamestnanosť</w:t>
      </w:r>
      <w:r>
        <w:rPr>
          <w:rFonts w:ascii="Times New Roman" w:hAnsi="Times New Roman" w:cs="Times New Roman"/>
          <w:u w:val="single"/>
        </w:rPr>
        <w:t> </w:t>
      </w:r>
    </w:p>
    <w:p>
      <w:pPr>
        <w:pStyle w:val="BodyText"/>
        <w:ind w:left="705"/>
        <w:rPr>
          <w:rFonts w:ascii="Times New Roman" w:hAnsi="Times New Roman" w:cs="Times New Roman"/>
          <w:b/>
          <w:bCs/>
        </w:rPr>
      </w:pPr>
    </w:p>
    <w:p>
      <w:pPr>
        <w:pStyle w:val="BodyText"/>
        <w:ind w:left="705"/>
        <w:rPr>
          <w:rFonts w:ascii="Times New Roman" w:hAnsi="Times New Roman" w:cs="Times New Roman"/>
          <w:b/>
          <w:bCs/>
        </w:rPr>
      </w:pPr>
    </w:p>
    <w:p>
      <w:pPr>
        <w:pStyle w:val="BodyText"/>
        <w:ind w:left="705"/>
        <w:rPr>
          <w:rFonts w:ascii="Times New Roman" w:hAnsi="Times New Roman" w:cs="Times New Roman"/>
          <w:b/>
          <w:bCs/>
        </w:rPr>
      </w:pPr>
    </w:p>
    <w:p>
      <w:pPr>
        <w:pStyle w:val="BodyText"/>
        <w:rPr>
          <w:rFonts w:ascii="Times New Roman" w:hAnsi="Times New Roman" w:cs="Times New Roman"/>
          <w:b/>
          <w:bCs/>
        </w:rPr>
      </w:pPr>
    </w:p>
    <w:p>
      <w:pPr>
        <w:pStyle w:val="BodyText"/>
        <w:rPr>
          <w:rFonts w:ascii="Times New Roman" w:hAnsi="Times New Roman" w:cs="Times New Roman"/>
          <w:b/>
          <w:bCs/>
        </w:rPr>
      </w:pPr>
      <w:r>
        <w:rPr>
          <w:rFonts w:ascii="Times New Roman" w:hAnsi="Times New Roman" w:cs="Times New Roman"/>
          <w:b/>
          <w:bCs/>
        </w:rPr>
        <w:t>1. Odh</w:t>
      </w:r>
      <w:r>
        <w:rPr>
          <w:rFonts w:ascii="Times New Roman" w:hAnsi="Times New Roman" w:cs="Times New Roman"/>
          <w:b/>
          <w:bCs/>
        </w:rPr>
        <w:t>ad dopadov na verejné financie</w:t>
      </w:r>
    </w:p>
    <w:p>
      <w:pPr>
        <w:pStyle w:val="BodyText"/>
        <w:rPr>
          <w:rFonts w:ascii="Times New Roman" w:hAnsi="Times New Roman" w:cs="Times New Roman"/>
          <w:b/>
          <w:bCs/>
        </w:rPr>
      </w:pPr>
    </w:p>
    <w:p>
      <w:pPr>
        <w:pStyle w:val="BodyText2"/>
        <w:tabs>
          <w:tab w:val="left" w:pos="0"/>
        </w:tabs>
        <w:rPr>
          <w:rFonts w:ascii="Times New Roman" w:hAnsi="Times New Roman" w:cs="Times New Roman"/>
        </w:rPr>
      </w:pPr>
      <w:r>
        <w:rPr>
          <w:rFonts w:ascii="Times New Roman" w:hAnsi="Times New Roman" w:cs="Times New Roman"/>
        </w:rPr>
        <w:t>Prijatím predloženého zákona, ktorým sa mení a dopĺňa zákon Slovenskej národnej rady       č. 310/1992 Zb. o stavebnom sporení v znení neskorších predpisov a o doplnení zákona         č. 575/2001 Z.z. o organizácii činnosti vlády a organizácii ústrednej štátnej správy v znení neskorších predpisov sa v súčasnosti nepredpokladá negatívny vplyv na štátny rozpočet, na rozpočty obcí ani na rozpočty vyšších územných celkov (samosprávnych krajov).</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ab/>
      </w:r>
    </w:p>
    <w:p>
      <w:pPr>
        <w:pStyle w:val="BodyText"/>
        <w:rPr>
          <w:rFonts w:ascii="Times New Roman" w:hAnsi="Times New Roman" w:cs="Times New Roman"/>
        </w:rPr>
      </w:pPr>
      <w:r>
        <w:rPr>
          <w:rFonts w:ascii="Times New Roman" w:hAnsi="Times New Roman" w:cs="Times New Roman"/>
          <w:b/>
          <w:bCs/>
        </w:rPr>
        <w:t>2. Odhad dopadov na obyvateľov, hospodárenie podnikateľskej sféry a iných právnických osôb</w:t>
      </w:r>
    </w:p>
    <w:p>
      <w:pPr>
        <w:pStyle w:val="BodyText"/>
        <w:rPr>
          <w:rFonts w:ascii="Times New Roman" w:hAnsi="Times New Roman" w:cs="Times New Roman"/>
        </w:rPr>
      </w:pPr>
      <w:r>
        <w:rPr>
          <w:rFonts w:ascii="Times New Roman" w:hAnsi="Times New Roman" w:cs="Times New Roman"/>
        </w:rPr>
        <w:t> </w:t>
      </w:r>
    </w:p>
    <w:p>
      <w:pPr>
        <w:pStyle w:val="BodyTextIndent2"/>
        <w:ind w:left="75"/>
        <w:rPr>
          <w:rFonts w:ascii="Times New Roman" w:hAnsi="Times New Roman" w:cs="Times New Roman"/>
        </w:rPr>
      </w:pPr>
      <w:r>
        <w:rPr>
          <w:rFonts w:ascii="Times New Roman" w:hAnsi="Times New Roman" w:cs="Times New Roman"/>
        </w:rPr>
        <w:t xml:space="preserve">Realizáciou predloženého návrhu zákona sa nepredpokladá negatívny vplyv na    obyvateľov ani na hospodárenie podnikateľskej sféry a iných právnických osôb. </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b/>
          <w:bCs/>
        </w:rPr>
        <w:t>3. Odhad dopadov na životné prostred</w:t>
      </w:r>
      <w:r>
        <w:rPr>
          <w:rFonts w:ascii="Times New Roman" w:hAnsi="Times New Roman" w:cs="Times New Roman"/>
          <w:b/>
          <w:bCs/>
        </w:rPr>
        <w:t>ie</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b/>
          <w:bCs/>
        </w:rPr>
      </w:pPr>
      <w:r>
        <w:rPr>
          <w:rFonts w:ascii="Times New Roman" w:hAnsi="Times New Roman" w:cs="Times New Roman"/>
        </w:rPr>
        <w:t xml:space="preserve">Realizáciou predloženého návrhu zákona sa nepredpokladá žiadny vplyv na životné prostredie.   </w:t>
      </w:r>
      <w:r>
        <w:rPr>
          <w:rFonts w:ascii="Times New Roman" w:hAnsi="Times New Roman" w:cs="Times New Roman"/>
          <w:b/>
          <w:bCs/>
        </w:rPr>
        <w:tab/>
      </w:r>
    </w:p>
    <w:p>
      <w:pPr>
        <w:pStyle w:val="BodyText"/>
        <w:ind w:firstLine="708"/>
        <w:rPr>
          <w:rFonts w:ascii="Times New Roman" w:hAnsi="Times New Roman" w:cs="Times New Roman"/>
          <w:b/>
          <w:bCs/>
        </w:rPr>
      </w:pPr>
    </w:p>
    <w:p>
      <w:pPr>
        <w:pStyle w:val="BodyText"/>
        <w:rPr>
          <w:rFonts w:ascii="Times New Roman" w:hAnsi="Times New Roman" w:cs="Times New Roman"/>
          <w:b/>
          <w:bCs/>
        </w:rPr>
      </w:pPr>
      <w:r>
        <w:rPr>
          <w:rFonts w:ascii="Times New Roman" w:hAnsi="Times New Roman" w:cs="Times New Roman"/>
          <w:b/>
          <w:bCs/>
        </w:rPr>
        <w:t>4. Odhad dopadov na zamestnanosť</w:t>
      </w:r>
    </w:p>
    <w:p>
      <w:pPr>
        <w:pStyle w:val="BodyText"/>
        <w:ind w:firstLine="708"/>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rPr>
        <w:t>Realizáciou predloženého návrhu zákona sa nepredpokladá žiadny vplyv na nezamestnanosť ani na zamestnanosť občanov Slove</w:t>
      </w:r>
      <w:r>
        <w:rPr>
          <w:rFonts w:ascii="Times New Roman" w:hAnsi="Times New Roman" w:cs="Times New Roman"/>
        </w:rPr>
        <w:t>nskej republiky. </w:t>
      </w:r>
    </w:p>
    <w:p>
      <w:pPr>
        <w:pStyle w:val="BodyText"/>
        <w:rPr>
          <w:rFonts w:ascii="Times New Roman" w:hAnsi="Times New Roman" w:cs="Times New Roman"/>
        </w:rPr>
      </w:pPr>
      <w:r>
        <w:rPr>
          <w:rFonts w:ascii="Times New Roman" w:hAnsi="Times New Roman" w:cs="Times New Roman"/>
        </w:rPr>
        <w:tab/>
        <w:tab/>
      </w:r>
    </w:p>
    <w:p>
      <w:pPr>
        <w:pStyle w:val="BodyText"/>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r>
        <w:rPr>
          <w:rFonts w:ascii="Times New Roman" w:hAnsi="Times New Roman" w:cs="Times New Roman"/>
        </w:rPr>
        <w:t> </w:t>
      </w: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rPr>
          <w:rFonts w:ascii="Times New Roman" w:hAnsi="Times New Roman" w:cs="Times New Roman"/>
        </w:rPr>
      </w:pPr>
    </w:p>
    <w:p>
      <w:pPr>
        <w:pStyle w:val="Zkladntext"/>
        <w:ind w:left="283" w:hanging="283"/>
        <w:jc w:val="center"/>
        <w:rPr>
          <w:rFonts w:ascii="Times New Roman" w:hAnsi="Times New Roman" w:cs="Times New Roman"/>
        </w:rPr>
      </w:pPr>
      <w:r>
        <w:rPr>
          <w:rFonts w:ascii="Times New Roman" w:hAnsi="Times New Roman" w:cs="Times New Roman"/>
          <w:b/>
        </w:rPr>
        <w:t>DOLOŽKA ZLUČITEĽNOSTI</w:t>
      </w:r>
    </w:p>
    <w:p>
      <w:pPr>
        <w:pStyle w:val="Zkladntext"/>
        <w:pBdr>
          <w:bottom w:val="single" w:sz="12" w:space="1" w:color="auto"/>
        </w:pBdr>
        <w:ind w:firstLine="709"/>
        <w:jc w:val="center"/>
        <w:rPr>
          <w:rFonts w:ascii="Times New Roman" w:hAnsi="Times New Roman" w:cs="Times New Roman"/>
        </w:rPr>
      </w:pPr>
      <w:r>
        <w:rPr>
          <w:rFonts w:ascii="Times New Roman" w:hAnsi="Times New Roman" w:cs="Times New Roman"/>
        </w:rPr>
        <w:t>návrhu zákona, ktorým sa mení a dopĺňa zákon Slovenskej národnej rady č. 310/1992 Zb. o stavebnom sporení v znení neskorších predpisov s právom Európskych spoločenstiev a s právom Európskej ú</w:t>
      </w:r>
      <w:r>
        <w:rPr>
          <w:rFonts w:ascii="Times New Roman" w:hAnsi="Times New Roman" w:cs="Times New Roman"/>
        </w:rPr>
        <w:t>nie</w:t>
      </w: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1. Navrhovateľ zákona:</w:t>
      </w:r>
    </w:p>
    <w:p>
      <w:pPr>
        <w:pStyle w:val="Zkladntext"/>
        <w:jc w:val="both"/>
        <w:rPr>
          <w:rFonts w:ascii="Times New Roman" w:hAnsi="Times New Roman" w:cs="Times New Roman"/>
          <w:b/>
        </w:rPr>
      </w:pPr>
    </w:p>
    <w:p>
      <w:pPr>
        <w:pStyle w:val="Zkladntext"/>
        <w:tabs>
          <w:tab w:val="left" w:pos="284"/>
        </w:tabs>
        <w:jc w:val="both"/>
        <w:rPr>
          <w:rFonts w:ascii="Times New Roman" w:hAnsi="Times New Roman" w:cs="Times New Roman"/>
          <w:b/>
        </w:rPr>
      </w:pPr>
      <w:r>
        <w:rPr>
          <w:rFonts w:ascii="Times New Roman" w:hAnsi="Times New Roman" w:cs="Times New Roman"/>
          <w:b/>
        </w:rPr>
        <w:t xml:space="preserve"> </w:t>
        <w:tab/>
      </w:r>
      <w:r>
        <w:rPr>
          <w:rFonts w:ascii="Times New Roman" w:hAnsi="Times New Roman" w:cs="Times New Roman"/>
        </w:rPr>
        <w:t>Vláda Slovenskej republiky.</w:t>
      </w: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2. Názov návrhu zákona:</w:t>
      </w:r>
    </w:p>
    <w:p>
      <w:pPr>
        <w:pStyle w:val="Zkladntext"/>
        <w:jc w:val="both"/>
        <w:rPr>
          <w:rFonts w:ascii="Times New Roman" w:hAnsi="Times New Roman" w:cs="Times New Roman"/>
          <w:b/>
        </w:rPr>
      </w:pPr>
    </w:p>
    <w:p>
      <w:pPr>
        <w:pStyle w:val="Zkladntext"/>
        <w:tabs>
          <w:tab w:val="left" w:pos="284"/>
        </w:tabs>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Návrh zákona, ktorým sa mení a dopĺňa zákon Slovenskej národnej rady č. 310/1992 Zb. </w:t>
      </w:r>
    </w:p>
    <w:p>
      <w:pPr>
        <w:pStyle w:val="Zkladntext"/>
        <w:tabs>
          <w:tab w:val="left" w:pos="284"/>
        </w:tabs>
        <w:jc w:val="both"/>
        <w:rPr>
          <w:rFonts w:ascii="Times New Roman" w:hAnsi="Times New Roman" w:cs="Times New Roman"/>
        </w:rPr>
      </w:pPr>
      <w:r>
        <w:rPr>
          <w:rFonts w:ascii="Times New Roman" w:hAnsi="Times New Roman" w:cs="Times New Roman"/>
        </w:rPr>
        <w:tab/>
        <w:t>o stavebnom sporení v znení neskorších predpisov.</w:t>
      </w: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3. Záväzky Slovenskej republiky vo vzťahu k Európskym spoločenstvám a Európskej únii:</w:t>
      </w:r>
    </w:p>
    <w:p>
      <w:pPr>
        <w:pStyle w:val="Zkladntext"/>
        <w:numPr>
          <w:ilvl w:val="0"/>
          <w:numId w:val="10"/>
        </w:numPr>
        <w:tabs>
          <w:tab w:val="left" w:pos="993"/>
          <w:tab w:val="left" w:pos="1605"/>
        </w:tabs>
        <w:ind w:left="851" w:hanging="284"/>
        <w:jc w:val="both"/>
        <w:rPr>
          <w:rFonts w:ascii="Times New Roman" w:hAnsi="Times New Roman" w:cs="Times New Roman"/>
          <w:b/>
        </w:rPr>
      </w:pPr>
      <w:r>
        <w:rPr>
          <w:rFonts w:ascii="Times New Roman" w:hAnsi="Times New Roman" w:cs="Times New Roman"/>
        </w:rPr>
        <w:t xml:space="preserve">Problematika návrhu zákona nie je prioritou podľa </w:t>
      </w:r>
    </w:p>
    <w:p>
      <w:pPr>
        <w:pStyle w:val="Zkladntext"/>
        <w:numPr>
          <w:ilvl w:val="1"/>
          <w:numId w:val="10"/>
        </w:numPr>
        <w:tabs>
          <w:tab w:val="left" w:pos="1920"/>
        </w:tabs>
        <w:jc w:val="both"/>
        <w:rPr>
          <w:rFonts w:ascii="Times New Roman" w:hAnsi="Times New Roman" w:cs="Times New Roman"/>
          <w:b/>
        </w:rPr>
      </w:pPr>
      <w:r>
        <w:rPr>
          <w:rFonts w:ascii="Times New Roman" w:hAnsi="Times New Roman" w:cs="Times New Roman"/>
        </w:rPr>
        <w:t>Európskej dohody o pridružení,</w:t>
      </w:r>
    </w:p>
    <w:p>
      <w:pPr>
        <w:pStyle w:val="Zkladntext"/>
        <w:numPr>
          <w:ilvl w:val="1"/>
          <w:numId w:val="10"/>
        </w:numPr>
        <w:tabs>
          <w:tab w:val="left" w:pos="1920"/>
        </w:tabs>
        <w:jc w:val="both"/>
        <w:rPr>
          <w:rFonts w:ascii="Times New Roman" w:hAnsi="Times New Roman" w:cs="Times New Roman"/>
          <w:b/>
        </w:rPr>
      </w:pPr>
      <w:r>
        <w:rPr>
          <w:rFonts w:ascii="Times New Roman" w:hAnsi="Times New Roman" w:cs="Times New Roman"/>
        </w:rPr>
        <w:t>Národného programu pre prijatie acquis communautaire,</w:t>
      </w:r>
    </w:p>
    <w:p>
      <w:pPr>
        <w:pStyle w:val="Zkladntext"/>
        <w:numPr>
          <w:ilvl w:val="1"/>
          <w:numId w:val="10"/>
        </w:numPr>
        <w:tabs>
          <w:tab w:val="left" w:pos="1920"/>
        </w:tabs>
        <w:jc w:val="both"/>
        <w:rPr>
          <w:rFonts w:ascii="Times New Roman" w:hAnsi="Times New Roman" w:cs="Times New Roman"/>
          <w:b/>
        </w:rPr>
      </w:pPr>
      <w:r>
        <w:rPr>
          <w:rFonts w:ascii="Times New Roman" w:hAnsi="Times New Roman" w:cs="Times New Roman"/>
        </w:rPr>
        <w:t>Partnerstva pre vstup,</w:t>
      </w:r>
    </w:p>
    <w:p>
      <w:pPr>
        <w:pStyle w:val="Zkladntext"/>
        <w:numPr>
          <w:ilvl w:val="1"/>
          <w:numId w:val="10"/>
        </w:numPr>
        <w:tabs>
          <w:tab w:val="left" w:pos="1920"/>
        </w:tabs>
        <w:jc w:val="both"/>
        <w:rPr>
          <w:rFonts w:ascii="Times New Roman" w:hAnsi="Times New Roman" w:cs="Times New Roman"/>
          <w:b/>
        </w:rPr>
      </w:pPr>
      <w:r>
        <w:rPr>
          <w:rFonts w:ascii="Times New Roman" w:hAnsi="Times New Roman" w:cs="Times New Roman"/>
        </w:rPr>
        <w:t>Prípravy asociovaných krajín strednej a výc</w:t>
      </w:r>
      <w:r>
        <w:rPr>
          <w:rFonts w:ascii="Times New Roman" w:hAnsi="Times New Roman" w:cs="Times New Roman"/>
        </w:rPr>
        <w:t>hodnej Európy na integráciu do vnútorného trhu Európskej únie (Biela Kniha),</w:t>
      </w:r>
    </w:p>
    <w:p>
      <w:pPr>
        <w:pStyle w:val="Zkladntext"/>
        <w:numPr>
          <w:ilvl w:val="1"/>
          <w:numId w:val="10"/>
        </w:numPr>
        <w:tabs>
          <w:tab w:val="left" w:pos="1920"/>
        </w:tabs>
        <w:jc w:val="both"/>
        <w:rPr>
          <w:rFonts w:ascii="Times New Roman" w:hAnsi="Times New Roman" w:cs="Times New Roman"/>
          <w:b/>
        </w:rPr>
      </w:pPr>
      <w:r>
        <w:rPr>
          <w:rFonts w:ascii="Times New Roman" w:hAnsi="Times New Roman" w:cs="Times New Roman"/>
        </w:rPr>
        <w:t>screeningu.</w:t>
      </w:r>
    </w:p>
    <w:p>
      <w:pPr>
        <w:pStyle w:val="BodyTextIndent"/>
        <w:ind w:left="993"/>
        <w:jc w:val="both"/>
        <w:rPr>
          <w:rFonts w:ascii="Times New Roman" w:hAnsi="Times New Roman" w:cs="Times New Roman"/>
        </w:rPr>
      </w:pPr>
    </w:p>
    <w:p>
      <w:pPr>
        <w:pStyle w:val="BodyTextIndent"/>
        <w:ind w:left="993"/>
        <w:jc w:val="both"/>
        <w:rPr>
          <w:rFonts w:ascii="Times New Roman" w:hAnsi="Times New Roman" w:cs="Times New Roman"/>
        </w:rPr>
      </w:pPr>
      <w:r>
        <w:rPr>
          <w:rFonts w:ascii="Times New Roman" w:hAnsi="Times New Roman" w:cs="Times New Roman"/>
        </w:rPr>
        <w:t xml:space="preserve">Podľa Plánu legislatívnych úloh vlády SR na rok 2004 je termín predloženia návrhu zákona máj 2004. </w:t>
      </w:r>
    </w:p>
    <w:p>
      <w:pPr>
        <w:pStyle w:val="BodyTextIndent"/>
        <w:ind w:left="993"/>
        <w:jc w:val="both"/>
        <w:rPr>
          <w:rFonts w:ascii="Times New Roman" w:hAnsi="Times New Roman" w:cs="Times New Roman"/>
        </w:rPr>
      </w:pPr>
    </w:p>
    <w:p>
      <w:pPr>
        <w:pStyle w:val="Zkladntext"/>
        <w:numPr>
          <w:ilvl w:val="0"/>
          <w:numId w:val="10"/>
        </w:numPr>
        <w:tabs>
          <w:tab w:val="left" w:pos="993"/>
          <w:tab w:val="left" w:pos="1605"/>
        </w:tabs>
        <w:ind w:left="993" w:hanging="426"/>
        <w:jc w:val="both"/>
        <w:rPr>
          <w:rFonts w:ascii="Times New Roman" w:hAnsi="Times New Roman" w:cs="Times New Roman"/>
        </w:rPr>
      </w:pPr>
      <w:r>
        <w:rPr>
          <w:rFonts w:ascii="Times New Roman" w:hAnsi="Times New Roman" w:cs="Times New Roman"/>
        </w:rPr>
        <w:t>Žiadne záväzky zo schválených negociačných pozícií nemajú vzťah k</w:t>
      </w:r>
      <w:r>
        <w:rPr>
          <w:rFonts w:ascii="Times New Roman" w:hAnsi="Times New Roman" w:cs="Times New Roman"/>
        </w:rPr>
        <w:t> návrhu zákona.</w:t>
      </w:r>
    </w:p>
    <w:p>
      <w:pPr>
        <w:pStyle w:val="Zkladntext"/>
        <w:ind w:left="1245"/>
        <w:jc w:val="both"/>
        <w:rPr>
          <w:rFonts w:ascii="Times New Roman" w:hAnsi="Times New Roman" w:cs="Times New Roman"/>
          <w:b/>
        </w:rPr>
      </w:pPr>
    </w:p>
    <w:p>
      <w:pPr>
        <w:pStyle w:val="Zkladntext"/>
        <w:jc w:val="both"/>
        <w:rPr>
          <w:rFonts w:ascii="Times New Roman" w:hAnsi="Times New Roman" w:cs="Times New Roman"/>
          <w:b/>
        </w:rPr>
      </w:pPr>
      <w:r>
        <w:rPr>
          <w:rFonts w:ascii="Times New Roman" w:hAnsi="Times New Roman" w:cs="Times New Roman"/>
          <w:b/>
        </w:rPr>
        <w:t>4. Problematika návrhu zákona:</w:t>
      </w:r>
    </w:p>
    <w:p>
      <w:pPr>
        <w:pStyle w:val="Zkladntext"/>
        <w:ind w:left="360"/>
        <w:jc w:val="both"/>
        <w:rPr>
          <w:rFonts w:ascii="Times New Roman" w:hAnsi="Times New Roman" w:cs="Times New Roman"/>
        </w:rPr>
      </w:pPr>
      <w:r>
        <w:rPr>
          <w:rFonts w:ascii="Times New Roman" w:hAnsi="Times New Roman" w:cs="Times New Roman"/>
        </w:rPr>
        <w:t>b)  nie je upravená v práve Európskych spoločenstiev,</w:t>
      </w:r>
    </w:p>
    <w:p>
      <w:pPr>
        <w:pStyle w:val="Zkladntext"/>
        <w:ind w:left="360"/>
        <w:jc w:val="both"/>
        <w:rPr>
          <w:rFonts w:ascii="Times New Roman" w:hAnsi="Times New Roman" w:cs="Times New Roman"/>
        </w:rPr>
      </w:pPr>
      <w:r>
        <w:rPr>
          <w:rFonts w:ascii="Times New Roman" w:hAnsi="Times New Roman" w:cs="Times New Roman"/>
        </w:rPr>
        <w:t>d)  nie je upravená v práve Európskej únie.</w:t>
      </w:r>
    </w:p>
    <w:p>
      <w:pPr>
        <w:pStyle w:val="Zkladntext"/>
        <w:ind w:left="360"/>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5. Stupeň zlučiteľnosti návrhu zákona s právom Európskych spoločenstiev a právom Európskej únie  :</w:t>
      </w:r>
    </w:p>
    <w:p>
      <w:pPr>
        <w:jc w:val="both"/>
        <w:rPr>
          <w:rFonts w:ascii="Times New Roman" w:hAnsi="Times New Roman" w:cs="Times New Roman"/>
          <w:b/>
        </w:rPr>
      </w:pPr>
    </w:p>
    <w:p>
      <w:pPr>
        <w:ind w:firstLine="709"/>
        <w:jc w:val="both"/>
        <w:rPr>
          <w:rFonts w:ascii="Times New Roman" w:hAnsi="Times New Roman" w:cs="Times New Roman"/>
        </w:rPr>
      </w:pPr>
      <w:r>
        <w:rPr>
          <w:rFonts w:ascii="Times New Roman" w:hAnsi="Times New Roman" w:cs="Times New Roman"/>
        </w:rPr>
        <w:t>c) žiadna</w:t>
      </w:r>
    </w:p>
    <w:p>
      <w:pPr>
        <w:ind w:left="1245"/>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Vzhľadom na to, že problematika návrhu zákona nie je upravená v práve Európskych spoločenstiev ani v práve Európskej únie je vyjadrovanie stupňa zlučiteľnosti návrhu zákona s právom ES/EÚ bezpredmetné. </w:t>
      </w:r>
    </w:p>
    <w:p>
      <w:pPr>
        <w:pStyle w:val="Zkladntext"/>
        <w:jc w:val="both"/>
        <w:rPr>
          <w:rFonts w:ascii="Times New Roman" w:hAnsi="Times New Roman" w:cs="Times New Roman"/>
        </w:rPr>
      </w:pPr>
    </w:p>
    <w:p>
      <w:pPr>
        <w:pStyle w:val="Zkladntext"/>
        <w:jc w:val="both"/>
        <w:rPr>
          <w:rFonts w:ascii="Times New Roman" w:hAnsi="Times New Roman" w:cs="Times New Roman"/>
          <w:b/>
        </w:rPr>
      </w:pPr>
      <w:r>
        <w:rPr>
          <w:rFonts w:ascii="Times New Roman" w:hAnsi="Times New Roman" w:cs="Times New Roman"/>
          <w:b/>
        </w:rPr>
        <w:t>6. Gestor:</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rPr>
        <w:tab/>
        <w:t>bezpredmetné.</w:t>
      </w:r>
    </w:p>
    <w:p>
      <w:pPr>
        <w:pStyle w:val="Zkladntext"/>
        <w:jc w:val="both"/>
        <w:rPr>
          <w:rFonts w:ascii="Times New Roman" w:hAnsi="Times New Roman" w:cs="Times New Roman"/>
        </w:rPr>
      </w:pPr>
    </w:p>
    <w:p>
      <w:pPr>
        <w:pStyle w:val="Zkladntext"/>
        <w:jc w:val="both"/>
        <w:rPr>
          <w:rFonts w:ascii="Times New Roman" w:hAnsi="Times New Roman" w:cs="Times New Roman"/>
        </w:rPr>
      </w:pPr>
      <w:r>
        <w:rPr>
          <w:rFonts w:ascii="Times New Roman" w:hAnsi="Times New Roman" w:cs="Times New Roman"/>
          <w:b/>
        </w:rPr>
        <w:t>7. Účasť expertov pri</w:t>
      </w:r>
      <w:r>
        <w:rPr>
          <w:rFonts w:ascii="Times New Roman" w:hAnsi="Times New Roman" w:cs="Times New Roman"/>
          <w:b/>
        </w:rPr>
        <w:t xml:space="preserve"> príprave návrhu zákona:</w:t>
      </w:r>
    </w:p>
    <w:p>
      <w:pPr>
        <w:pStyle w:val="Zkladntext"/>
        <w:jc w:val="both"/>
        <w:rPr>
          <w:rFonts w:ascii="Times New Roman" w:hAnsi="Times New Roman" w:cs="Times New Roman"/>
        </w:rPr>
      </w:pPr>
    </w:p>
    <w:p>
      <w:pPr>
        <w:pStyle w:val="Zkladntext"/>
        <w:jc w:val="both"/>
        <w:rPr>
          <w:rFonts w:ascii="Times New Roman" w:hAnsi="Times New Roman" w:cs="Times New Roman"/>
          <w:b/>
          <w:bCs/>
        </w:rPr>
      </w:pPr>
      <w:r>
        <w:rPr>
          <w:rFonts w:ascii="Times New Roman" w:hAnsi="Times New Roman" w:cs="Times New Roman"/>
        </w:rPr>
        <w:tab/>
        <w:t>Pri príprave návrhu zákona sa nezúčastnili experti.</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D78"/>
    <w:multiLevelType w:val="hybridMultilevel"/>
    <w:tmpl w:val="912019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C6F07B4"/>
    <w:multiLevelType w:val="hybridMultilevel"/>
    <w:tmpl w:val="8C96F51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CDC596E"/>
    <w:multiLevelType w:val="hybridMultilevel"/>
    <w:tmpl w:val="3FA6157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2B3A159E"/>
    <w:multiLevelType w:val="hybridMultilevel"/>
    <w:tmpl w:val="E9A61B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A232298"/>
    <w:multiLevelType w:val="multilevel"/>
    <w:tmpl w:val="519AEF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E28225D"/>
    <w:multiLevelType w:val="hybridMultilevel"/>
    <w:tmpl w:val="789A3370"/>
    <w:lvl w:ilvl="0">
      <w:start w:val="1"/>
      <w:numFmt w:val="lowerLetter"/>
      <w:lvlText w:val="%1)"/>
      <w:lvlJc w:val="left"/>
      <w:pPr>
        <w:tabs>
          <w:tab w:val="num" w:pos="1605"/>
        </w:tabs>
        <w:ind w:left="1605" w:hanging="360"/>
      </w:pPr>
      <w:rPr>
        <w:b w:val="0"/>
        <w:rtl w:val="0"/>
      </w:rPr>
    </w:lvl>
    <w:lvl w:ilvl="1">
      <w:start w:val="1"/>
      <w:numFmt w:val="bullet"/>
      <w:lvlText w:val="-"/>
      <w:lvlJc w:val="left"/>
      <w:pPr>
        <w:tabs>
          <w:tab w:val="num" w:pos="1920"/>
        </w:tabs>
        <w:ind w:left="1920" w:hanging="360"/>
      </w:pPr>
      <w:rPr>
        <w:rFonts w:ascii="Arial" w:hAnsi="Arial" w:cs="Arial"/>
        <w:b w:val="0"/>
        <w:rtl w:val="0"/>
      </w:rPr>
    </w:lvl>
    <w:lvl w:ilvl="2">
      <w:start w:val="1"/>
      <w:numFmt w:val="decimal"/>
      <w:lvlText w:val="%3."/>
      <w:lvlJc w:val="left"/>
      <w:pPr>
        <w:tabs>
          <w:tab w:val="num" w:pos="3225"/>
        </w:tabs>
        <w:ind w:left="3225" w:hanging="360"/>
      </w:pPr>
      <w:rPr>
        <w:b w:val="0"/>
        <w:rtl w:val="0"/>
      </w:rPr>
    </w:lvl>
    <w:lvl w:ilvl="3">
      <w:start w:val="1"/>
      <w:numFmt w:val="decimal"/>
      <w:lvlText w:val="%4."/>
      <w:lvlJc w:val="left"/>
      <w:pPr>
        <w:tabs>
          <w:tab w:val="num" w:pos="3765"/>
        </w:tabs>
        <w:ind w:left="3765" w:hanging="360"/>
      </w:pPr>
    </w:lvl>
    <w:lvl w:ilvl="4">
      <w:start w:val="1"/>
      <w:numFmt w:val="lowerLetter"/>
      <w:lvlText w:val="%5."/>
      <w:lvlJc w:val="left"/>
      <w:pPr>
        <w:tabs>
          <w:tab w:val="num" w:pos="4485"/>
        </w:tabs>
        <w:ind w:left="4485" w:hanging="360"/>
      </w:pPr>
    </w:lvl>
    <w:lvl w:ilvl="5">
      <w:start w:val="1"/>
      <w:numFmt w:val="lowerRoman"/>
      <w:lvlText w:val="%6."/>
      <w:lvlJc w:val="right"/>
      <w:pPr>
        <w:tabs>
          <w:tab w:val="num" w:pos="5205"/>
        </w:tabs>
        <w:ind w:left="5205" w:hanging="180"/>
      </w:pPr>
    </w:lvl>
    <w:lvl w:ilvl="6">
      <w:start w:val="1"/>
      <w:numFmt w:val="decimal"/>
      <w:lvlText w:val="%7."/>
      <w:lvlJc w:val="left"/>
      <w:pPr>
        <w:tabs>
          <w:tab w:val="num" w:pos="5925"/>
        </w:tabs>
        <w:ind w:left="5925" w:hanging="360"/>
      </w:pPr>
    </w:lvl>
    <w:lvl w:ilvl="7">
      <w:start w:val="1"/>
      <w:numFmt w:val="lowerLetter"/>
      <w:lvlText w:val="%8."/>
      <w:lvlJc w:val="left"/>
      <w:pPr>
        <w:tabs>
          <w:tab w:val="num" w:pos="6645"/>
        </w:tabs>
        <w:ind w:left="6645" w:hanging="360"/>
      </w:pPr>
    </w:lvl>
    <w:lvl w:ilvl="8">
      <w:start w:val="1"/>
      <w:numFmt w:val="lowerRoman"/>
      <w:lvlText w:val="%9."/>
      <w:lvlJc w:val="right"/>
      <w:pPr>
        <w:tabs>
          <w:tab w:val="num" w:pos="7365"/>
        </w:tabs>
        <w:ind w:left="7365" w:hanging="180"/>
      </w:pPr>
    </w:lvl>
  </w:abstractNum>
  <w:abstractNum w:abstractNumId="6">
    <w:nsid w:val="5D7215D8"/>
    <w:multiLevelType w:val="multilevel"/>
    <w:tmpl w:val="911C804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EEA09B6"/>
    <w:multiLevelType w:val="hybridMultilevel"/>
    <w:tmpl w:val="32B6E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47E7C50"/>
    <w:multiLevelType w:val="hybridMultilevel"/>
    <w:tmpl w:val="A484EAB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784A1042"/>
    <w:multiLevelType w:val="hybridMultilevel"/>
    <w:tmpl w:val="4E6865E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3"/>
  </w:num>
  <w:num w:numId="5">
    <w:abstractNumId w:val="8"/>
  </w:num>
  <w:num w:numId="6">
    <w:abstractNumId w:val="4"/>
  </w:num>
  <w:num w:numId="7">
    <w:abstractNumId w:val="6"/>
  </w:num>
  <w:num w:numId="8">
    <w:abstractNumId w:val="9"/>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character" w:default="1" w:styleId="DefaultParagraphFont">
    <w:name w:val="Default Paragraph Font"/>
  </w:style>
  <w:style w:type="paragraph" w:styleId="Title">
    <w:name w:val="Title"/>
    <w:basedOn w:val="Normal"/>
    <w:uiPriority w:val="10"/>
    <w:qFormat/>
    <w:pPr>
      <w:jc w:val="center"/>
    </w:pPr>
    <w:rPr>
      <w:b/>
      <w:bCs/>
    </w:rPr>
  </w:style>
  <w:style w:type="paragraph" w:styleId="BodyTextIndent">
    <w:name w:val="Body Text Indent"/>
    <w:basedOn w:val="Normal"/>
    <w:pPr>
      <w:ind w:left="720"/>
      <w:jc w:val="left"/>
    </w:pPr>
  </w:style>
  <w:style w:type="paragraph" w:styleId="BodyTextIndent2">
    <w:name w:val="Body Text Indent 2"/>
    <w:basedOn w:val="Normal"/>
    <w:pPr>
      <w:ind w:left="720"/>
      <w:jc w:val="both"/>
    </w:pPr>
  </w:style>
  <w:style w:type="paragraph" w:styleId="BodyText">
    <w:name w:val="Body Text"/>
    <w:basedOn w:val="Normal"/>
    <w:pPr>
      <w:jc w:val="both"/>
    </w:pPr>
  </w:style>
  <w:style w:type="paragraph" w:styleId="Subtitle">
    <w:name w:val="Subtitle"/>
    <w:basedOn w:val="Normal"/>
    <w:uiPriority w:val="11"/>
    <w:qFormat/>
    <w:pPr>
      <w:jc w:val="left"/>
    </w:pPr>
    <w:rPr>
      <w:b/>
      <w:bCs/>
    </w:rPr>
  </w:style>
  <w:style w:type="paragraph" w:styleId="BodyText2">
    <w:name w:val="Body Text 2"/>
    <w:basedOn w:val="Normal"/>
    <w:pPr>
      <w:jc w:val="both"/>
    </w:pPr>
    <w:rPr>
      <w:szCs w:val="20"/>
    </w:rPr>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3">
    <w:name w:val="Body Text Indent 3"/>
    <w:basedOn w:val="Normal"/>
    <w:pPr>
      <w:ind w:left="360" w:firstLine="348"/>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863</Words>
  <Characters>4920</Characters>
  <Application>Microsoft Office Word</Application>
  <DocSecurity>0</DocSecurity>
  <Lines>0</Lines>
  <Paragraphs>0</Paragraphs>
  <ScaleCrop>false</ScaleCrop>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dc:title>
  <dc:creator>Marta Gulárová</dc:creator>
  <cp:lastModifiedBy>Ing. Gabriel Droba</cp:lastModifiedBy>
  <cp:revision>2</cp:revision>
  <cp:lastPrinted>2004-07-13T07:24:00Z</cp:lastPrinted>
  <dcterms:created xsi:type="dcterms:W3CDTF">2004-07-19T14:28:00Z</dcterms:created>
  <dcterms:modified xsi:type="dcterms:W3CDTF">2004-07-19T14:28:00Z</dcterms:modified>
</cp:coreProperties>
</file>