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NÁRODNÁ RADA SLOVENSKEJ REPUBLIKY</w:t>
      </w:r>
    </w:p>
    <w:p>
      <w:pPr>
        <w:pStyle w:val="Title"/>
        <w:pBdr>
          <w:bottom w:val="single" w:sz="12" w:space="1" w:color="auto"/>
        </w:pBdr>
        <w:rPr>
          <w:rFonts w:ascii="Times New Roman" w:hAnsi="Times New Roman" w:cs="Times New Roman"/>
        </w:rPr>
      </w:pPr>
      <w:r>
        <w:rPr>
          <w:rFonts w:ascii="Times New Roman" w:hAnsi="Times New Roman" w:cs="Times New Roman"/>
        </w:rPr>
        <w:t>III. volebné obdobie</w:t>
      </w:r>
    </w:p>
    <w:p>
      <w:pPr>
        <w:pStyle w:val="Title"/>
        <w:rPr>
          <w:rFonts w:ascii="Times New Roman" w:hAnsi="Times New Roman" w:cs="Times New Roman"/>
        </w:rPr>
      </w:pPr>
    </w:p>
    <w:p>
      <w:pPr>
        <w:pStyle w:val="Title"/>
        <w:rPr>
          <w:rFonts w:ascii="Times New Roman" w:hAnsi="Times New Roman" w:cs="Times New Roman"/>
        </w:rPr>
      </w:pPr>
      <w:r>
        <w:rPr>
          <w:rFonts w:ascii="Times New Roman" w:hAnsi="Times New Roman" w:cs="Times New Roman"/>
        </w:rPr>
        <w:t>786</w:t>
      </w:r>
    </w:p>
    <w:p>
      <w:pPr>
        <w:pStyle w:val="Title"/>
        <w:rPr>
          <w:rFonts w:ascii="Times New Roman" w:hAnsi="Times New Roman" w:cs="Times New Roman"/>
        </w:rPr>
      </w:pPr>
    </w:p>
    <w:p>
      <w:pPr>
        <w:pStyle w:val="Title"/>
        <w:rPr>
          <w:rFonts w:ascii="Times New Roman" w:hAnsi="Times New Roman" w:cs="Times New Roman"/>
        </w:rPr>
      </w:pPr>
      <w:r>
        <w:rPr>
          <w:rFonts w:ascii="Times New Roman" w:hAnsi="Times New Roman" w:cs="Times New Roman"/>
        </w:rPr>
        <w:t>VLÁDNY NÁVRH</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Z Á K O N</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z ................... 2004,</w:t>
      </w:r>
    </w:p>
    <w:p>
      <w:pPr>
        <w:jc w:val="cente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ktorým sa mení a dopĺňa zákon Slovenskej národnej rady č. 310/1992 Zb. o stavebnom sporení v znení neskorších predpisov a o doplnení zákona č. 575/2001 Z.z. o organizácii činnosti vlády a organizácii ústrednej štátnej správy v znení neskorších predpisov</w:t>
      </w:r>
    </w:p>
    <w:p>
      <w:pPr>
        <w:jc w:val="center"/>
        <w:rPr>
          <w:rFonts w:ascii="Times New Roman" w:hAnsi="Times New Roman" w:cs="Times New Roman"/>
          <w:b/>
          <w:bCs/>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Národná rada Slovenskej republiky sa uzniesla na tomto zákone:</w:t>
      </w:r>
    </w:p>
    <w:p>
      <w:pP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Čl. I</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xml:space="preserve">   Zákon Slovenskej národnej rady č. 310/1992 Zb. o stavebnom sporení v znení zákona Národnej rady Slovenskej republiky č. 386/1996 Z.z., zákona č. 242/1999 Z.z., zákona č. 443/2000 Z.z., zákona č. 677/2002 Z.z.  a zákona č. 165/2003 Z.z. sa mení a dopĺňa takto: </w:t>
      </w:r>
    </w:p>
    <w:p>
      <w:pPr>
        <w:rPr>
          <w:rFonts w:ascii="Times New Roman" w:hAnsi="Times New Roman" w:cs="Times New Roman"/>
        </w:rPr>
      </w:pPr>
    </w:p>
    <w:p>
      <w:pPr>
        <w:numPr>
          <w:ilvl w:val="0"/>
          <w:numId w:val="13"/>
        </w:numPr>
        <w:tabs>
          <w:tab w:val="left" w:pos="720"/>
        </w:tabs>
        <w:jc w:val="both"/>
        <w:rPr>
          <w:rFonts w:ascii="Times New Roman" w:hAnsi="Times New Roman" w:cs="Times New Roman"/>
        </w:rPr>
      </w:pPr>
      <w:r>
        <w:rPr>
          <w:rFonts w:ascii="Times New Roman" w:hAnsi="Times New Roman" w:cs="Times New Roman"/>
        </w:rPr>
        <w:t>V § 2 ods. 3 písmeno c) znie:</w:t>
      </w:r>
    </w:p>
    <w:p>
      <w:pPr>
        <w:ind w:left="708"/>
        <w:jc w:val="both"/>
        <w:rPr>
          <w:rFonts w:ascii="Times New Roman" w:hAnsi="Times New Roman" w:cs="Times New Roman"/>
        </w:rPr>
      </w:pPr>
      <w:r>
        <w:rPr>
          <w:rFonts w:ascii="Times New Roman" w:hAnsi="Times New Roman" w:cs="Times New Roman"/>
        </w:rPr>
        <w:t>„c) investovanie na vlastný účet a obchodovanie na vlastný účet s</w:t>
      </w:r>
    </w:p>
    <w:p>
      <w:pPr>
        <w:numPr>
          <w:ilvl w:val="1"/>
          <w:numId w:val="1"/>
        </w:numPr>
        <w:tabs>
          <w:tab w:val="left" w:pos="1440"/>
        </w:tabs>
        <w:jc w:val="both"/>
        <w:rPr>
          <w:rFonts w:ascii="Times New Roman" w:hAnsi="Times New Roman" w:cs="Times New Roman"/>
        </w:rPr>
      </w:pPr>
      <w:r>
        <w:rPr>
          <w:rFonts w:ascii="Times New Roman" w:hAnsi="Times New Roman" w:cs="Times New Roman"/>
        </w:rPr>
        <w:t>finančnými nástrojmi peňažného trhu</w:t>
      </w:r>
      <w:r>
        <w:rPr>
          <w:rFonts w:ascii="Times New Roman" w:hAnsi="Times New Roman" w:cs="Times New Roman"/>
          <w:vertAlign w:val="superscript"/>
        </w:rPr>
        <w:t xml:space="preserve">1a) </w:t>
      </w:r>
      <w:r>
        <w:rPr>
          <w:rFonts w:ascii="Times New Roman" w:hAnsi="Times New Roman" w:cs="Times New Roman"/>
        </w:rPr>
        <w:t>v slovenskej mene a v cudzej mene,</w:t>
      </w:r>
    </w:p>
    <w:p>
      <w:pPr>
        <w:numPr>
          <w:ilvl w:val="1"/>
          <w:numId w:val="1"/>
        </w:numPr>
        <w:tabs>
          <w:tab w:val="left" w:pos="1440"/>
        </w:tabs>
        <w:jc w:val="both"/>
        <w:rPr>
          <w:rFonts w:ascii="Times New Roman" w:hAnsi="Times New Roman" w:cs="Times New Roman"/>
        </w:rPr>
      </w:pPr>
      <w:r>
        <w:rPr>
          <w:rFonts w:ascii="Times New Roman" w:hAnsi="Times New Roman" w:cs="Times New Roman"/>
        </w:rPr>
        <w:t>finančnými nástrojmi kapitálového trhu</w:t>
      </w:r>
      <w:r>
        <w:rPr>
          <w:rFonts w:ascii="Times New Roman" w:hAnsi="Times New Roman" w:cs="Times New Roman"/>
          <w:vertAlign w:val="superscript"/>
        </w:rPr>
        <w:t xml:space="preserve">1b) </w:t>
      </w:r>
      <w:r>
        <w:rPr>
          <w:rFonts w:ascii="Times New Roman" w:hAnsi="Times New Roman" w:cs="Times New Roman"/>
        </w:rPr>
        <w:t>v slovenskej mene a v cudzej mene,“.</w:t>
      </w:r>
    </w:p>
    <w:p>
      <w:pPr>
        <w:pStyle w:val="BodyTextIndent"/>
        <w:ind w:left="900"/>
        <w:jc w:val="both"/>
        <w:rPr>
          <w:rFonts w:ascii="Times New Roman" w:hAnsi="Times New Roman" w:cs="Times New Roman"/>
        </w:rPr>
      </w:pPr>
    </w:p>
    <w:p>
      <w:pPr>
        <w:pStyle w:val="BodyTextIndent"/>
        <w:ind w:left="900"/>
        <w:jc w:val="both"/>
        <w:rPr>
          <w:rFonts w:ascii="Times New Roman" w:hAnsi="Times New Roman" w:cs="Times New Roman"/>
        </w:rPr>
      </w:pPr>
      <w:r>
        <w:rPr>
          <w:rFonts w:ascii="Times New Roman" w:hAnsi="Times New Roman" w:cs="Times New Roman"/>
        </w:rPr>
        <w:t>Poznámky pod čiarou k odkazom 1a  a 1b znejú:</w:t>
      </w:r>
    </w:p>
    <w:p>
      <w:pPr>
        <w:pStyle w:val="BodyTextIndent"/>
        <w:jc w:val="both"/>
        <w:rPr>
          <w:rFonts w:ascii="Times New Roman" w:hAnsi="Times New Roman" w:cs="Times New Roman"/>
        </w:rPr>
      </w:pPr>
      <w:r>
        <w:rPr>
          <w:rFonts w:ascii="Times New Roman" w:hAnsi="Times New Roman" w:cs="Times New Roman"/>
        </w:rPr>
        <w:t>„1 a) § 5písm. e) zákona č. 483/2001 Z.z. v znení zákona č. 603/2003 Z.z.</w:t>
      </w:r>
    </w:p>
    <w:p>
      <w:pPr>
        <w:pStyle w:val="BodyTextIndent"/>
        <w:jc w:val="both"/>
        <w:rPr>
          <w:rFonts w:ascii="Times New Roman" w:hAnsi="Times New Roman" w:cs="Times New Roman"/>
        </w:rPr>
      </w:pPr>
      <w:r>
        <w:rPr>
          <w:rFonts w:ascii="Times New Roman" w:hAnsi="Times New Roman" w:cs="Times New Roman"/>
        </w:rPr>
        <w:t xml:space="preserve">  1 b) § 5 písm. f) zákona č. 483/2001Z.z. v znení zákona č. 603/2003 Z.z.“.</w:t>
      </w:r>
    </w:p>
    <w:p>
      <w:pPr>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 xml:space="preserve">V § 2 ods. 3 sa za písmeno c) vkladá nové písmeno d), ktoré znie: </w:t>
      </w:r>
    </w:p>
    <w:p>
      <w:pPr>
        <w:pStyle w:val="BodyTextIndent2"/>
        <w:rPr>
          <w:rFonts w:ascii="Times New Roman" w:hAnsi="Times New Roman" w:cs="Times New Roman"/>
        </w:rPr>
      </w:pPr>
      <w:r>
        <w:rPr>
          <w:rFonts w:ascii="Times New Roman" w:hAnsi="Times New Roman" w:cs="Times New Roman"/>
        </w:rPr>
        <w:t>„d) poskytovanie úverov za komerčných podmienok na stavebné účely podľa § 11 ods. 1 z dočasne voľných zdrojov fondu stavebného sporenia,“.</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rPr>
        <w:t>Doterajšie písmená d), e), a f) sa označujú ako písmená e), f) a g).</w:t>
      </w: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2 ods. 3 písm. e) sa slová „platobného styku a zúčtovania“ nahrádzajú slovami „prevodov peňažných prostriedkov“.</w:t>
      </w: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2 ods. 4 sa na konci pripája táto veta: „Stavebná sporiteľňa môže začať investovanie a obchodovanie na vlastný účet s finančnými nástrojmi peňažného trhu v slovenskej mene a v cudzej mene a finančnými nástrojmi kapitálového trhu v slovenskej mene a v cudzej mene až po udelení predchádzajúceho súhlasu Národnej banky Slovenska; predchádzajúci súhlas sa nevyžaduje na investovanie a obchodovanie na vlastný účet s hypotekárnymi záložnými listami, komunálnymi obligáciami, štátnymi dlhopismi, štátnymi pokladničnými poukážkami alebo pokladničnými poukážkami Národnej banky Slovenska.“.</w:t>
      </w:r>
    </w:p>
    <w:p>
      <w:pPr>
        <w:pStyle w:val="BodyTextIndent"/>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V § 6 odsek 4 znie:</w:t>
      </w:r>
    </w:p>
    <w:p>
      <w:pPr>
        <w:pStyle w:val="BodyTextIndent2"/>
        <w:rPr>
          <w:rFonts w:ascii="Times New Roman" w:hAnsi="Times New Roman" w:cs="Times New Roman"/>
        </w:rPr>
      </w:pPr>
      <w:r>
        <w:rPr>
          <w:rFonts w:ascii="Times New Roman" w:hAnsi="Times New Roman" w:cs="Times New Roman"/>
        </w:rPr>
        <w:t>„(4) Ministerstvo poskytne informáciu Ministerstvu výstavby a regionálneho rozvoja Slovenskej republiky o celkovom nároku na štátnu prémiu v členení na jednotlivé stavebné sporiteľne v príslušnom polroku pre potrebu poskytnutia štátnej prémie podľa  § 10b ods.1 v termíne do 15 dní od predloženia údajov podľa odseku 3.“.</w:t>
      </w:r>
    </w:p>
    <w:p>
      <w:pPr>
        <w:pStyle w:val="BodyTextIndent2"/>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6 ods. 5 sa za slovo „ odkladu“ vkladajú slová  „Ministerstvu výstavby a</w:t>
      </w:r>
      <w:r>
        <w:rPr>
          <w:rFonts w:ascii="Times New Roman" w:hAnsi="Times New Roman" w:cs="Times New Roman"/>
        </w:rPr>
        <w:t> regionálneho rozvoja Slovenskej republiky a“.</w:t>
      </w:r>
    </w:p>
    <w:p>
      <w:pPr>
        <w:pStyle w:val="BodyTextIndent"/>
        <w:ind w:left="360"/>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8 ods. 5 písm. a) sa číslo „5 %“ nahrádza číslom „10 %“.</w:t>
      </w:r>
    </w:p>
    <w:p>
      <w:pPr>
        <w:pStyle w:val="BodyTextIndent"/>
        <w:ind w:left="0"/>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8 ods. 5 písm. b) sa číslo „10 %“ nahrádza číslom „15 %“.</w:t>
      </w:r>
    </w:p>
    <w:p>
      <w:pPr>
        <w:pStyle w:val="BodyTextIndent"/>
        <w:ind w:left="0"/>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8 ods. 6 sa číslo „10 %“ nahrádza číslom „20 %“.</w:t>
      </w:r>
    </w:p>
    <w:p>
      <w:pPr>
        <w:pStyle w:val="BodyTextIndent"/>
        <w:ind w:left="0"/>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10 odsek 3 znie: „Štátna prémia sa určuje percentuálnym podielom z ročného vkladu na základe výpočtu podľa vzorca uvedeného v prílohe so zaokrúhlením na 0,5 % a to minimálne 5 % z ročného vkladu a maximálne 15 % z ročného vkladu, najviac v sume 2500 Sk na príslušný kalendárny rok. Výšku štátnej prémie určenú na základe výpočtu podľa vzorca uvedeného v prílohe uverejní v plnom znení ministerstvo opatrením, ktoré sa vyhlasuje v Zbierke zákonov Slovenskej republiky do 30 dní po uplynutí rozhodujúceho obdobia.“.</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rPr>
        <w:t xml:space="preserve">Doterajšie odseky 4, 5 a 6 sa označujú ako odseky 5, 6 a 7. </w:t>
      </w: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10 odseky 5 a 6 znejú:</w:t>
      </w:r>
    </w:p>
    <w:p>
      <w:pPr>
        <w:pStyle w:val="BodyTextIndent"/>
        <w:ind w:left="360"/>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rPr>
        <w:t>“(5) Štátna   prémia   sa   poskytuje   stavebnému  sporiteľovi každoročne  počas trvania  sporenia  na  jednu zmluvu  o stavebnom sporení. Ak  stavebný sporiteľ uzatvorí viacero  zmlúv o stavebnom sporení,  štátna prémia  sa poskytne   na tú  zmluvu, o  ktorej to stavebný sporiteľ písomne vyhlási, pričom také vyhlásenie môže byť stavebným  sporiteľom   zmenené  v  zmluve   o  stavebnom  sporení v priebehu kalendárneho roka len raz. Ak toto vyhlásenie obsahujú v jednom kalendárnom roku viaceré  zmluvy o  stavebnom sporení  a na  tieto zmluvy  stavebný sporiteľ vložil v tomto kalendárnom roku  vklady, stavebný sporiteľ stráca  nárok na štátnu prémiu za tento kalendárny rok zo všetkých zmlúv o stavebnom sporení.</w:t>
      </w:r>
    </w:p>
    <w:p>
      <w:pPr>
        <w:pStyle w:val="BodyTextIndent"/>
        <w:ind w:left="0"/>
        <w:jc w:val="both"/>
        <w:rPr>
          <w:rFonts w:ascii="Times New Roman" w:hAnsi="Times New Roman" w:cs="Times New Roman"/>
        </w:rPr>
      </w:pPr>
    </w:p>
    <w:p>
      <w:pPr>
        <w:pStyle w:val="BodyText"/>
        <w:ind w:left="720"/>
        <w:rPr>
          <w:rFonts w:ascii="Times New Roman" w:hAnsi="Times New Roman" w:cs="Times New Roman"/>
        </w:rPr>
      </w:pPr>
      <w:r>
        <w:rPr>
          <w:rFonts w:ascii="Times New Roman" w:hAnsi="Times New Roman" w:cs="Times New Roman"/>
        </w:rPr>
        <w:t>(6) Práva zo zmluvy o stavebnom sporení s nárokom na štátnu prémiu môžu byť prevedené v priebehu kalendárneho roka len jedenkrát medzi stavebnými sporiteľmi, ktorými môžu byť výhradne manžel, manželka, súrodenci alebo príbuzní v priamom rade.</w:t>
      </w:r>
    </w:p>
    <w:p>
      <w:pPr>
        <w:pStyle w:val="BodyTextIndent2"/>
        <w:rPr>
          <w:rFonts w:ascii="Times New Roman" w:hAnsi="Times New Roman" w:cs="Times New Roman"/>
        </w:rPr>
      </w:pPr>
      <w:r>
        <w:rPr>
          <w:rFonts w:ascii="Times New Roman" w:hAnsi="Times New Roman" w:cs="Times New Roman"/>
        </w:rPr>
        <w:t>Ak by boli práva zo zmluvy o stavebnom sporení s nárokom na štátnu prémiu za kalendárny rok prevedené viackrát, alebo na inú osobu, stavebný sporiteľ stráca nárok na štátnu prémiu za tento kalendárny rok z dotknutej zmluvy a stavebná sporiteľňa odoberie stavebnému sporiteľovi nárokovanú štátnu prémiu..“.</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10 ods. 7 druhá veta znie : „Ak vznikne  nárok na štátnu  prémiu zo zmluvy  o stavebnom sporení zrušenej v  priebehu kalendárneho roka a  zároveň vznikne nárok na štátnu  prémiu  na  novú   zmluvu  o  stavebnom  sporení  uzavretú v priebehu  tohto kalendárneho  roka, štátna prémia nesmie presiahnuť výšku štátnej prémie určenú podľa odseku 3 z ročných vkladov oboch zmlúv.“.</w:t>
      </w:r>
    </w:p>
    <w:p>
      <w:pPr>
        <w:pStyle w:val="BodyTextIndent"/>
        <w:ind w:left="0"/>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 xml:space="preserve">V § 10b ods. 1 sa slovo „Ministerstvo“ nahrádza slovami „ Ministerstvo </w:t>
      </w:r>
      <w:r>
        <w:rPr>
          <w:rFonts w:ascii="Times New Roman" w:hAnsi="Times New Roman" w:cs="Times New Roman"/>
        </w:rPr>
        <w:t>výstavby a regionálneho rozvoja Slovenskej republiky“.</w:t>
      </w:r>
    </w:p>
    <w:p>
      <w:pPr>
        <w:pStyle w:val="BodyTextIndent"/>
        <w:ind w:left="0"/>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 xml:space="preserve">V § 10b ods. 1 sa číslo „25“ nahrádza číslom „35“.  </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12 ods. 2 písm. b) sa slová „štátnych dlhopisov“ nahrádzajú slovom „dlhopisov“.</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V § 12 sa odsek 2 dopĺňa písmenom d), ktoré znie:</w:t>
      </w:r>
    </w:p>
    <w:p>
      <w:pPr>
        <w:pStyle w:val="BodyTextIndent"/>
        <w:jc w:val="both"/>
        <w:rPr>
          <w:rFonts w:ascii="Times New Roman" w:hAnsi="Times New Roman" w:cs="Times New Roman"/>
        </w:rPr>
      </w:pPr>
      <w:r>
        <w:rPr>
          <w:rFonts w:ascii="Times New Roman" w:hAnsi="Times New Roman" w:cs="Times New Roman"/>
        </w:rPr>
        <w:t>„d) poskytovanie úverov za komerčných podmienok na stavebné účely podľa § 11 ods.1.“.</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numPr>
          <w:ilvl w:val="0"/>
          <w:numId w:val="1"/>
        </w:numPr>
        <w:tabs>
          <w:tab w:val="left" w:pos="720"/>
        </w:tabs>
        <w:jc w:val="both"/>
        <w:rPr>
          <w:rFonts w:ascii="Times New Roman" w:hAnsi="Times New Roman" w:cs="Times New Roman"/>
        </w:rPr>
      </w:pPr>
      <w:r>
        <w:rPr>
          <w:rFonts w:ascii="Times New Roman" w:hAnsi="Times New Roman" w:cs="Times New Roman"/>
        </w:rPr>
        <w:t>Za § 13d sa vkladá § 13e, ktorý znie :</w:t>
      </w:r>
    </w:p>
    <w:p>
      <w:pPr>
        <w:pStyle w:val="BodyTextIndent"/>
        <w:ind w:left="708"/>
        <w:jc w:val="center"/>
        <w:rPr>
          <w:rFonts w:ascii="Times New Roman" w:hAnsi="Times New Roman" w:cs="Times New Roman"/>
        </w:rPr>
      </w:pPr>
      <w:r>
        <w:rPr>
          <w:rFonts w:ascii="Times New Roman" w:hAnsi="Times New Roman" w:cs="Times New Roman"/>
        </w:rPr>
        <w:t xml:space="preserve"> „§13e</w:t>
      </w:r>
    </w:p>
    <w:p>
      <w:pPr>
        <w:pStyle w:val="BodyTextIndent"/>
        <w:ind w:left="708"/>
        <w:rPr>
          <w:rFonts w:ascii="Times New Roman" w:hAnsi="Times New Roman" w:cs="Times New Roman"/>
        </w:rPr>
      </w:pPr>
    </w:p>
    <w:p>
      <w:pPr>
        <w:pStyle w:val="BodyTextIndent"/>
        <w:ind w:left="708"/>
        <w:rPr>
          <w:rFonts w:ascii="Times New Roman" w:hAnsi="Times New Roman" w:cs="Times New Roman"/>
        </w:rPr>
      </w:pPr>
      <w:r>
        <w:rPr>
          <w:rFonts w:ascii="Times New Roman" w:hAnsi="Times New Roman" w:cs="Times New Roman"/>
        </w:rPr>
        <w:t>Prechodné ustanovenia k úpravám účinným od 1.januára 2005.</w:t>
      </w:r>
    </w:p>
    <w:p>
      <w:pPr>
        <w:pStyle w:val="BodyTextIndent"/>
        <w:ind w:left="708"/>
        <w:rPr>
          <w:rFonts w:ascii="Times New Roman" w:hAnsi="Times New Roman" w:cs="Times New Roman"/>
        </w:rPr>
      </w:pPr>
    </w:p>
    <w:p>
      <w:pPr>
        <w:pStyle w:val="BodyTextIndent"/>
        <w:tabs>
          <w:tab w:val="left" w:pos="3600"/>
        </w:tabs>
        <w:jc w:val="both"/>
        <w:rPr>
          <w:rFonts w:ascii="Times New Roman" w:hAnsi="Times New Roman" w:cs="Times New Roman"/>
        </w:rPr>
      </w:pPr>
      <w:r>
        <w:rPr>
          <w:rFonts w:ascii="Times New Roman" w:hAnsi="Times New Roman" w:cs="Times New Roman"/>
        </w:rPr>
        <w:t xml:space="preserve">(1) Výšku štátnej prémie pre rok 2005 určenú na základe výpočtu podľa vzorca uvedeného v prílohe uverejní ministerstvo opatrením v jeho úplnom znení, ktoré sa vyhlási v Zbierke zákonov Slovenskej republiky do 30 dní po nadobudnutí účinnosti tohto zákona. </w:t>
      </w:r>
    </w:p>
    <w:p>
      <w:pPr>
        <w:pStyle w:val="BodyTextIndent"/>
        <w:tabs>
          <w:tab w:val="left" w:pos="3600"/>
        </w:tabs>
        <w:rPr>
          <w:rFonts w:ascii="Times New Roman" w:hAnsi="Times New Roman" w:cs="Times New Roman"/>
        </w:rPr>
      </w:pPr>
    </w:p>
    <w:p>
      <w:pPr>
        <w:pStyle w:val="BodyTextIndent"/>
        <w:tabs>
          <w:tab w:val="left" w:pos="3600"/>
        </w:tabs>
        <w:jc w:val="both"/>
        <w:rPr>
          <w:rFonts w:ascii="Times New Roman" w:hAnsi="Times New Roman" w:cs="Times New Roman"/>
        </w:rPr>
      </w:pPr>
      <w:r>
        <w:rPr>
          <w:rFonts w:ascii="Times New Roman" w:hAnsi="Times New Roman" w:cs="Times New Roman"/>
        </w:rPr>
        <w:t>(2) Stavebné sporiteľne  sú povinné prispôsobiť  zásady stavebného sporenia  a všeobecné  obchodné  podmienky  podľa tohto  zákona do 30. júna 2005.</w:t>
      </w:r>
    </w:p>
    <w:p>
      <w:pPr>
        <w:pStyle w:val="BodyTextIndent"/>
        <w:tabs>
          <w:tab w:val="left" w:pos="3600"/>
        </w:tabs>
        <w:jc w:val="both"/>
        <w:rPr>
          <w:rFonts w:ascii="Times New Roman" w:hAnsi="Times New Roman" w:cs="Times New Roman"/>
        </w:rPr>
      </w:pPr>
    </w:p>
    <w:p>
      <w:pPr>
        <w:pStyle w:val="BodyTextIndent"/>
        <w:tabs>
          <w:tab w:val="left" w:pos="3600"/>
        </w:tabs>
        <w:jc w:val="both"/>
        <w:rPr>
          <w:rFonts w:ascii="Times New Roman" w:hAnsi="Times New Roman" w:cs="Times New Roman"/>
        </w:rPr>
      </w:pPr>
      <w:r>
        <w:rPr>
          <w:rFonts w:ascii="Times New Roman" w:hAnsi="Times New Roman" w:cs="Times New Roman"/>
        </w:rPr>
        <w:t>(3) Bankové povolenie na investovanie na vlastný účet do hypotekárnych záložných listov, komunálnych obligácií,  štátnych dlhopisov,  štátnych    pokladničných poukážok  alebo do  pokladničných   poukážok Národnej banky Slovenska, ktoré bolo udelené stavebnej sporiteľni pred 1.januárom 2005 a ktoré je platné k 1.januáru 2005, sa v tomto rozsahu považuje za bankové povolenie podľa tohto zákona. Bankové povolenie na vykonávanie platobného styku a zúčtovania peňažných prostriedkov súvisiacich so stavebným sporením, ktoré bolo udelené stavebnej sporiteľni pred 1.januárom 2005 a ktoré je platné k 1.januáru 2005, sa považuje za bankové povolenie podľa tohto zákona na vykonávanie prevodov peňažných prostriedkov súvisiacich so stavebným sporením.“.</w:t>
      </w:r>
    </w:p>
    <w:p>
      <w:pPr>
        <w:pStyle w:val="BodyTextIndent"/>
        <w:ind w:left="708"/>
        <w:rPr>
          <w:rFonts w:ascii="Times New Roman" w:hAnsi="Times New Roman" w:cs="Times New Roman"/>
        </w:rPr>
      </w:pPr>
    </w:p>
    <w:p>
      <w:pPr>
        <w:pStyle w:val="BodyTextIndent"/>
        <w:ind w:left="0"/>
        <w:jc w:val="both"/>
        <w:rPr>
          <w:rFonts w:ascii="Times New Roman" w:hAnsi="Times New Roman" w:cs="Times New Roman"/>
        </w:rPr>
      </w:pPr>
    </w:p>
    <w:p>
      <w:pPr>
        <w:pStyle w:val="Heading1"/>
        <w:numPr>
          <w:ilvl w:val="0"/>
          <w:numId w:val="1"/>
        </w:numPr>
        <w:tabs>
          <w:tab w:val="left" w:pos="720"/>
        </w:tabs>
        <w:jc w:val="both"/>
        <w:rPr>
          <w:rFonts w:ascii="Times New Roman" w:hAnsi="Times New Roman" w:cs="Times New Roman"/>
          <w:b w:val="0"/>
          <w:bCs w:val="0"/>
        </w:rPr>
      </w:pPr>
      <w:r>
        <w:rPr>
          <w:rFonts w:ascii="Times New Roman" w:hAnsi="Times New Roman" w:cs="Times New Roman"/>
          <w:b w:val="0"/>
          <w:bCs w:val="0"/>
        </w:rPr>
        <w:t xml:space="preserve">Zákon sa dopĺňa prílohou , ktorá znie: </w:t>
      </w:r>
    </w:p>
    <w:p>
      <w:pPr>
        <w:pStyle w:val="Heading1"/>
        <w:ind w:left="360" w:firstLine="348"/>
        <w:jc w:val="left"/>
        <w:rPr>
          <w:rFonts w:ascii="Times New Roman" w:hAnsi="Times New Roman" w:cs="Times New Roman"/>
          <w:b w:val="0"/>
          <w:bCs w:val="0"/>
        </w:rPr>
      </w:pPr>
      <w:r>
        <w:rPr>
          <w:rFonts w:ascii="Times New Roman" w:hAnsi="Times New Roman" w:cs="Times New Roman"/>
          <w:b w:val="0"/>
          <w:bCs w:val="0"/>
        </w:rPr>
        <w:t xml:space="preserve">„Príloha k zákonu Slovenskej národnej rady č.310/1992 Zb.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Heading1"/>
        <w:rPr>
          <w:rFonts w:ascii="Times New Roman" w:hAnsi="Times New Roman" w:cs="Times New Roman"/>
          <w:b w:val="0"/>
          <w:bCs w:val="0"/>
          <w:sz w:val="28"/>
        </w:rPr>
      </w:pPr>
      <w:r>
        <w:rPr>
          <w:rFonts w:ascii="Times New Roman" w:hAnsi="Times New Roman" w:cs="Times New Roman"/>
          <w:b w:val="0"/>
          <w:bCs w:val="0"/>
          <w:sz w:val="28"/>
        </w:rPr>
        <w:t>Vzorec pre výpočet percentuálneho podielu</w:t>
      </w:r>
    </w:p>
    <w:p>
      <w:pPr>
        <w:ind w:firstLine="720"/>
        <w:jc w:val="center"/>
        <w:rPr>
          <w:rFonts w:ascii="Times New Roman" w:hAnsi="Times New Roman" w:cs="Times New Roman"/>
          <w:sz w:val="28"/>
        </w:rPr>
      </w:pPr>
      <w:r>
        <w:rPr>
          <w:rFonts w:ascii="Times New Roman" w:hAnsi="Times New Roman" w:cs="Times New Roman"/>
          <w:sz w:val="28"/>
        </w:rPr>
        <w:t>pre nasledujúci kalendárny rok</w:t>
      </w: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rPr>
      </w:pPr>
    </w:p>
    <w:p>
      <w:pPr>
        <w:ind w:left="720" w:hanging="12"/>
        <w:rPr>
          <w:rFonts w:ascii="Times New Roman" w:hAnsi="Times New Roman" w:cs="Times New Roman"/>
        </w:rPr>
      </w:pPr>
      <w:r>
        <w:rPr>
          <w:rFonts w:ascii="Times New Roman" w:hAnsi="Times New Roman" w:cs="Times New Roman"/>
        </w:rPr>
        <w:t>Vzorec :</w:t>
      </w:r>
    </w:p>
    <w:p>
      <w:pPr>
        <w:ind w:left="2832"/>
        <w:rPr>
          <w:rFonts w:ascii="Times New Roman" w:hAnsi="Times New Roman" w:cs="Times New Roman"/>
        </w:rPr>
      </w:pPr>
    </w:p>
    <w:p>
      <w:pPr>
        <w:ind w:left="2832"/>
        <w:rPr>
          <w:rFonts w:ascii="Times New Roman" w:hAnsi="Times New Roman" w:cs="Times New Roman"/>
        </w:rPr>
      </w:pPr>
      <w:r>
        <w:rPr>
          <w:rFonts w:ascii="Times New Roman" w:hAnsi="Times New Roman" w:cs="Times New Roman"/>
        </w:rPr>
        <w:t xml:space="preserve">               Referenčná sadzba + 0,01 – 0,018</w:t>
      </w:r>
    </w:p>
    <w:p>
      <w:pPr>
        <w:ind w:left="720"/>
        <w:rPr>
          <w:rFonts w:ascii="Times New Roman" w:hAnsi="Times New Roman" w:cs="Times New Roman"/>
        </w:rPr>
      </w:pPr>
      <w:r>
        <w:rPr>
          <w:rFonts w:ascii="Times New Roman" w:hAnsi="Times New Roman" w:cs="Times New Roman"/>
          <w:noProof/>
          <w:sz w:val="20"/>
        </w:rPr>
        <w:pict>
          <v:line id="_x0000_s1025" style="position:absolute;z-index:251658240" from="180pt,6.4pt" to="405pt,6.4pt"/>
        </w:pict>
      </w:r>
      <w:r>
        <w:rPr>
          <w:rFonts w:ascii="Times New Roman" w:hAnsi="Times New Roman" w:cs="Times New Roman"/>
        </w:rPr>
        <w:t xml:space="preserve">Percentuálny podiel = </w:t>
      </w:r>
    </w:p>
    <w:p>
      <w:pPr>
        <w:rPr>
          <w:rFonts w:ascii="Times New Roman" w:hAnsi="Times New Roman" w:cs="Times New Roman"/>
        </w:rPr>
      </w:pPr>
      <w:r>
        <w:rPr>
          <w:rFonts w:ascii="Times New Roman" w:hAnsi="Times New Roman" w:cs="Times New Roman"/>
        </w:rPr>
        <w:tab/>
        <w:tab/>
        <w:tab/>
        <w:tab/>
        <w:tab/>
        <w:tab/>
        <w:t xml:space="preserve">                   0,3</w:t>
        <w:tab/>
      </w:r>
    </w:p>
    <w:p>
      <w:pPr>
        <w:rPr>
          <w:rFonts w:ascii="Times New Roman" w:hAnsi="Times New Roman" w:cs="Times New Roman"/>
        </w:rPr>
      </w:pPr>
    </w:p>
    <w:p>
      <w:pPr>
        <w:ind w:left="900"/>
        <w:rPr>
          <w:rFonts w:ascii="Times New Roman" w:hAnsi="Times New Roman" w:cs="Times New Roman"/>
        </w:rPr>
      </w:pPr>
      <w:r>
        <w:rPr>
          <w:rFonts w:ascii="Times New Roman" w:hAnsi="Times New Roman" w:cs="Times New Roman"/>
        </w:rPr>
        <w:t>Pri výpočte sú použité nasledovné veličiny a ich označenia :</w:t>
      </w:r>
    </w:p>
    <w:p>
      <w:pPr>
        <w:rPr>
          <w:rFonts w:ascii="Times New Roman" w:hAnsi="Times New Roman" w:cs="Times New Roman"/>
        </w:rPr>
      </w:pPr>
    </w:p>
    <w:p>
      <w:pPr>
        <w:pStyle w:val="BodyText"/>
        <w:ind w:left="900"/>
        <w:rPr>
          <w:rFonts w:ascii="Times New Roman" w:hAnsi="Times New Roman" w:cs="Times New Roman"/>
        </w:rPr>
      </w:pPr>
      <w:r>
        <w:rPr>
          <w:rFonts w:ascii="Times New Roman" w:hAnsi="Times New Roman" w:cs="Times New Roman"/>
        </w:rPr>
        <w:t>Referenčná sadzba = Jednoduchý aritmetický priemer za rozhodujúce obdobie priemerných výnosov do splatnosti štátnych dlhopisov, ktoré tvoria bázu dlhopisového indexu ( SDX pre štátne dlhopisy) počítaného a uverejneného v obchodných dňoch  Burzou cenných papierov v Bratislave ( BCPB). V prípade, že BCPB neboli údaje zverejnené počas viac ako 30 po sebe nasledujúcich dní, referenčná sadzba za rozhodujúce obdobie sa určí obdobným spôsobom z údajov o fixingu úrokových sadzieb na medzibankovom trhu depozít (12 mesačný BRIBOR), zverejňovaných Národnou bankou Slovenska.</w:t>
      </w:r>
    </w:p>
    <w:p>
      <w:pPr>
        <w:rPr>
          <w:rFonts w:ascii="Times New Roman" w:hAnsi="Times New Roman" w:cs="Times New Roman"/>
        </w:rPr>
      </w:pPr>
    </w:p>
    <w:p>
      <w:pPr>
        <w:ind w:left="900"/>
        <w:rPr>
          <w:rFonts w:ascii="Times New Roman" w:hAnsi="Times New Roman" w:cs="Times New Roman"/>
        </w:rPr>
      </w:pPr>
      <w:r>
        <w:rPr>
          <w:rFonts w:ascii="Times New Roman" w:hAnsi="Times New Roman" w:cs="Times New Roman"/>
        </w:rPr>
        <w:t>0,01 - zvýhodnenie stavebného sporenia oproti referenčnej sadzbe.</w:t>
      </w:r>
    </w:p>
    <w:p>
      <w:pPr>
        <w:rPr>
          <w:rFonts w:ascii="Times New Roman" w:hAnsi="Times New Roman" w:cs="Times New Roman"/>
        </w:rPr>
      </w:pPr>
    </w:p>
    <w:p>
      <w:pPr>
        <w:pStyle w:val="BodyTextIndent"/>
        <w:rPr>
          <w:rFonts w:ascii="Times New Roman" w:hAnsi="Times New Roman" w:cs="Times New Roman"/>
        </w:rPr>
      </w:pPr>
      <w:r>
        <w:rPr>
          <w:rFonts w:ascii="Times New Roman" w:hAnsi="Times New Roman" w:cs="Times New Roman"/>
        </w:rPr>
        <w:t>Rozhodujúce obdobie = Obdobie od 1.júla predchádzajúceho kalendárneho roka do 30.júna aktuálneho kalendárneho roka.“.</w:t>
      </w:r>
    </w:p>
    <w:p>
      <w:pPr>
        <w:rPr>
          <w:rFonts w:ascii="Times New Roman" w:hAnsi="Times New Roman" w:cs="Times New Roman"/>
        </w:rPr>
      </w:pPr>
    </w:p>
    <w:p>
      <w:pPr>
        <w:rPr>
          <w:rFonts w:ascii="Times New Roman" w:hAnsi="Times New Roman" w:cs="Times New Roman"/>
        </w:rPr>
      </w:pPr>
    </w:p>
    <w:p>
      <w:pPr>
        <w:pStyle w:val="BodyTextIndent"/>
        <w:ind w:left="0"/>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rPr>
        <w:t xml:space="preserve">    </w:t>
      </w:r>
    </w:p>
    <w:p>
      <w:pPr>
        <w:pStyle w:val="BodyTextIndent"/>
        <w:jc w:val="center"/>
        <w:rPr>
          <w:rFonts w:ascii="Times New Roman" w:hAnsi="Times New Roman" w:cs="Times New Roman"/>
          <w:b/>
          <w:bCs/>
        </w:rPr>
      </w:pPr>
      <w:r>
        <w:rPr>
          <w:rFonts w:ascii="Times New Roman" w:hAnsi="Times New Roman" w:cs="Times New Roman"/>
          <w:b/>
          <w:bCs/>
        </w:rPr>
        <w:t>Čl. II</w:t>
      </w:r>
    </w:p>
    <w:p>
      <w:pPr>
        <w:pStyle w:val="BodyTextIndent"/>
        <w:jc w:val="both"/>
        <w:rPr>
          <w:rFonts w:ascii="Times New Roman" w:hAnsi="Times New Roman" w:cs="Times New Roman"/>
        </w:rPr>
      </w:pPr>
    </w:p>
    <w:p>
      <w:pPr>
        <w:pStyle w:val="BodyTextIndent"/>
        <w:ind w:left="0"/>
        <w:jc w:val="both"/>
        <w:rPr>
          <w:rFonts w:ascii="Times New Roman" w:hAnsi="Times New Roman" w:cs="Times New Roman"/>
        </w:rPr>
      </w:pPr>
      <w:r>
        <w:rPr>
          <w:rFonts w:ascii="Times New Roman" w:hAnsi="Times New Roman" w:cs="Times New Roman"/>
        </w:rPr>
        <w:t>Zákon č. 575/2001 Z.z. o organizácii činnosti vlády a organizácii ústrednej štátnej správy v znení zákona č.143/2002 Z.z., zákona č. 411/2002 Z.z., zákona č.465/2002 Z.z., zákona č. 139/2003 Z.z., zákona č. 453/2003 Z.z. a zákona č. 523/2003 Z.z. sa dopĺňa takto:</w:t>
      </w:r>
    </w:p>
    <w:p>
      <w:pPr>
        <w:pStyle w:val="BodyTextIndent"/>
        <w:jc w:val="both"/>
        <w:rPr>
          <w:rFonts w:ascii="Times New Roman" w:hAnsi="Times New Roman" w:cs="Times New Roman"/>
        </w:rPr>
      </w:pPr>
    </w:p>
    <w:p>
      <w:pPr>
        <w:pStyle w:val="BodyTextIndent"/>
        <w:numPr>
          <w:ilvl w:val="0"/>
          <w:numId w:val="14"/>
        </w:numPr>
        <w:tabs>
          <w:tab w:val="left" w:pos="720"/>
        </w:tabs>
        <w:jc w:val="both"/>
        <w:rPr>
          <w:rFonts w:ascii="Times New Roman" w:hAnsi="Times New Roman" w:cs="Times New Roman"/>
        </w:rPr>
      </w:pPr>
      <w:r>
        <w:rPr>
          <w:rFonts w:ascii="Times New Roman" w:hAnsi="Times New Roman" w:cs="Times New Roman"/>
        </w:rPr>
        <w:t>V § 7 ods. 2 písm. b) sa za slovo „sporenia,“ vkladajú slová „s výnimkou posky</w:t>
      </w:r>
      <w:r>
        <w:rPr>
          <w:rFonts w:ascii="Times New Roman" w:hAnsi="Times New Roman" w:cs="Times New Roman"/>
        </w:rPr>
        <w:t>tovania štátnej prémie k stavebnému sporeniu,“.</w:t>
      </w:r>
    </w:p>
    <w:p>
      <w:pPr>
        <w:pStyle w:val="BodyTextIndent"/>
        <w:ind w:left="360"/>
        <w:jc w:val="both"/>
        <w:rPr>
          <w:rFonts w:ascii="Times New Roman" w:hAnsi="Times New Roman" w:cs="Times New Roman"/>
        </w:rPr>
      </w:pPr>
    </w:p>
    <w:p>
      <w:pPr>
        <w:pStyle w:val="BodyTextIndent"/>
        <w:numPr>
          <w:ilvl w:val="0"/>
          <w:numId w:val="14"/>
        </w:numPr>
        <w:tabs>
          <w:tab w:val="left" w:pos="720"/>
        </w:tabs>
        <w:jc w:val="both"/>
        <w:rPr>
          <w:rFonts w:ascii="Times New Roman" w:hAnsi="Times New Roman" w:cs="Times New Roman"/>
        </w:rPr>
      </w:pPr>
      <w:r>
        <w:rPr>
          <w:rFonts w:ascii="Times New Roman" w:hAnsi="Times New Roman" w:cs="Times New Roman"/>
        </w:rPr>
        <w:t xml:space="preserve">§ 10 sa dopĺňa písmenom f ), ktoré znie : </w:t>
      </w:r>
    </w:p>
    <w:p>
      <w:pPr>
        <w:pStyle w:val="BodyTextIndent"/>
        <w:ind w:left="0" w:firstLine="720"/>
        <w:jc w:val="both"/>
        <w:rPr>
          <w:rFonts w:ascii="Times New Roman" w:hAnsi="Times New Roman" w:cs="Times New Roman"/>
        </w:rPr>
      </w:pPr>
      <w:r>
        <w:rPr>
          <w:rFonts w:ascii="Times New Roman" w:hAnsi="Times New Roman" w:cs="Times New Roman"/>
        </w:rPr>
        <w:t xml:space="preserve">„f) poskytovanie štátnej prémie k stavebnému sporeniu.“. </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center"/>
        <w:rPr>
          <w:rFonts w:ascii="Times New Roman" w:hAnsi="Times New Roman" w:cs="Times New Roman"/>
          <w:b/>
          <w:bCs/>
        </w:rPr>
      </w:pPr>
      <w:r>
        <w:rPr>
          <w:rFonts w:ascii="Times New Roman" w:hAnsi="Times New Roman" w:cs="Times New Roman"/>
          <w:b/>
          <w:bCs/>
        </w:rPr>
        <w:t>Čl. III</w:t>
      </w:r>
    </w:p>
    <w:p>
      <w:pPr>
        <w:pStyle w:val="BodyTextIndent"/>
        <w:jc w:val="both"/>
        <w:rPr>
          <w:rFonts w:ascii="Times New Roman" w:hAnsi="Times New Roman" w:cs="Times New Roman"/>
        </w:rPr>
      </w:pPr>
    </w:p>
    <w:p>
      <w:pPr>
        <w:pStyle w:val="BodyTextIndent"/>
        <w:ind w:left="0"/>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rPr>
        <w:t>Tento zákon nadobúda účinnosť 1. januára 2005.</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D78"/>
    <w:multiLevelType w:val="hybridMultilevel"/>
    <w:tmpl w:val="9120191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F5B3921"/>
    <w:multiLevelType w:val="hybridMultilevel"/>
    <w:tmpl w:val="8CAC2E08"/>
    <w:lvl w:ilvl="0">
      <w:start w:val="1"/>
      <w:numFmt w:val="bullet"/>
      <w:lvlText w:val="-"/>
      <w:lvlJc w:val="left"/>
      <w:pPr>
        <w:tabs>
          <w:tab w:val="num" w:pos="720"/>
        </w:tabs>
        <w:ind w:left="720" w:hanging="360"/>
      </w:pPr>
      <w:rPr>
        <w:rFonts w:ascii="Times New Roman" w:hAnsi="Times New Roman" w:cs="Times New Roman"/>
        <w:b/>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12FD2479"/>
    <w:multiLevelType w:val="hybridMultilevel"/>
    <w:tmpl w:val="E9F296F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C6F07B4"/>
    <w:multiLevelType w:val="hybridMultilevel"/>
    <w:tmpl w:val="8C96F5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CDC596E"/>
    <w:multiLevelType w:val="hybridMultilevel"/>
    <w:tmpl w:val="3FA6157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2B3A159E"/>
    <w:multiLevelType w:val="hybridMultilevel"/>
    <w:tmpl w:val="E9A61B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1D62DE7"/>
    <w:multiLevelType w:val="hybridMultilevel"/>
    <w:tmpl w:val="F9303B0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232298"/>
    <w:multiLevelType w:val="multilevel"/>
    <w:tmpl w:val="519AEF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C5A0FE7"/>
    <w:multiLevelType w:val="hybridMultilevel"/>
    <w:tmpl w:val="7C6252E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59107E06"/>
    <w:multiLevelType w:val="hybridMultilevel"/>
    <w:tmpl w:val="0CB28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7215D8"/>
    <w:multiLevelType w:val="multilevel"/>
    <w:tmpl w:val="911C804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EEA09B6"/>
    <w:multiLevelType w:val="hybridMultilevel"/>
    <w:tmpl w:val="709EB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FC67FB8"/>
    <w:multiLevelType w:val="hybridMultilevel"/>
    <w:tmpl w:val="3962D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47E7C50"/>
    <w:multiLevelType w:val="hybridMultilevel"/>
    <w:tmpl w:val="A484EAB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784A1042"/>
    <w:multiLevelType w:val="hybridMultilevel"/>
    <w:tmpl w:val="4E6865E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0"/>
  </w:num>
  <w:num w:numId="4">
    <w:abstractNumId w:val="5"/>
  </w:num>
  <w:num w:numId="5">
    <w:abstractNumId w:val="13"/>
  </w:num>
  <w:num w:numId="6">
    <w:abstractNumId w:val="7"/>
  </w:num>
  <w:num w:numId="7">
    <w:abstractNumId w:val="10"/>
  </w:num>
  <w:num w:numId="8">
    <w:abstractNumId w:val="14"/>
  </w:num>
  <w:num w:numId="9">
    <w:abstractNumId w:val="3"/>
  </w:num>
  <w:num w:numId="10">
    <w:abstractNumId w:val="2"/>
  </w:num>
  <w:num w:numId="11">
    <w:abstractNumId w:val="9"/>
  </w:num>
  <w:num w:numId="12">
    <w:abstractNumId w:val="8"/>
  </w:num>
  <w:num w:numId="13">
    <w:abstractNumId w:val="6"/>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character" w:default="1" w:styleId="DefaultParagraphFont">
    <w:name w:val="Default Paragraph Font"/>
  </w:style>
  <w:style w:type="paragraph" w:styleId="Title">
    <w:name w:val="Title"/>
    <w:basedOn w:val="Normal"/>
    <w:uiPriority w:val="10"/>
    <w:qFormat/>
    <w:pPr>
      <w:jc w:val="center"/>
    </w:pPr>
    <w:rPr>
      <w:b/>
      <w:bCs/>
    </w:rPr>
  </w:style>
  <w:style w:type="paragraph" w:styleId="BodyTextIndent">
    <w:name w:val="Body Text Indent"/>
    <w:basedOn w:val="Normal"/>
    <w:pPr>
      <w:ind w:left="720"/>
      <w:jc w:val="left"/>
    </w:p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Subtitle">
    <w:name w:val="Subtitle"/>
    <w:basedOn w:val="Normal"/>
    <w:uiPriority w:val="11"/>
    <w:qFormat/>
    <w:pPr>
      <w:jc w:val="left"/>
    </w:pPr>
    <w:rPr>
      <w:b/>
      <w:bCs/>
    </w:rPr>
  </w:style>
  <w:style w:type="paragraph" w:styleId="BodyText2">
    <w:name w:val="Body Text 2"/>
    <w:basedOn w:val="Normal"/>
    <w:pPr>
      <w:jc w:val="both"/>
    </w:pPr>
    <w:rPr>
      <w:szCs w:val="20"/>
    </w:rPr>
  </w:style>
  <w:style w:type="paragraph" w:styleId="BodyText3">
    <w:name w:val="Body Text 3"/>
    <w:basedOn w:val="Normal"/>
    <w:pPr>
      <w:jc w:val="left"/>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465</TotalTime>
  <Pages>1</Pages>
  <Words>1215</Words>
  <Characters>6927</Characters>
  <Application>Microsoft Office Word</Application>
  <DocSecurity>0</DocSecurity>
  <Lines>0</Lines>
  <Paragraphs>0</Paragraphs>
  <ScaleCrop>false</ScaleCrop>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zákona č</dc:title>
  <dc:creator>Ing. Gabriel Droba</dc:creator>
  <cp:lastModifiedBy>Ing. Gabriel Droba</cp:lastModifiedBy>
  <cp:revision>26</cp:revision>
  <cp:lastPrinted>2004-06-29T12:03:00Z</cp:lastPrinted>
  <dcterms:created xsi:type="dcterms:W3CDTF">2004-05-10T11:34:00Z</dcterms:created>
  <dcterms:modified xsi:type="dcterms:W3CDTF">2004-07-12T13:54:00Z</dcterms:modified>
</cp:coreProperties>
</file>