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sz w:val="24"/>
          <w:szCs w:val="24"/>
          <w:lang w:val="sk-SK"/>
        </w:rPr>
      </w:pPr>
      <w:r>
        <w:rPr>
          <w:rFonts w:ascii="Times New Roman" w:hAnsi="Times New Roman" w:cs="Times New Roman"/>
          <w:b/>
          <w:sz w:val="24"/>
          <w:szCs w:val="24"/>
          <w:lang w:val="sk-SK"/>
        </w:rPr>
        <w:t>TABUĽKA ZHODY</w:t>
      </w:r>
    </w:p>
    <w:p>
      <w:pPr>
        <w:jc w:val="center"/>
        <w:rPr>
          <w:rFonts w:ascii="Times New Roman" w:hAnsi="Times New Roman" w:cs="Times New Roman"/>
          <w:b/>
          <w:sz w:val="24"/>
          <w:szCs w:val="24"/>
          <w:lang w:val="sk-SK"/>
        </w:rPr>
      </w:pPr>
      <w:r>
        <w:rPr>
          <w:rFonts w:ascii="Times New Roman" w:hAnsi="Times New Roman" w:cs="Times New Roman"/>
          <w:b/>
          <w:sz w:val="24"/>
          <w:szCs w:val="24"/>
          <w:lang w:val="sk-SK"/>
        </w:rPr>
        <w:t xml:space="preserve">k návrhu </w:t>
      </w:r>
      <w:r>
        <w:rPr>
          <w:rFonts w:ascii="Times New Roman" w:hAnsi="Times New Roman" w:cs="Times New Roman"/>
          <w:b/>
          <w:sz w:val="24"/>
          <w:szCs w:val="24"/>
        </w:rPr>
        <w:t xml:space="preserve"> zákona, ktorým sa mení a dopĺňa zákon č. 566/2001 Z. z. o cenných papieroch a investičných službách a o zmene a doplnení niektorých zákonov (zákon o cenných papieroch) v znení neskorších predpisov a o zmene a doplnení niektorých z</w:t>
      </w:r>
      <w:r>
        <w:rPr>
          <w:rFonts w:ascii="Times New Roman" w:hAnsi="Times New Roman" w:cs="Times New Roman"/>
          <w:b/>
          <w:sz w:val="24"/>
          <w:szCs w:val="24"/>
        </w:rPr>
        <w:t xml:space="preserve">ákonov </w:t>
      </w:r>
      <w:r>
        <w:rPr>
          <w:rFonts w:ascii="Times New Roman" w:hAnsi="Times New Roman" w:cs="Times New Roman"/>
          <w:b/>
          <w:sz w:val="24"/>
          <w:szCs w:val="24"/>
          <w:lang w:val="sk-SK"/>
        </w:rPr>
        <w:t>s právom Európskej únie a právom Európskych spoločenstiev</w:t>
      </w:r>
    </w:p>
    <w:p>
      <w:pPr>
        <w:jc w:val="center"/>
        <w:rPr>
          <w:rFonts w:ascii="Times New Roman" w:hAnsi="Times New Roman" w:cs="Times New Roman"/>
          <w:b/>
          <w:sz w:val="24"/>
          <w:szCs w:val="24"/>
          <w:lang w:val="sk-SK"/>
        </w:rPr>
      </w:pP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637"/>
        <w:gridCol w:w="4678"/>
        <w:gridCol w:w="709"/>
        <w:gridCol w:w="850"/>
        <w:gridCol w:w="851"/>
        <w:gridCol w:w="4252"/>
        <w:gridCol w:w="567"/>
        <w:gridCol w:w="993"/>
        <w:gridCol w:w="992"/>
        <w:gridCol w:w="850"/>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6024" w:type="dxa"/>
            <w:gridSpan w:val="3"/>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Právny akt ES/EÚ</w:t>
            </w:r>
          </w:p>
          <w:p>
            <w:pPr>
              <w:rPr>
                <w:rFonts w:ascii="Times New Roman" w:hAnsi="Times New Roman" w:cs="Times New Roman"/>
                <w:sz w:val="24"/>
                <w:szCs w:val="24"/>
                <w:lang w:val="de-DE"/>
              </w:rPr>
            </w:pPr>
          </w:p>
          <w:p>
            <w:pPr>
              <w:jc w:val="both"/>
              <w:rPr>
                <w:rFonts w:ascii="Times New Roman" w:hAnsi="Times New Roman" w:cs="Times New Roman"/>
                <w:b/>
                <w:sz w:val="24"/>
                <w:szCs w:val="24"/>
                <w:lang w:val="sk-SK"/>
              </w:rPr>
            </w:pPr>
            <w:r>
              <w:rPr>
                <w:rFonts w:ascii="Times New Roman" w:hAnsi="Times New Roman" w:cs="Times New Roman"/>
                <w:b/>
                <w:sz w:val="24"/>
                <w:szCs w:val="24"/>
                <w:lang w:val="sk-SK"/>
              </w:rPr>
              <w:t>Smernica č. 2003/125/ES EURÓPSKEHO PARLAMENTU A RADY z 22. decembra 2003 implementujúca Smernicu 2003/6/ES Európskeho parlamentu a Rady o objektívnom prezentovaní investičných odporúčaní a o zverejňovaní konfliktov záujmov</w:t>
            </w:r>
          </w:p>
          <w:p>
            <w:pPr>
              <w:rPr>
                <w:rFonts w:ascii="Times New Roman" w:hAnsi="Times New Roman" w:cs="Times New Roman"/>
                <w:b/>
                <w:sz w:val="24"/>
                <w:szCs w:val="24"/>
                <w:lang w:val="sk-SK"/>
              </w:rPr>
            </w:pPr>
          </w:p>
        </w:tc>
        <w:tc>
          <w:tcPr>
            <w:tcW w:w="9355" w:type="dxa"/>
            <w:gridSpan w:val="7"/>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Všeobecne záväzné právne predpisy SR</w:t>
            </w: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r>
              <w:rPr>
                <w:rFonts w:ascii="Times New Roman" w:hAnsi="Times New Roman" w:cs="Times New Roman"/>
                <w:b/>
                <w:sz w:val="24"/>
                <w:szCs w:val="24"/>
                <w:lang w:val="sk-SK"/>
              </w:rPr>
              <w:t xml:space="preserve">Návrh </w:t>
            </w:r>
            <w:r>
              <w:rPr>
                <w:rFonts w:ascii="Times New Roman" w:hAnsi="Times New Roman" w:cs="Times New Roman"/>
                <w:sz w:val="24"/>
                <w:szCs w:val="24"/>
              </w:rPr>
              <w:t xml:space="preserve"> </w:t>
            </w:r>
            <w:r>
              <w:rPr>
                <w:rFonts w:ascii="Times New Roman" w:hAnsi="Times New Roman" w:cs="Times New Roman"/>
                <w:b/>
                <w:sz w:val="24"/>
                <w:szCs w:val="24"/>
              </w:rPr>
              <w:t>zákona, ktorým sa mení a dopĺňa zákon č. 566/2001 Z. z. o cenných papieroch a investičných službách a o zmene a doplnení niektorých zákonov (zákon o cenných pa</w:t>
            </w:r>
            <w:r>
              <w:rPr>
                <w:rFonts w:ascii="Times New Roman" w:hAnsi="Times New Roman" w:cs="Times New Roman"/>
                <w:b/>
                <w:sz w:val="24"/>
                <w:szCs w:val="24"/>
              </w:rPr>
              <w:t>pieroch) v znení neskorších predpisov a o zmene a doplnení niektorých zákonov</w:t>
            </w:r>
            <w:r>
              <w:rPr>
                <w:rFonts w:ascii="Times New Roman" w:hAnsi="Times New Roman" w:cs="Times New Roman"/>
                <w:sz w:val="24"/>
                <w:szCs w:val="24"/>
              </w:rPr>
              <w:t xml:space="preserve">             </w:t>
            </w:r>
            <w:r>
              <w:rPr>
                <w:rFonts w:ascii="Times New Roman" w:hAnsi="Times New Roman" w:cs="Times New Roman"/>
                <w:b/>
                <w:sz w:val="24"/>
                <w:szCs w:val="24"/>
              </w:rPr>
              <w:t>( ďalej len ” návrh  zákona” )</w:t>
            </w:r>
          </w:p>
          <w:p>
            <w:pPr>
              <w:rPr>
                <w:rFonts w:ascii="Times New Roman" w:hAnsi="Times New Roman" w:cs="Times New Roman"/>
                <w:b/>
                <w:sz w:val="24"/>
                <w:szCs w:val="24"/>
                <w:lang w:val="sk-SK"/>
              </w:rPr>
            </w:pPr>
            <w:r>
              <w:rPr>
                <w:rFonts w:ascii="Times New Roman" w:hAnsi="Times New Roman" w:cs="Times New Roman"/>
                <w:b/>
                <w:sz w:val="24"/>
                <w:szCs w:val="24"/>
                <w:lang w:val="sk-SK"/>
              </w:rPr>
              <w:t>Zákon č. 566/2001 Z.z. o cenných papieroch a investičných službách v znení neskorších predpisov</w:t>
            </w:r>
          </w:p>
          <w:p>
            <w:pPr>
              <w:rPr>
                <w:rFonts w:ascii="Times New Roman" w:hAnsi="Times New Roman" w:cs="Times New Roman"/>
                <w:b/>
                <w:sz w:val="24"/>
                <w:szCs w:val="24"/>
                <w:lang w:val="sk-SK"/>
              </w:rPr>
            </w:pPr>
            <w:r>
              <w:rPr>
                <w:rFonts w:ascii="Times New Roman" w:hAnsi="Times New Roman" w:cs="Times New Roman"/>
                <w:b/>
                <w:sz w:val="24"/>
                <w:szCs w:val="24"/>
                <w:lang w:val="sk-SK"/>
              </w:rPr>
              <w:t>Zákon č.  483/2001 Z.z. o bankách v zne</w:t>
            </w:r>
            <w:r>
              <w:rPr>
                <w:rFonts w:ascii="Times New Roman" w:hAnsi="Times New Roman" w:cs="Times New Roman"/>
                <w:b/>
                <w:sz w:val="24"/>
                <w:szCs w:val="24"/>
                <w:lang w:val="sk-SK"/>
              </w:rPr>
              <w:t>ní neskorších predpisov</w:t>
            </w:r>
          </w:p>
          <w:p>
            <w:pPr>
              <w:rPr>
                <w:rFonts w:ascii="Times New Roman" w:hAnsi="Times New Roman" w:cs="Times New Roman"/>
                <w:b/>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sz w:val="24"/>
                <w:szCs w:val="24"/>
                <w:lang w:val="sk-SK"/>
              </w:rPr>
              <w:t xml:space="preserve">   </w:t>
            </w:r>
            <w:r>
              <w:rPr>
                <w:rFonts w:ascii="Times New Roman" w:hAnsi="Times New Roman" w:cs="Times New Roman"/>
                <w:b/>
                <w:sz w:val="24"/>
                <w:szCs w:val="24"/>
                <w:lang w:val="sk-SK"/>
              </w:rPr>
              <w:t>č.</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sz w:val="24"/>
                <w:szCs w:val="24"/>
              </w:rPr>
            </w:pPr>
            <w:r>
              <w:rPr>
                <w:rFonts w:ascii="Times New Roman" w:hAnsi="Times New Roman" w:cs="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Spôsob trans-pozície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Článok</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Text</w:t>
            </w: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Zhoda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Administratívna infraštru-ktúra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Poznám 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lang w:val="sk-SK"/>
              </w:rPr>
            </w:pPr>
            <w:r>
              <w:rPr>
                <w:rFonts w:ascii="Times New Roman" w:hAnsi="Times New Roman" w:cs="Times New Roman"/>
                <w:b/>
                <w:sz w:val="24"/>
                <w:szCs w:val="24"/>
                <w:lang w:val="sk-SK"/>
              </w:rPr>
              <w:t>Štádium legislatívneho procesu</w:t>
            </w: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Definície</w:t>
            </w: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Na účely tejto smernice sa okrem definícii stanovených v Smernici 2003/6/ES použijú</w:t>
            </w:r>
            <w:r>
              <w:rPr>
                <w:rFonts w:ascii="Times New Roman" w:hAnsi="Times New Roman" w:cs="Times New Roman"/>
                <w:sz w:val="24"/>
                <w:szCs w:val="24"/>
                <w:lang w:val="sk-SK"/>
              </w:rPr>
              <w:t xml:space="preserve"> nasledujúce definície:</w:t>
            </w:r>
          </w:p>
          <w:p>
            <w:pPr>
              <w:jc w:val="both"/>
              <w:rPr>
                <w:rFonts w:ascii="Times New Roman" w:hAnsi="Times New Roman" w:cs="Times New Roman"/>
                <w:sz w:val="24"/>
                <w:szCs w:val="24"/>
                <w:lang w:val="sk-SK"/>
              </w:rPr>
            </w:pPr>
          </w:p>
          <w:p>
            <w:pPr>
              <w:pStyle w:val="ManualNumPar1"/>
              <w:spacing w:before="0" w:after="0"/>
              <w:ind w:left="71" w:hanging="141"/>
              <w:rPr>
                <w:rFonts w:ascii="Times New Roman" w:hAnsi="Times New Roman" w:cs="Times New Roman"/>
                <w:sz w:val="24"/>
                <w:szCs w:val="24"/>
                <w:lang w:val="sk-SK"/>
              </w:rPr>
            </w:pPr>
            <w:r>
              <w:rPr>
                <w:rFonts w:ascii="Times New Roman" w:hAnsi="Times New Roman" w:cs="Times New Roman"/>
                <w:sz w:val="24"/>
                <w:szCs w:val="24"/>
                <w:lang w:val="sk-SK"/>
              </w:rPr>
              <w:t>1.</w:t>
            </w:r>
            <w:r>
              <w:rPr>
                <w:rStyle w:val="ManualNumPar1Char"/>
                <w:rFonts w:ascii="Times New Roman" w:hAnsi="Times New Roman" w:cs="Times New Roman"/>
                <w:szCs w:val="24"/>
                <w:lang w:val="sk-SK"/>
              </w:rPr>
              <w:t>‘Investičná firma’ je akákoľvek osoba definovaná v článku 1(2) Smernice Rady 93/22/EHS</w:t>
            </w:r>
            <w:r>
              <w:rPr>
                <w:rStyle w:val="FootnoteReference"/>
                <w:rFonts w:ascii="Times New Roman" w:hAnsi="Times New Roman" w:cs="Times New Roman"/>
                <w:sz w:val="24"/>
                <w:szCs w:val="24"/>
                <w:lang w:val="sk-SK"/>
              </w:rPr>
              <w:footnoteReference w:id="0"/>
            </w:r>
            <w:r>
              <w:rPr>
                <w:rFonts w:ascii="Times New Roman" w:hAnsi="Times New Roman" w:cs="Times New Roman"/>
                <w:sz w:val="24"/>
                <w:szCs w:val="24"/>
                <w:lang w:val="sk-SK"/>
              </w:rPr>
              <w:t>.</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 xml:space="preserve">2.‘Úverová inštitúcia’ </w:t>
            </w:r>
            <w:r>
              <w:rPr>
                <w:rStyle w:val="ManualNumPar1Char"/>
                <w:rFonts w:ascii="Times New Roman" w:hAnsi="Times New Roman" w:cs="Times New Roman"/>
                <w:szCs w:val="24"/>
                <w:lang w:val="sk-SK"/>
              </w:rPr>
              <w:t xml:space="preserve">je akákoľvek osoba definovaná v článku </w:t>
            </w:r>
            <w:r>
              <w:rPr>
                <w:rFonts w:ascii="Times New Roman" w:hAnsi="Times New Roman" w:cs="Times New Roman"/>
                <w:sz w:val="24"/>
                <w:szCs w:val="24"/>
                <w:lang w:val="sk-SK"/>
              </w:rPr>
              <w:t>1(1) Smernice 2000/12/ES Európskeho parlamentu a Rady</w:t>
            </w:r>
            <w:r>
              <w:rPr>
                <w:rStyle w:val="FootnoteReference"/>
                <w:rFonts w:ascii="Times New Roman" w:hAnsi="Times New Roman" w:cs="Times New Roman"/>
                <w:sz w:val="24"/>
                <w:szCs w:val="24"/>
                <w:lang w:val="sk-SK"/>
              </w:rPr>
              <w:footnoteReference w:id="1"/>
            </w:r>
            <w:r>
              <w:rPr>
                <w:rFonts w:ascii="Times New Roman" w:hAnsi="Times New Roman" w:cs="Times New Roman"/>
                <w:sz w:val="24"/>
                <w:szCs w:val="24"/>
                <w:lang w:val="sk-SK"/>
              </w:rPr>
              <w:t>.</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3.‘Odporúčanie’ je výskum alebo iná informácia, ktorá explicitne alebo implicitne odporúča alebo navrhuje investičnú stratégiu týkajúcu sa jedného alebo viacerých finančných nástrojov alebo emitentov finančných nástrojov, vrátane akéhokoľvek stanoviska o súčasnej alebo budúcej hodnote alebo cene takýchto nástrojov, ktorá je určená pre distribučné kanály alebo pre verejnosť.</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4.‘Výskum alebo iná informácia odporúčajúca alebo navrhujúca investičnú stratégiu’ je: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Point1"/>
              <w:spacing w:before="0" w:after="0"/>
              <w:ind w:left="213" w:firstLine="0"/>
              <w:rPr>
                <w:rFonts w:ascii="Times New Roman" w:hAnsi="Times New Roman" w:cs="Times New Roman"/>
                <w:sz w:val="24"/>
                <w:szCs w:val="24"/>
                <w:lang w:val="sk-SK"/>
              </w:rPr>
            </w:pPr>
            <w:r>
              <w:rPr>
                <w:rFonts w:ascii="Times New Roman" w:hAnsi="Times New Roman" w:cs="Times New Roman"/>
                <w:sz w:val="24"/>
                <w:szCs w:val="24"/>
                <w:lang w:val="sk-SK"/>
              </w:rPr>
              <w:t>(a)</w:t>
              <w:tab/>
              <w:t xml:space="preserve">informácia vypracovaná nezávislým analytikom, investičnou firmou, úverovou inštitúciou alebo inou osobou, ktorej hlavnou podnikateľskou činnosťou je vypracovávanie odporúčaní, alebo fyzickou osobou pracujúcou pre nich na základe pracovnej zmluvy alebo inak, ktorá priamo alebo nepriamo vyjadruje konkrétne investičné odporúčanie ohľadne finančného nástroja alebo emitenta finančných nástrojov; </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(b)</w:t>
              <w:tab/>
              <w:t>informácia vypracovaná inými osobami ako osobami uvedenými pod pí</w:t>
            </w:r>
            <w:r>
              <w:rPr>
                <w:rFonts w:ascii="Times New Roman" w:hAnsi="Times New Roman" w:cs="Times New Roman"/>
                <w:sz w:val="24"/>
                <w:szCs w:val="24"/>
                <w:lang w:val="sk-SK"/>
              </w:rPr>
              <w:t>smenom (a), ktorá priamo odporúča konkrétne investičné rozhodnutie ohľadne finančného nástroja.</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5.‘Príslušná osoba’ je fyzická alebo právnická osoba, ktorá vypracováva alebo rozširuje odporúčania pri výkone svojej profesie alebo svojej podnikateľskej čin</w:t>
            </w:r>
            <w:r>
              <w:rPr>
                <w:rFonts w:ascii="Times New Roman" w:hAnsi="Times New Roman" w:cs="Times New Roman"/>
                <w:sz w:val="24"/>
                <w:szCs w:val="24"/>
                <w:lang w:val="sk-SK"/>
              </w:rPr>
              <w:t>nosti.</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213" w:hanging="213"/>
              <w:rPr>
                <w:rFonts w:ascii="Times New Roman" w:hAnsi="Times New Roman" w:cs="Times New Roman"/>
                <w:sz w:val="24"/>
                <w:szCs w:val="24"/>
                <w:lang w:val="sk-SK"/>
              </w:rPr>
            </w:pPr>
            <w:r>
              <w:rPr>
                <w:rFonts w:ascii="Times New Roman" w:hAnsi="Times New Roman" w:cs="Times New Roman"/>
                <w:sz w:val="24"/>
                <w:szCs w:val="24"/>
                <w:lang w:val="sk-SK"/>
              </w:rPr>
              <w:t>6.‘Emitent’ je emitent finančného nástroja,  ktorého sa odporúčanie týka priamo alebo nepriamo.</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rPr>
                <w:rFonts w:ascii="Times New Roman" w:hAnsi="Times New Roman" w:cs="Times New Roman"/>
                <w:sz w:val="24"/>
                <w:szCs w:val="24"/>
                <w:lang w:val="sk-SK"/>
              </w:rPr>
            </w:pPr>
            <w:r>
              <w:rPr>
                <w:rFonts w:ascii="Times New Roman" w:hAnsi="Times New Roman" w:cs="Times New Roman"/>
                <w:sz w:val="24"/>
                <w:szCs w:val="24"/>
                <w:lang w:val="sk-SK"/>
              </w:rPr>
              <w:t>7.</w:t>
              <w:tab/>
              <w:t>‘Distribučné kanály’ sú kanály, prostredníctvom ktorých informácia je alebo pravdepodobne bude verejne dostupná</w:t>
            </w:r>
            <w:r>
              <w:rPr>
                <w:rFonts w:ascii="Times New Roman" w:hAnsi="Times New Roman" w:cs="Times New Roman"/>
                <w:color w:val="FF0000"/>
                <w:sz w:val="24"/>
                <w:szCs w:val="24"/>
                <w:lang w:val="sk-SK"/>
              </w:rPr>
              <w:t xml:space="preserve">. </w:t>
            </w:r>
            <w:r>
              <w:rPr>
                <w:rFonts w:ascii="Times New Roman" w:hAnsi="Times New Roman" w:cs="Times New Roman"/>
                <w:sz w:val="24"/>
                <w:szCs w:val="24"/>
                <w:lang w:val="sk-SK"/>
              </w:rPr>
              <w:t>'Informácia, ktorá</w:t>
            </w:r>
            <w:r>
              <w:rPr>
                <w:rFonts w:ascii="Times New Roman" w:hAnsi="Times New Roman" w:cs="Times New Roman"/>
                <w:sz w:val="24"/>
                <w:szCs w:val="24"/>
                <w:lang w:val="sk-SK"/>
              </w:rPr>
              <w:t xml:space="preserve"> pravdepodobne bude verejne dostupná’ je informácia,  ku ktorej má prístup veľký počet osôb.</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rPr>
                <w:rFonts w:ascii="Times New Roman" w:hAnsi="Times New Roman" w:cs="Times New Roman"/>
                <w:sz w:val="24"/>
                <w:szCs w:val="24"/>
                <w:lang w:val="sk-SK"/>
              </w:rPr>
            </w:pPr>
            <w:r>
              <w:rPr>
                <w:rFonts w:ascii="Times New Roman" w:hAnsi="Times New Roman" w:cs="Times New Roman"/>
                <w:sz w:val="24"/>
                <w:szCs w:val="24"/>
                <w:lang w:val="sk-SK"/>
              </w:rPr>
              <w:t>8.</w:t>
              <w:tab/>
              <w:t>‘Primeraný predpis’ je akýkoľvek predpis, vrátane samoregulácie, platný v členských štátoch podľa Smernice 2003/6/ES.</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Zákon č. 566/ 2001 Z.z.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Zákon č. 483/ 2001 Z.z.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54</w:t>
            </w:r>
          </w:p>
          <w:p>
            <w:pPr>
              <w:rPr>
                <w:rFonts w:ascii="Times New Roman" w:hAnsi="Times New Roman" w:cs="Times New Roman"/>
                <w:sz w:val="24"/>
                <w:szCs w:val="24"/>
                <w:lang w:val="sk-SK"/>
              </w:rPr>
            </w:pPr>
            <w:r>
              <w:rPr>
                <w:rFonts w:ascii="Times New Roman" w:hAnsi="Times New Roman" w:cs="Times New Roman"/>
                <w:sz w:val="24"/>
                <w:szCs w:val="24"/>
                <w:lang w:val="sk-SK"/>
              </w:rPr>
              <w:t>ods.1</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 2</w:t>
            </w:r>
          </w:p>
          <w:p>
            <w:pPr>
              <w:rPr>
                <w:rFonts w:ascii="Times New Roman" w:hAnsi="Times New Roman" w:cs="Times New Roman"/>
                <w:sz w:val="24"/>
                <w:szCs w:val="24"/>
                <w:lang w:val="sk-SK"/>
              </w:rPr>
            </w:pPr>
            <w:r>
              <w:rPr>
                <w:rFonts w:ascii="Times New Roman" w:hAnsi="Times New Roman" w:cs="Times New Roman"/>
                <w:sz w:val="24"/>
                <w:szCs w:val="24"/>
                <w:lang w:val="sk-SK"/>
              </w:rPr>
              <w:t>ods.1</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ind w:right="-70"/>
              <w:rPr>
                <w:rFonts w:ascii="Times New Roman" w:hAnsi="Times New Roman" w:cs="Times New Roman"/>
                <w:sz w:val="24"/>
                <w:szCs w:val="24"/>
                <w:lang w:val="sk-SK"/>
              </w:rPr>
            </w:pPr>
            <w:r>
              <w:rPr>
                <w:rFonts w:ascii="Times New Roman" w:hAnsi="Times New Roman" w:cs="Times New Roman"/>
                <w:sz w:val="24"/>
                <w:szCs w:val="24"/>
                <w:lang w:val="sk-SK"/>
              </w:rPr>
              <w:t>§132e</w:t>
            </w:r>
          </w:p>
          <w:p>
            <w:pPr>
              <w:rPr>
                <w:rFonts w:ascii="Times New Roman" w:hAnsi="Times New Roman" w:cs="Times New Roman"/>
                <w:sz w:val="24"/>
                <w:szCs w:val="24"/>
                <w:lang w:val="sk-SK"/>
              </w:rPr>
            </w:pPr>
            <w:r>
              <w:rPr>
                <w:rFonts w:ascii="Times New Roman" w:hAnsi="Times New Roman" w:cs="Times New Roman"/>
                <w:sz w:val="24"/>
                <w:szCs w:val="24"/>
                <w:lang w:val="sk-SK"/>
              </w:rPr>
              <w:t>ods.1</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ind w:right="-70"/>
              <w:rPr>
                <w:rFonts w:ascii="Times New Roman" w:hAnsi="Times New Roman" w:cs="Times New Roman"/>
                <w:sz w:val="24"/>
                <w:szCs w:val="24"/>
                <w:lang w:val="sk-SK"/>
              </w:rPr>
            </w:pPr>
          </w:p>
          <w:p>
            <w:pPr>
              <w:ind w:right="-70"/>
              <w:rPr>
                <w:rFonts w:ascii="Times New Roman" w:hAnsi="Times New Roman" w:cs="Times New Roman"/>
                <w:sz w:val="24"/>
                <w:szCs w:val="24"/>
                <w:lang w:val="sk-SK"/>
              </w:rPr>
            </w:pPr>
            <w:r>
              <w:rPr>
                <w:rFonts w:ascii="Times New Roman" w:hAnsi="Times New Roman" w:cs="Times New Roman"/>
                <w:sz w:val="24"/>
                <w:szCs w:val="24"/>
                <w:lang w:val="sk-SK"/>
              </w:rPr>
              <w:t>§132e</w:t>
            </w:r>
          </w:p>
          <w:p>
            <w:pPr>
              <w:rPr>
                <w:rFonts w:ascii="Times New Roman" w:hAnsi="Times New Roman" w:cs="Times New Roman"/>
                <w:sz w:val="24"/>
                <w:szCs w:val="24"/>
                <w:lang w:val="sk-SK"/>
              </w:rPr>
            </w:pPr>
            <w:r>
              <w:rPr>
                <w:rFonts w:ascii="Times New Roman" w:hAnsi="Times New Roman" w:cs="Times New Roman"/>
                <w:sz w:val="24"/>
                <w:szCs w:val="24"/>
                <w:lang w:val="sk-SK"/>
              </w:rPr>
              <w:t>ods.2</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pís.a)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pís.b)</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ind w:right="-70"/>
              <w:rPr>
                <w:rFonts w:ascii="Times New Roman" w:hAnsi="Times New Roman" w:cs="Times New Roman"/>
                <w:sz w:val="24"/>
                <w:szCs w:val="24"/>
                <w:lang w:val="sk-SK"/>
              </w:rPr>
            </w:pPr>
            <w:r>
              <w:rPr>
                <w:rFonts w:ascii="Times New Roman" w:hAnsi="Times New Roman" w:cs="Times New Roman"/>
                <w:sz w:val="24"/>
                <w:szCs w:val="24"/>
                <w:lang w:val="sk-SK"/>
              </w:rPr>
              <w:t>§132e</w:t>
            </w:r>
          </w:p>
          <w:p>
            <w:pPr>
              <w:rPr>
                <w:rFonts w:ascii="Times New Roman" w:hAnsi="Times New Roman" w:cs="Times New Roman"/>
                <w:sz w:val="24"/>
                <w:szCs w:val="24"/>
                <w:lang w:val="sk-SK"/>
              </w:rPr>
            </w:pPr>
            <w:r>
              <w:rPr>
                <w:rFonts w:ascii="Times New Roman" w:hAnsi="Times New Roman" w:cs="Times New Roman"/>
                <w:sz w:val="24"/>
                <w:szCs w:val="24"/>
                <w:lang w:val="sk-SK"/>
              </w:rPr>
              <w:t>ods.4</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rPr>
                <w:rFonts w:ascii="Times New Roman" w:hAnsi="Times New Roman" w:cs="Times New Roman"/>
                <w:sz w:val="24"/>
                <w:szCs w:val="24"/>
                <w:lang w:val="sk-SK"/>
              </w:rPr>
            </w:pPr>
          </w:p>
          <w:p>
            <w:pPr>
              <w:tabs>
                <w:tab w:val="left" w:pos="360"/>
              </w:tabs>
              <w:rPr>
                <w:rFonts w:ascii="Times New Roman" w:hAnsi="Times New Roman" w:cs="Times New Roman"/>
                <w:i/>
                <w:sz w:val="24"/>
                <w:szCs w:val="24"/>
                <w:lang w:val="sk-SK"/>
              </w:rPr>
            </w:pPr>
          </w:p>
          <w:p>
            <w:pPr>
              <w:tabs>
                <w:tab w:val="left" w:pos="360"/>
              </w:tabs>
              <w:rPr>
                <w:rFonts w:ascii="Times New Roman" w:hAnsi="Times New Roman" w:cs="Times New Roman"/>
                <w:i/>
                <w:sz w:val="24"/>
                <w:szCs w:val="24"/>
                <w:lang w:val="sk-SK"/>
              </w:rPr>
            </w:pPr>
          </w:p>
          <w:p>
            <w:pPr>
              <w:tabs>
                <w:tab w:val="left" w:pos="360"/>
              </w:tabs>
              <w:rPr>
                <w:rFonts w:ascii="Times New Roman" w:hAnsi="Times New Roman" w:cs="Times New Roman"/>
                <w:i/>
                <w:sz w:val="24"/>
                <w:szCs w:val="24"/>
                <w:lang w:val="sk-SK"/>
              </w:rPr>
            </w:pPr>
          </w:p>
          <w:p>
            <w:pPr>
              <w:tabs>
                <w:tab w:val="left" w:pos="360"/>
              </w:tabs>
              <w:rPr>
                <w:rFonts w:ascii="Times New Roman" w:hAnsi="Times New Roman" w:cs="Times New Roman"/>
                <w:i/>
                <w:sz w:val="24"/>
                <w:szCs w:val="24"/>
                <w:lang w:val="sk-SK"/>
              </w:rPr>
            </w:pPr>
          </w:p>
          <w:p>
            <w:pPr>
              <w:tabs>
                <w:tab w:val="left" w:pos="360"/>
              </w:tabs>
              <w:rPr>
                <w:rFonts w:ascii="Times New Roman" w:hAnsi="Times New Roman" w:cs="Times New Roman"/>
                <w:i/>
                <w:sz w:val="24"/>
                <w:szCs w:val="24"/>
                <w:lang w:val="sk-SK"/>
              </w:rPr>
            </w:pPr>
          </w:p>
          <w:p>
            <w:pPr>
              <w:tabs>
                <w:tab w:val="left" w:pos="360"/>
              </w:tabs>
              <w:rPr>
                <w:rFonts w:ascii="Times New Roman" w:hAnsi="Times New Roman" w:cs="Times New Roman"/>
                <w:i/>
                <w:sz w:val="24"/>
                <w:szCs w:val="24"/>
                <w:lang w:val="sk-SK"/>
              </w:rPr>
            </w:pPr>
            <w:r>
              <w:rPr>
                <w:rFonts w:ascii="Times New Roman" w:hAnsi="Times New Roman" w:cs="Times New Roman"/>
                <w:i/>
                <w:sz w:val="24"/>
                <w:szCs w:val="24"/>
                <w:lang w:val="sk-SK"/>
              </w:rPr>
              <w:t>Obchodníkom  s cennými  papiermi je  akciová spoločnosť so sídlom na  území Slovenskej republiky,  ktorá poskytuje investičné služby na  základe povolenia na  poskytovanie investičných služieb udeleného úradom.</w:t>
            </w:r>
          </w:p>
          <w:p>
            <w:pPr>
              <w:tabs>
                <w:tab w:val="left" w:pos="360"/>
              </w:tabs>
              <w:rPr>
                <w:rFonts w:ascii="Times New Roman" w:hAnsi="Times New Roman" w:cs="Times New Roman"/>
                <w:sz w:val="24"/>
                <w:szCs w:val="24"/>
                <w:lang w:val="sk-SK"/>
              </w:rPr>
            </w:pPr>
          </w:p>
          <w:p>
            <w:pPr>
              <w:tabs>
                <w:tab w:val="left" w:pos="360"/>
              </w:tabs>
              <w:rPr>
                <w:rFonts w:ascii="Times New Roman" w:hAnsi="Times New Roman" w:cs="Times New Roman"/>
                <w:sz w:val="24"/>
                <w:szCs w:val="24"/>
                <w:lang w:val="sk-SK"/>
              </w:rPr>
            </w:pPr>
            <w:r>
              <w:rPr>
                <w:rFonts w:ascii="Times New Roman" w:hAnsi="Times New Roman" w:cs="Times New Roman"/>
                <w:sz w:val="24"/>
                <w:szCs w:val="24"/>
                <w:lang w:val="sk-SK"/>
              </w:rPr>
              <w:t xml:space="preserve">Banka  je právnická  osoba so  sídlom na  území Slovenskej republiky založená ako akciová spoločnosť, 1) </w:t>
            </w:r>
            <w:r>
              <w:rPr>
                <w:rFonts w:ascii="Times New Roman" w:hAnsi="Times New Roman" w:cs="Times New Roman"/>
                <w:sz w:val="24"/>
                <w:szCs w:val="24"/>
                <w:lang w:val="sk-SK"/>
              </w:rPr>
              <w:t>ktorá</w:t>
            </w:r>
          </w:p>
          <w:p>
            <w:pPr>
              <w:tabs>
                <w:tab w:val="left" w:pos="360"/>
              </w:tabs>
              <w:rPr>
                <w:rFonts w:ascii="Times New Roman" w:hAnsi="Times New Roman" w:cs="Times New Roman"/>
                <w:sz w:val="24"/>
                <w:szCs w:val="24"/>
                <w:lang w:val="sk-SK"/>
              </w:rPr>
            </w:pPr>
            <w:r>
              <w:rPr>
                <w:rFonts w:ascii="Times New Roman" w:hAnsi="Times New Roman" w:cs="Times New Roman"/>
                <w:sz w:val="24"/>
                <w:szCs w:val="24"/>
                <w:lang w:val="sk-SK"/>
              </w:rPr>
              <w:t xml:space="preserve"> a) prijíma vklady a</w:t>
            </w:r>
          </w:p>
          <w:p>
            <w:pPr>
              <w:tabs>
                <w:tab w:val="left" w:pos="360"/>
              </w:tabs>
              <w:rPr>
                <w:rFonts w:ascii="Times New Roman" w:hAnsi="Times New Roman" w:cs="Times New Roman"/>
                <w:sz w:val="24"/>
                <w:szCs w:val="24"/>
                <w:lang w:val="sk-SK"/>
              </w:rPr>
            </w:pPr>
            <w:r>
              <w:rPr>
                <w:rFonts w:ascii="Times New Roman" w:hAnsi="Times New Roman" w:cs="Times New Roman"/>
                <w:sz w:val="24"/>
                <w:szCs w:val="24"/>
                <w:lang w:val="sk-SK"/>
              </w:rPr>
              <w:t xml:space="preserve"> b) poskytuje úvery</w:t>
            </w:r>
          </w:p>
          <w:p>
            <w:pPr>
              <w:tabs>
                <w:tab w:val="left" w:pos="360"/>
              </w:tabs>
              <w:rPr>
                <w:rFonts w:ascii="Times New Roman" w:hAnsi="Times New Roman" w:cs="Times New Roman"/>
                <w:sz w:val="24"/>
                <w:szCs w:val="24"/>
                <w:lang w:val="sk-SK"/>
              </w:rPr>
            </w:pPr>
            <w:r>
              <w:rPr>
                <w:rFonts w:ascii="Times New Roman" w:hAnsi="Times New Roman" w:cs="Times New Roman"/>
                <w:sz w:val="24"/>
                <w:szCs w:val="24"/>
                <w:lang w:val="sk-SK"/>
              </w:rPr>
              <w:t>a ktorá má na výkon činností podľa  písmen a) a b) udelené bankové</w:t>
            </w:r>
          </w:p>
          <w:p>
            <w:pPr>
              <w:tabs>
                <w:tab w:val="left" w:pos="360"/>
              </w:tabs>
              <w:rPr>
                <w:rFonts w:ascii="Times New Roman" w:hAnsi="Times New Roman" w:cs="Times New Roman"/>
                <w:sz w:val="24"/>
                <w:szCs w:val="24"/>
                <w:lang w:val="sk-SK"/>
              </w:rPr>
            </w:pPr>
            <w:r>
              <w:rPr>
                <w:rFonts w:ascii="Times New Roman" w:hAnsi="Times New Roman" w:cs="Times New Roman"/>
                <w:sz w:val="24"/>
                <w:szCs w:val="24"/>
                <w:lang w:val="sk-SK"/>
              </w:rPr>
              <w:t>povolenie. Iná právna forma banky sa zakazuje.</w:t>
            </w:r>
          </w:p>
          <w:p>
            <w:pPr>
              <w:tabs>
                <w:tab w:val="left" w:pos="360"/>
              </w:tabs>
              <w:rPr>
                <w:rFonts w:ascii="Times New Roman" w:hAnsi="Times New Roman" w:cs="Times New Roman"/>
                <w:sz w:val="24"/>
                <w:szCs w:val="24"/>
                <w:lang w:val="sk-SK"/>
              </w:rPr>
            </w:pPr>
          </w:p>
          <w:p>
            <w:pPr>
              <w:jc w:val="both"/>
              <w:rPr>
                <w:rFonts w:ascii="Times New Roman" w:hAnsi="Times New Roman" w:cs="Times New Roman"/>
                <w:sz w:val="24"/>
                <w:szCs w:val="24"/>
              </w:rPr>
            </w:pPr>
            <w:r>
              <w:rPr>
                <w:rFonts w:ascii="Times New Roman" w:hAnsi="Times New Roman" w:cs="Times New Roman"/>
                <w:sz w:val="24"/>
                <w:szCs w:val="24"/>
              </w:rPr>
              <w:t>Investičným odporúčaním sa rozumie výskum alebo iné informácie priamo alebo nepriamo odporúčajúce alebo navrhujúce investičnú stratégiu týkajúcu sa jedného alebo viacerých finančných nástrojov alebo emitentov finančných nástrojov, vrátane akéhokoľvek stanoviska o súčasnej alebo budúcej hodnote alebo cene takýchto finančných nástrojov určené pre pr</w:t>
            </w:r>
            <w:r>
              <w:rPr>
                <w:rFonts w:ascii="Times New Roman" w:hAnsi="Times New Roman" w:cs="Times New Roman"/>
                <w:sz w:val="24"/>
                <w:szCs w:val="24"/>
              </w:rPr>
              <w:t>ostriedky zverejnenia</w:t>
            </w:r>
            <w:r>
              <w:rPr>
                <w:rFonts w:ascii="Times New Roman" w:hAnsi="Times New Roman" w:cs="Times New Roman"/>
                <w:sz w:val="24"/>
                <w:szCs w:val="24"/>
                <w:vertAlign w:val="superscript"/>
              </w:rPr>
              <w:t>103)</w:t>
            </w:r>
            <w:r>
              <w:rPr>
                <w:rFonts w:ascii="Times New Roman" w:hAnsi="Times New Roman" w:cs="Times New Roman"/>
                <w:sz w:val="24"/>
                <w:szCs w:val="24"/>
              </w:rPr>
              <w:t xml:space="preserve">  alebo pre verejnosť.</w:t>
            </w:r>
          </w:p>
          <w:p>
            <w:pPr>
              <w:tabs>
                <w:tab w:val="left" w:pos="360"/>
              </w:tabs>
              <w:rPr>
                <w:rFonts w:ascii="Times New Roman" w:hAnsi="Times New Roman" w:cs="Times New Roman"/>
                <w:sz w:val="24"/>
                <w:szCs w:val="24"/>
                <w:lang w:val="sk-SK"/>
              </w:rPr>
            </w:pPr>
          </w:p>
          <w:p>
            <w:pPr>
              <w:pStyle w:val="ManualNumPar1"/>
              <w:tabs>
                <w:tab w:val="left" w:pos="0"/>
              </w:tabs>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Výskumom alebo inou informáciou priamo alebo nepriamo odporúčajúcou alebo navrhujúcou investičnú stratégiu sa na účely tohto zákona rozumie </w:t>
            </w: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informácia vypracovaná nezávislým analytikom, obchodníkom s cennými</w:t>
            </w:r>
            <w:r>
              <w:rPr>
                <w:rFonts w:ascii="Times New Roman" w:hAnsi="Times New Roman" w:cs="Times New Roman"/>
                <w:sz w:val="24"/>
                <w:szCs w:val="24"/>
                <w:lang w:val="sk-SK"/>
              </w:rPr>
              <w:t xml:space="preserve"> papiermi,zahraničným obchodníkom s cennými papiermi, bankou, zahraničnou bankou alebo inou osobou, ktorej hlavnou podnikateľskou činnosťou je vypracovávanie odporúčaní, alebo fyzickou osobou pracujúcou pre nich na základe pracovnoprávneho vzťahu alebo in</w:t>
            </w:r>
            <w:r>
              <w:rPr>
                <w:rFonts w:ascii="Times New Roman" w:hAnsi="Times New Roman" w:cs="Times New Roman"/>
                <w:sz w:val="24"/>
                <w:szCs w:val="24"/>
                <w:lang w:val="sk-SK"/>
              </w:rPr>
              <w:t>é</w:t>
            </w:r>
            <w:r>
              <w:rPr>
                <w:rFonts w:ascii="Times New Roman" w:hAnsi="Times New Roman" w:cs="Times New Roman"/>
                <w:sz w:val="24"/>
                <w:szCs w:val="24"/>
                <w:lang w:val="sk-SK"/>
              </w:rPr>
              <w:t xml:space="preserve">ho právneho vzťahu, ktorá priamo alebo nepriamo vyjadruje konkrétne investičné rozhodnutie týkajúce sa finančného nástroja alebo emitenta finančných nástrojov, </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informácia vypracovaná inými osobami ako osobami podľa písmena a), ktorá priamo odporúča konkrétne investičné rozhodnutie týkajúce sa finančného nástroja.</w:t>
            </w:r>
          </w:p>
          <w:p>
            <w:pPr>
              <w:jc w:val="both"/>
              <w:rPr>
                <w:rFonts w:ascii="Times New Roman" w:hAnsi="Times New Roman" w:cs="Times New Roman"/>
                <w:sz w:val="24"/>
                <w:szCs w:val="24"/>
              </w:rPr>
            </w:pPr>
          </w:p>
          <w:p>
            <w:pPr>
              <w:tabs>
                <w:tab w:val="left" w:pos="360"/>
              </w:tabs>
              <w:rPr>
                <w:rFonts w:ascii="Times New Roman" w:hAnsi="Times New Roman" w:cs="Times New Roman"/>
                <w:sz w:val="24"/>
                <w:szCs w:val="24"/>
                <w:lang w:val="sk-SK"/>
              </w:rPr>
            </w:pPr>
            <w:r>
              <w:rPr>
                <w:rFonts w:ascii="Times New Roman" w:hAnsi="Times New Roman" w:cs="Times New Roman"/>
                <w:sz w:val="24"/>
                <w:szCs w:val="24"/>
              </w:rPr>
              <w:t>Povinnou osobou sa na účely tohto zákona rozumie osoba, ktorá vypracúva alebo rozširuje investičné odporúčania pri výkone svojho povolania alebo podnikateľskej činnosti</w:t>
            </w:r>
          </w:p>
          <w:p>
            <w:pPr>
              <w:tabs>
                <w:tab w:val="left" w:pos="360"/>
              </w:tabs>
              <w:rPr>
                <w:rFonts w:ascii="Times New Roman" w:hAnsi="Times New Roman" w:cs="Times New Roman"/>
                <w:sz w:val="24"/>
                <w:szCs w:val="24"/>
                <w:lang w:val="sk-SK"/>
              </w:rPr>
            </w:pPr>
          </w:p>
          <w:p>
            <w:pPr>
              <w:tabs>
                <w:tab w:val="left" w:pos="360"/>
              </w:tabs>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Ú</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Úrad pre finančný t</w:t>
            </w:r>
            <w:r>
              <w:rPr>
                <w:rFonts w:ascii="Times New Roman" w:hAnsi="Times New Roman" w:cs="Times New Roman"/>
                <w:sz w:val="24"/>
                <w:szCs w:val="24"/>
              </w:rPr>
              <w:t xml:space="preserve">rh </w:t>
            </w:r>
          </w:p>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V texte používame plný názov “emitent finančného nástroja, ktorého sa odporúčanie týka”.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Odkazujeme na Zákon č. §5 pís.b) 594/2003 Z.z. o kolektívnom investovaní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Primeraným predpisom sa rozumie tento zákon ako aj ďalšie právne predpisy</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Identita vypracovávateľa odporúčaní</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213" w:firstLine="0"/>
              <w:rPr>
                <w:rFonts w:ascii="Times New Roman" w:hAnsi="Times New Roman" w:cs="Times New Roman"/>
                <w:sz w:val="24"/>
                <w:szCs w:val="24"/>
                <w:lang w:val="sk-SK"/>
              </w:rPr>
            </w:pPr>
            <w:r>
              <w:rPr>
                <w:rFonts w:ascii="Times New Roman" w:hAnsi="Times New Roman" w:cs="Times New Roman"/>
                <w:sz w:val="24"/>
                <w:szCs w:val="24"/>
                <w:lang w:val="sk-SK"/>
              </w:rPr>
              <w:t>1.</w:t>
              <w:tab/>
              <w:t>Členské štáty zabezpečia zavedenie primeraného predpisu zabezpečujúceho, aby akékoľvek odporúčanie jasne a markantne zverejňovalo identitu osoby zodpovednej za jeho vypracovanie, najmä meno a pozíciu jednotlivca, ktorý pripravil odporúčanie a názov právnickej osoby zodpovednej za jeho vypracovanie.</w:t>
            </w:r>
          </w:p>
          <w:p>
            <w:pPr>
              <w:rPr>
                <w:rFonts w:ascii="Times New Roman" w:hAnsi="Times New Roman" w:cs="Times New Roman"/>
                <w:sz w:val="24"/>
                <w:szCs w:val="24"/>
                <w:lang w:val="sk-SK"/>
              </w:rPr>
            </w:pP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2.</w:t>
              <w:tab/>
              <w:t>Ak je príslušnou osobou investičná firma alebo úverová inštitúcia, členské štáty budú vyžadovať zverejnenie identity príslušného kompetentného orgánu.</w:t>
            </w:r>
          </w:p>
          <w:p>
            <w:pPr>
              <w:pStyle w:val="Text1"/>
              <w:spacing w:before="0" w:after="0"/>
              <w:ind w:left="71"/>
              <w:rPr>
                <w:rFonts w:ascii="Times New Roman" w:hAnsi="Times New Roman" w:cs="Times New Roman"/>
                <w:sz w:val="24"/>
                <w:szCs w:val="24"/>
                <w:lang w:val="sk-SK"/>
              </w:rPr>
            </w:pPr>
            <w:r>
              <w:rPr>
                <w:rFonts w:ascii="Times New Roman" w:hAnsi="Times New Roman" w:cs="Times New Roman"/>
                <w:sz w:val="24"/>
                <w:szCs w:val="24"/>
                <w:lang w:val="sk-SK"/>
              </w:rPr>
              <w:t>Ak príslušnou osobou nie je investičná firma ani úverová inštitúcia, ale podlieha štandardom samoregulácie alebo zásadám správania sa, členské štáty zabezpečia zverejnenie odkazu na tieto štan</w:t>
            </w:r>
            <w:r>
              <w:rPr>
                <w:rFonts w:ascii="Times New Roman" w:hAnsi="Times New Roman" w:cs="Times New Roman"/>
                <w:sz w:val="24"/>
                <w:szCs w:val="24"/>
                <w:lang w:val="sk-SK"/>
              </w:rPr>
              <w:t>dardy alebo zásady.</w:t>
            </w:r>
          </w:p>
          <w:p>
            <w:pPr>
              <w:pStyle w:val="Text1"/>
              <w:spacing w:before="0" w:after="0"/>
              <w:ind w:left="71"/>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3.</w:t>
              <w:tab/>
              <w:t>Členské štáty zabezpečia zavedenie primeraného predpisu zabezpečujúceho, aby požiadavky ustanovené v odsekoch 1 a 2 boli upravené tak, aby neboli neúmerné v prípade odporúčaní, ktoré nemajú písomnú formu. Takáto úprava môže obsahovať odkaz na miesto, kde sú takéto zverejnenia priamo a jednoducho dostupné pre verejnosť, ako je príslušná internetová stránka príslušnej osoby.</w:t>
            </w:r>
          </w:p>
          <w:p>
            <w:pPr>
              <w:rPr>
                <w:rFonts w:ascii="Times New Roman" w:hAnsi="Times New Roman" w:cs="Times New Roman"/>
                <w:sz w:val="24"/>
                <w:szCs w:val="24"/>
                <w:lang w:val="sk-SK"/>
              </w:rPr>
            </w:pPr>
          </w:p>
          <w:p>
            <w:pPr>
              <w:pStyle w:val="ManualNumPar1"/>
              <w:numPr>
                <w:numId w:val="17"/>
              </w:numPr>
              <w:spacing w:before="0" w:after="0"/>
              <w:ind w:left="701"/>
              <w:rPr>
                <w:rFonts w:ascii="Times New Roman" w:hAnsi="Times New Roman" w:cs="Times New Roman"/>
                <w:sz w:val="24"/>
                <w:szCs w:val="24"/>
              </w:rPr>
            </w:pPr>
            <w:r>
              <w:rPr>
                <w:rFonts w:ascii="Times New Roman" w:hAnsi="Times New Roman" w:cs="Times New Roman"/>
                <w:sz w:val="24"/>
                <w:szCs w:val="24"/>
              </w:rPr>
              <w:t>Odseky 1 a 2 sa neuplatnia na novinárov, ktorí v členských štátoch podliehajú rovnocennému primeranému predpisu, vrátane rovnocennej primeranej samoregulácie, pod podmienkou, že takýto predpis dosahuje podobné účinky ako predpisy odsekov 1 a 2.</w:t>
            </w:r>
          </w:p>
          <w:p>
            <w:pPr>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132f</w:t>
            </w:r>
          </w:p>
          <w:p>
            <w:pPr>
              <w:rPr>
                <w:rFonts w:ascii="Times New Roman" w:hAnsi="Times New Roman" w:cs="Times New Roman"/>
                <w:sz w:val="24"/>
                <w:szCs w:val="24"/>
                <w:lang w:val="sk-SK"/>
              </w:rPr>
            </w:pPr>
            <w:r>
              <w:rPr>
                <w:rFonts w:ascii="Times New Roman" w:hAnsi="Times New Roman" w:cs="Times New Roman"/>
                <w:sz w:val="24"/>
                <w:szCs w:val="24"/>
                <w:lang w:val="sk-SK"/>
              </w:rPr>
              <w:t>ods. 1</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ods.2</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ind w:right="-70"/>
              <w:rPr>
                <w:rFonts w:ascii="Times New Roman" w:hAnsi="Times New Roman" w:cs="Times New Roman"/>
                <w:sz w:val="24"/>
                <w:szCs w:val="24"/>
                <w:lang w:val="sk-SK"/>
              </w:rPr>
            </w:pPr>
            <w:r>
              <w:rPr>
                <w:rFonts w:ascii="Times New Roman" w:hAnsi="Times New Roman" w:cs="Times New Roman"/>
                <w:sz w:val="24"/>
                <w:szCs w:val="24"/>
                <w:lang w:val="sk-SK"/>
              </w:rPr>
              <w:t xml:space="preserve">§ 132m ods. 6 </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pStyle w:val="ManualNumPar1"/>
              <w:spacing w:before="0" w:after="0"/>
              <w:ind w:left="0" w:firstLine="0"/>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lang w:val="sk-SK"/>
              </w:rPr>
              <w:t>Investičné odporúčanie musí obsahovať  meno a priezvisko alebo obchodné meno osoby zodpovednej za jeho vypracovanie a v prípade právnickej osoby aj meno, priezvisko  a pozíciu osoby, ktorá pre ňu pripravila investičné odporúčanie. Ak je osobou podľa prvej vety, obchodník s cennými papiermi a</w:t>
            </w:r>
            <w:r>
              <w:rPr>
                <w:rFonts w:ascii="Times New Roman" w:hAnsi="Times New Roman" w:cs="Times New Roman"/>
                <w:sz w:val="24"/>
                <w:szCs w:val="24"/>
                <w:lang w:val="sk-SK"/>
              </w:rPr>
              <w:t>l</w:t>
            </w:r>
            <w:r>
              <w:rPr>
                <w:rFonts w:ascii="Times New Roman" w:hAnsi="Times New Roman" w:cs="Times New Roman"/>
                <w:sz w:val="24"/>
                <w:szCs w:val="24"/>
                <w:lang w:val="sk-SK"/>
              </w:rPr>
              <w:t xml:space="preserve">ebo banka, uvedie sa aj názov príslušného orgánu dohľadu, ktorý vykonáva dohľad nad ich činnosťou.  Ak  osobou podľa prvej vety nie je obchodník s cennými papiermi alebo banka a ak sa táto  osoba riadi vnútornými pravidlami  alebo pravidlami organizácie, </w:t>
            </w:r>
            <w:r>
              <w:rPr>
                <w:rFonts w:ascii="Times New Roman" w:hAnsi="Times New Roman" w:cs="Times New Roman"/>
                <w:sz w:val="24"/>
                <w:szCs w:val="24"/>
                <w:lang w:val="sk-SK"/>
              </w:rPr>
              <w:t>k</w:t>
            </w:r>
            <w:r>
              <w:rPr>
                <w:rFonts w:ascii="Times New Roman" w:hAnsi="Times New Roman" w:cs="Times New Roman"/>
                <w:sz w:val="24"/>
                <w:szCs w:val="24"/>
                <w:lang w:val="sk-SK"/>
              </w:rPr>
              <w:t>torej je členom, uvedie sa aj údaj o tejto skutočnosti.</w:t>
            </w:r>
          </w:p>
          <w:p>
            <w:pPr>
              <w:rPr>
                <w:rFonts w:ascii="Times New Roman" w:hAnsi="Times New Roman" w:cs="Times New Roman"/>
                <w:sz w:val="24"/>
                <w:szCs w:val="24"/>
              </w:rPr>
            </w:pPr>
          </w:p>
          <w:p>
            <w:pPr>
              <w:pStyle w:val="ManualNumPar1"/>
              <w:ind w:left="0" w:firstLine="708"/>
              <w:rPr>
                <w:rFonts w:ascii="Times New Roman" w:hAnsi="Times New Roman" w:cs="Times New Roman"/>
                <w:sz w:val="24"/>
                <w:szCs w:val="24"/>
                <w:lang w:val="sk-SK"/>
              </w:rPr>
            </w:pP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lang w:val="sk-SK"/>
              </w:rPr>
              <w:t>V prípade investičných odporúčaní, ktoré nemajú písomnú formu sa povinnosť podľa odseku 1 pokladá za splnenú aj, ak je uvedené miesto, kde sú tieto informácie  priamo dostupné verejnosti; takým miestom sarozumie aj odkaz na internetovú stránku osoby podľa odseku 1.</w:t>
            </w: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lang w:val="sk-SK"/>
              </w:rPr>
              <w:t>Ustanovenia § 132f, 132g a 132i sa nevzťahujú na novinárov, ktorí pri výkone činnosti postupujú podľa osobitného predpisu,</w:t>
            </w:r>
            <w:r>
              <w:rPr>
                <w:rFonts w:ascii="Times New Roman" w:hAnsi="Times New Roman" w:cs="Times New Roman"/>
                <w:sz w:val="24"/>
                <w:szCs w:val="24"/>
                <w:vertAlign w:val="superscript"/>
                <w:lang w:val="sk-SK"/>
              </w:rPr>
              <w:t xml:space="preserve">107c) </w:t>
            </w:r>
            <w:r>
              <w:rPr>
                <w:rFonts w:ascii="Times New Roman" w:hAnsi="Times New Roman" w:cs="Times New Roman"/>
                <w:sz w:val="24"/>
                <w:szCs w:val="24"/>
                <w:lang w:val="sk-SK"/>
              </w:rPr>
              <w:t xml:space="preserve">podľa právneho predpisu členského štátu alebo podľa vnútorných pravidiel činnosti, ak tieto predpisy alebo pravidlá obsahujú ustanovenia zabezpečujú  plnenie povinností podľa § 132f, 132g a 132i.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Ú</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Všeobecný štandard objektívneho prezentovania odporúčaní</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1.Členské štáty zabezpečia zavedenie primeraného predpisu zabezpečujúceho, že všetky príslušné osoby vynaložia primeranú starostlivosť, aby zabezpečili, že:</w:t>
            </w:r>
          </w:p>
          <w:p>
            <w:pPr>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(a)</w:t>
              <w:tab/>
              <w:t>fakty sú jasne odlíšené od interpretácií, odhadov, stanovísk alebo od iných typov nekonkrétnych informácií;</w:t>
            </w:r>
          </w:p>
          <w:p>
            <w:pPr>
              <w:pStyle w:val="Point1"/>
              <w:spacing w:before="0" w:after="0"/>
              <w:ind w:left="71" w:firstLine="0"/>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(b)</w:t>
              <w:tab/>
              <w:t>všetk</w:t>
            </w:r>
            <w:r>
              <w:rPr>
                <w:rFonts w:ascii="Times New Roman" w:hAnsi="Times New Roman" w:cs="Times New Roman"/>
                <w:sz w:val="24"/>
                <w:szCs w:val="24"/>
                <w:lang w:val="sk-SK"/>
              </w:rPr>
              <w:t xml:space="preserve">y zdroje sú spoľahlivé alebo, ak sú akékoľvek pochybnosti o spoľahlivosti zdroja,  je to jasne uvedené; </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ind w:left="213" w:hanging="142"/>
              <w:rPr>
                <w:rFonts w:ascii="Times New Roman" w:hAnsi="Times New Roman" w:cs="Times New Roman"/>
                <w:sz w:val="24"/>
                <w:szCs w:val="24"/>
                <w:lang w:val="sk-SK"/>
              </w:rPr>
            </w:pPr>
            <w:r>
              <w:rPr>
                <w:rFonts w:ascii="Times New Roman" w:hAnsi="Times New Roman" w:cs="Times New Roman"/>
                <w:sz w:val="24"/>
                <w:szCs w:val="24"/>
                <w:lang w:val="sk-SK"/>
              </w:rPr>
              <w:t>(c)</w:t>
              <w:tab/>
              <w:t xml:space="preserve">všetky projekcie, predpovede a cenové ciele sú jasne označené ako také, a  významné predpoklady vzniknuté pri ich vypracovávaní alebo použití sú </w:t>
            </w:r>
            <w:r>
              <w:rPr>
                <w:rFonts w:ascii="Times New Roman" w:hAnsi="Times New Roman" w:cs="Times New Roman"/>
                <w:sz w:val="24"/>
                <w:szCs w:val="24"/>
                <w:lang w:val="sk-SK"/>
              </w:rPr>
              <w:t>uvedené.</w:t>
            </w:r>
          </w:p>
          <w:p>
            <w:pPr>
              <w:pStyle w:val="Point1"/>
              <w:spacing w:before="0" w:after="0"/>
              <w:ind w:left="213" w:hanging="142"/>
              <w:rPr>
                <w:rFonts w:ascii="Times New Roman" w:hAnsi="Times New Roman" w:cs="Times New Roman"/>
                <w:sz w:val="24"/>
                <w:szCs w:val="24"/>
                <w:lang w:val="sk-SK"/>
              </w:rPr>
            </w:pP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2.</w:t>
              <w:tab/>
              <w:t>Členské štáty zabezpečia zavedenie primeraného predpisu zabezpečujúceho, že požiadavky ustanovené v odseku 1 budú upravené tak, aby neboli neúmerné v prípade odporúčaní, ktoré nemajú písomnú formu.</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3.</w:t>
              <w:tab/>
              <w:t>Členské štáty budú požadovať, aby všetky príslušné osoby vynaložili primeranú starostlivosť na zabezpečenie toho, aby akékoľvek odporúčanie mohlo byť na žiadosť kompetentných orgánov zdôvodnené ako primerané.</w:t>
            </w: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4.Odseky 1 a 3 sa neuplatnia na novinárov, ktorí v členských štátoch podliehajú rovnocennému primeranému predpisu, vrátane rovnocennej primeranej samoregulácie, pod podmienkou, že takýto predpis dosahuje podobné účinky ako predpisy odsekov 1 a 3.</w:t>
            </w:r>
          </w:p>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132g</w:t>
            </w:r>
          </w:p>
          <w:p>
            <w:pPr>
              <w:rPr>
                <w:rFonts w:ascii="Times New Roman" w:hAnsi="Times New Roman" w:cs="Times New Roman"/>
                <w:sz w:val="24"/>
                <w:szCs w:val="24"/>
                <w:lang w:val="sk-SK"/>
              </w:rPr>
            </w:pPr>
            <w:r>
              <w:rPr>
                <w:rFonts w:ascii="Times New Roman" w:hAnsi="Times New Roman" w:cs="Times New Roman"/>
                <w:sz w:val="24"/>
                <w:szCs w:val="24"/>
                <w:lang w:val="sk-SK"/>
              </w:rPr>
              <w:t>ods.1</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pís.a)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pís.b)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pís.c)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ods.2</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ods.3</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ind w:right="-70"/>
              <w:rPr>
                <w:rFonts w:ascii="Times New Roman" w:hAnsi="Times New Roman" w:cs="Times New Roman"/>
                <w:sz w:val="24"/>
                <w:szCs w:val="24"/>
                <w:lang w:val="sk-SK"/>
              </w:rPr>
            </w:pPr>
            <w:r>
              <w:rPr>
                <w:rFonts w:ascii="Times New Roman" w:hAnsi="Times New Roman" w:cs="Times New Roman"/>
                <w:sz w:val="24"/>
                <w:szCs w:val="24"/>
                <w:lang w:val="sk-SK"/>
              </w:rPr>
              <w:t xml:space="preserve">§ 132m </w:t>
            </w:r>
          </w:p>
          <w:p>
            <w:pPr>
              <w:rPr>
                <w:rFonts w:ascii="Times New Roman" w:hAnsi="Times New Roman" w:cs="Times New Roman"/>
                <w:sz w:val="24"/>
                <w:szCs w:val="24"/>
                <w:lang w:val="sk-SK"/>
              </w:rPr>
            </w:pPr>
            <w:r>
              <w:rPr>
                <w:rFonts w:ascii="Times New Roman" w:hAnsi="Times New Roman" w:cs="Times New Roman"/>
                <w:sz w:val="24"/>
                <w:szCs w:val="24"/>
                <w:lang w:val="sk-SK"/>
              </w:rPr>
              <w:t>ods. 6</w:t>
            </w:r>
          </w:p>
          <w:p>
            <w:pPr>
              <w:rPr>
                <w:rFonts w:ascii="Times New Roman" w:hAnsi="Times New Roman" w:cs="Times New Roman"/>
                <w:sz w:val="24"/>
                <w:szCs w:val="24"/>
                <w:lang w:val="sk-SK"/>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Povinné osoby sú povinné postupovať tak, aby zabezpečili, že v investičných odporúčaniach</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Point1"/>
              <w:spacing w:before="0" w:after="0"/>
              <w:ind w:left="72" w:firstLine="0"/>
              <w:rPr>
                <w:rFonts w:ascii="Times New Roman" w:hAnsi="Times New Roman" w:cs="Times New Roman"/>
                <w:sz w:val="24"/>
                <w:szCs w:val="24"/>
                <w:lang w:val="sk-SK"/>
              </w:rPr>
            </w:pPr>
            <w:r>
              <w:rPr>
                <w:rFonts w:ascii="Times New Roman" w:hAnsi="Times New Roman" w:cs="Times New Roman"/>
                <w:sz w:val="24"/>
                <w:szCs w:val="24"/>
                <w:lang w:val="sk-SK"/>
              </w:rPr>
              <w:t>sú fakty jasne odlíšené od interpretácií, odhadov, názorov alebo od iných typov nekonkrétnych informácií,</w:t>
            </w:r>
          </w:p>
          <w:p>
            <w:pPr>
              <w:pStyle w:val="Point1"/>
              <w:spacing w:before="0" w:after="0"/>
              <w:ind w:left="850" w:firstLine="0"/>
              <w:rPr>
                <w:rFonts w:ascii="Times New Roman" w:hAnsi="Times New Roman" w:cs="Times New Roman"/>
                <w:sz w:val="24"/>
                <w:szCs w:val="24"/>
                <w:lang w:val="sk-SK"/>
              </w:rPr>
            </w:pPr>
          </w:p>
          <w:p>
            <w:pPr>
              <w:pStyle w:val="Point1"/>
              <w:spacing w:before="0" w:after="0"/>
              <w:ind w:left="72"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zdroje používané pri ich vypracovaní  sú spoľahlivé alebo, ak sú akékoľvek pochybnosti o spoľahlivosti zdroja,  je to jasne uvedené, </w:t>
            </w:r>
          </w:p>
          <w:p>
            <w:pPr>
              <w:pStyle w:val="Point1"/>
              <w:spacing w:before="0" w:after="0"/>
              <w:ind w:left="72" w:firstLine="0"/>
              <w:rPr>
                <w:rFonts w:ascii="Times New Roman" w:hAnsi="Times New Roman" w:cs="Times New Roman"/>
                <w:sz w:val="24"/>
                <w:szCs w:val="24"/>
                <w:lang w:val="sk-SK"/>
              </w:rPr>
            </w:pPr>
          </w:p>
          <w:p>
            <w:pPr>
              <w:pStyle w:val="Point1"/>
              <w:spacing w:before="0" w:after="0"/>
              <w:ind w:left="72"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pri projekciách, predpovediach a  cenových odhadoch je jasne uvedené, že  ide o takéto skutočnosti a sú uvedené podstatné východiská pre </w:t>
            </w:r>
            <w:r>
              <w:rPr>
                <w:rFonts w:ascii="Times New Roman" w:hAnsi="Times New Roman" w:cs="Times New Roman"/>
                <w:sz w:val="24"/>
                <w:szCs w:val="24"/>
                <w:lang w:val="sk-SK"/>
              </w:rPr>
              <w:t xml:space="preserve">ich vytvorenie. </w:t>
            </w: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V prípade investičných odporúčaní, ktoré nemajú písomnú formu sa povinnosť  podľa odseku 1 pokladá za splnenú aj v prípade, ak je uvedené miesto, kde sú tieto informácie  priamo dostupné verejnosti, kde boli zverejnené alebo odkaz na inter</w:t>
            </w:r>
            <w:r>
              <w:rPr>
                <w:rFonts w:ascii="Times New Roman" w:hAnsi="Times New Roman" w:cs="Times New Roman"/>
                <w:sz w:val="24"/>
                <w:szCs w:val="24"/>
                <w:lang w:val="sk-SK"/>
              </w:rPr>
              <w:t>netovú stránku obsahujúcu príslušné údaje.</w:t>
            </w:r>
          </w:p>
          <w:p>
            <w:pPr>
              <w:pStyle w:val="ManualNumPar1"/>
              <w:spacing w:before="0" w:after="0"/>
              <w:ind w:left="0" w:firstLine="0"/>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Povinná osoba je povinná na žiadosť úradu zabezpečiť zdôvodnenie  investičného odporúčania. </w:t>
            </w:r>
          </w:p>
          <w:p>
            <w:pPr>
              <w:pStyle w:val="ManualNumPar1"/>
              <w:spacing w:before="0" w:after="0"/>
              <w:ind w:left="0" w:firstLine="0"/>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lang w:val="sk-SK"/>
              </w:rPr>
              <w:t>Ustanovenia § 132f, 132g a 132i sa nevzťahujú na novinárov, ktorí pri výkone činnosti postupujú podľa osobitného pr</w:t>
            </w:r>
            <w:r>
              <w:rPr>
                <w:rFonts w:ascii="Times New Roman" w:hAnsi="Times New Roman" w:cs="Times New Roman"/>
                <w:sz w:val="24"/>
                <w:szCs w:val="24"/>
                <w:lang w:val="sk-SK"/>
              </w:rPr>
              <w:t>edpisu,</w:t>
            </w:r>
            <w:r>
              <w:rPr>
                <w:rFonts w:ascii="Times New Roman" w:hAnsi="Times New Roman" w:cs="Times New Roman"/>
                <w:sz w:val="24"/>
                <w:szCs w:val="24"/>
                <w:vertAlign w:val="superscript"/>
                <w:lang w:val="sk-SK"/>
              </w:rPr>
              <w:t xml:space="preserve">107c) </w:t>
            </w:r>
            <w:r>
              <w:rPr>
                <w:rFonts w:ascii="Times New Roman" w:hAnsi="Times New Roman" w:cs="Times New Roman"/>
                <w:sz w:val="24"/>
                <w:szCs w:val="24"/>
                <w:lang w:val="sk-SK"/>
              </w:rPr>
              <w:t xml:space="preserve">podľa právneho predpisu členského štátu alebo podľa vnútorných pravidiel činnosti, ak tieto predpisy alebo pravidlá obsahujú ustanovenia zabezpečujú  plnenie povinností podľa § 132f, 132g a 132i. </w:t>
            </w:r>
          </w:p>
          <w:p>
            <w:pPr>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p>
            <w:pPr>
              <w:rPr>
                <w:rFonts w:ascii="Times New Roman" w:hAnsi="Times New Roman" w:cs="Times New Roman"/>
                <w:sz w:val="24"/>
                <w:szCs w:val="24"/>
                <w:lang w:val="sk-SK"/>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Dodatočné povinnosti týkajúce sa objektívného prezentovania odporúčaní</w:t>
            </w:r>
          </w:p>
          <w:p>
            <w:pPr>
              <w:rPr>
                <w:rFonts w:ascii="Times New Roman" w:hAnsi="Times New Roman" w:cs="Times New Roman"/>
                <w:sz w:val="24"/>
                <w:szCs w:val="24"/>
                <w:lang w:val="sk-SK"/>
              </w:rPr>
            </w:pP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1.</w:t>
              <w:tab/>
              <w:t>Okrem povinností ustanovených v článku 3, ak je príslušnou osobou nezávislý analytik, investičná firma, úverová inštitúcia, akákoľvek spriaznená právnická osoba, akákoľvek iná príslušná osoba, ktorej hlavnou podnikateľskou činnosťou je vypracovávanie odporúčaní, alebo fyzická osoba pracujúca pre ne na základe pracovnej zmluvy alebo inak, členské štáty zabezpečia zavedenie primeraného predpisu zabezpečujúceho, že táto osoba vynaloží primeranú</w:t>
            </w:r>
            <w:r>
              <w:rPr>
                <w:rFonts w:ascii="Times New Roman" w:hAnsi="Times New Roman" w:cs="Times New Roman"/>
                <w:sz w:val="24"/>
                <w:szCs w:val="24"/>
                <w:lang w:val="sk-SK"/>
              </w:rPr>
              <w:t xml:space="preserve"> </w:t>
            </w:r>
            <w:r>
              <w:rPr>
                <w:rFonts w:ascii="Times New Roman" w:hAnsi="Times New Roman" w:cs="Times New Roman"/>
                <w:sz w:val="24"/>
                <w:szCs w:val="24"/>
                <w:lang w:val="sk-SK"/>
              </w:rPr>
              <w:t>starostlivosť, aby zabezpečila aspoň:</w:t>
            </w:r>
          </w:p>
          <w:p>
            <w:pPr>
              <w:rPr>
                <w:rFonts w:ascii="Times New Roman" w:hAnsi="Times New Roman" w:cs="Times New Roman"/>
                <w:sz w:val="24"/>
                <w:szCs w:val="24"/>
                <w:lang w:val="sk-SK"/>
              </w:rPr>
            </w:pPr>
          </w:p>
          <w:p>
            <w:pPr>
              <w:pStyle w:val="Point1"/>
              <w:spacing w:before="0" w:after="0"/>
              <w:ind w:left="213" w:hanging="142"/>
              <w:rPr>
                <w:rFonts w:ascii="Times New Roman" w:hAnsi="Times New Roman" w:cs="Times New Roman"/>
                <w:sz w:val="24"/>
                <w:szCs w:val="24"/>
                <w:lang w:val="sk-SK"/>
              </w:rPr>
            </w:pPr>
            <w:r>
              <w:rPr>
                <w:rFonts w:ascii="Times New Roman" w:hAnsi="Times New Roman" w:cs="Times New Roman"/>
                <w:sz w:val="24"/>
                <w:szCs w:val="24"/>
                <w:lang w:val="sk-SK"/>
              </w:rPr>
              <w:t>(a)</w:t>
              <w:tab/>
              <w:t>uvedenie všetkých zdrojov vecnej povahy, ak je to vhodné, vrátane príslušného emitenta spoločne s faktom, či bolo odporúčanie zverejnené tomuto emitentovi a doplnené po tomto zverejnení pred jeho rozšírením;</w:t>
            </w:r>
          </w:p>
          <w:p>
            <w:pPr>
              <w:pStyle w:val="Point1"/>
              <w:spacing w:before="0" w:after="0"/>
              <w:ind w:left="213" w:hanging="142"/>
              <w:rPr>
                <w:rFonts w:ascii="Times New Roman" w:hAnsi="Times New Roman" w:cs="Times New Roman"/>
                <w:sz w:val="24"/>
                <w:szCs w:val="24"/>
                <w:lang w:val="sk-SK"/>
              </w:rPr>
            </w:pPr>
          </w:p>
          <w:p>
            <w:pPr>
              <w:pStyle w:val="Point1"/>
              <w:spacing w:before="0" w:after="0"/>
              <w:ind w:left="213" w:hanging="142"/>
              <w:rPr>
                <w:rFonts w:ascii="Times New Roman" w:hAnsi="Times New Roman" w:cs="Times New Roman"/>
                <w:sz w:val="24"/>
                <w:szCs w:val="24"/>
                <w:lang w:val="sk-SK"/>
              </w:rPr>
            </w:pPr>
          </w:p>
          <w:p>
            <w:pPr>
              <w:pStyle w:val="Point1"/>
              <w:spacing w:before="0" w:after="0"/>
              <w:ind w:left="213" w:hanging="142"/>
              <w:rPr>
                <w:rFonts w:ascii="Times New Roman" w:hAnsi="Times New Roman" w:cs="Times New Roman"/>
                <w:sz w:val="24"/>
                <w:szCs w:val="24"/>
                <w:lang w:val="sk-SK"/>
              </w:rPr>
            </w:pPr>
            <w:r>
              <w:rPr>
                <w:rFonts w:ascii="Times New Roman" w:hAnsi="Times New Roman" w:cs="Times New Roman"/>
                <w:sz w:val="24"/>
                <w:szCs w:val="24"/>
                <w:lang w:val="sk-SK"/>
              </w:rPr>
              <w:t>(b)</w:t>
            </w:r>
            <w:r>
              <w:rPr>
                <w:rFonts w:ascii="Times New Roman" w:hAnsi="Times New Roman" w:cs="Times New Roman"/>
                <w:sz w:val="24"/>
                <w:szCs w:val="24"/>
                <w:lang w:val="sk-SK"/>
              </w:rPr>
              <w:tab/>
              <w:t>primerané zosumarizovanie akejkoľvek hodnotiacej základne alebo metodológie použitej na zhodnotenie finančného nástroja alebo emitenta finančného nástroja, alebo na stanovenie cenového cieľa pre finančný nástroj;</w:t>
            </w:r>
          </w:p>
          <w:p>
            <w:pPr>
              <w:pStyle w:val="Point1"/>
              <w:spacing w:before="0" w:after="0"/>
              <w:ind w:left="213" w:hanging="142"/>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(c)</w:t>
              <w:tab/>
              <w:t>primerané vysvetlenie významu akéhoko</w:t>
            </w:r>
            <w:r>
              <w:rPr>
                <w:rFonts w:ascii="Times New Roman" w:hAnsi="Times New Roman" w:cs="Times New Roman"/>
                <w:sz w:val="24"/>
                <w:szCs w:val="24"/>
                <w:lang w:val="sk-SK"/>
              </w:rPr>
              <w:t>ľvek uskutočneného odporúčania, ako je kúp, predaj alebo podrž, ktoré môže obsahovať časový horizont investície, ktorej sa odporúčanie týka, a uvedenie akékoľvek primeraného upozornenia na riziko, vrátane analýzy citlivosti príslušných predpokladov;</w:t>
            </w:r>
          </w:p>
          <w:p>
            <w:pPr>
              <w:pStyle w:val="Point1"/>
              <w:spacing w:before="0" w:after="0"/>
              <w:ind w:left="1418"/>
              <w:rPr>
                <w:rFonts w:ascii="Times New Roman" w:hAnsi="Times New Roman" w:cs="Times New Roman"/>
                <w:sz w:val="24"/>
                <w:szCs w:val="24"/>
                <w:lang w:val="sk-SK"/>
              </w:rPr>
            </w:pPr>
          </w:p>
          <w:p>
            <w:pPr>
              <w:pStyle w:val="Point1"/>
              <w:spacing w:before="0" w:after="0"/>
              <w:ind w:left="1418"/>
              <w:rPr>
                <w:rFonts w:ascii="Times New Roman" w:hAnsi="Times New Roman" w:cs="Times New Roman"/>
                <w:sz w:val="24"/>
                <w:szCs w:val="24"/>
                <w:lang w:val="sk-SK"/>
              </w:rPr>
            </w:pPr>
          </w:p>
          <w:p>
            <w:pPr>
              <w:pStyle w:val="Point1"/>
              <w:spacing w:before="0" w:after="0"/>
              <w:ind w:left="1418"/>
              <w:rPr>
                <w:rFonts w:ascii="Times New Roman" w:hAnsi="Times New Roman" w:cs="Times New Roman"/>
                <w:sz w:val="24"/>
                <w:szCs w:val="24"/>
                <w:lang w:val="sk-SK"/>
              </w:rPr>
            </w:pPr>
          </w:p>
          <w:p>
            <w:pPr>
              <w:pStyle w:val="Point1"/>
              <w:spacing w:before="0" w:after="0"/>
              <w:ind w:left="213" w:hanging="142"/>
              <w:rPr>
                <w:rFonts w:ascii="Times New Roman" w:hAnsi="Times New Roman" w:cs="Times New Roman"/>
                <w:sz w:val="24"/>
                <w:szCs w:val="24"/>
                <w:lang w:val="sk-SK"/>
              </w:rPr>
            </w:pPr>
            <w:r>
              <w:rPr>
                <w:rFonts w:ascii="Times New Roman" w:hAnsi="Times New Roman" w:cs="Times New Roman"/>
                <w:sz w:val="24"/>
                <w:szCs w:val="24"/>
                <w:lang w:val="sk-SK"/>
              </w:rPr>
              <w:t>(d)</w:t>
            </w:r>
            <w:r>
              <w:rPr>
                <w:rFonts w:ascii="Times New Roman" w:hAnsi="Times New Roman" w:cs="Times New Roman"/>
                <w:sz w:val="24"/>
                <w:szCs w:val="24"/>
                <w:lang w:val="sk-SK"/>
              </w:rPr>
              <w:tab/>
              <w:t>uvedenie odkazu na plánovanú frekvenciu, ak nejaká je, aktualizácií odporúčania a na akékoľvek významné zmeny v politike krytia, ktoré boli predtým oznámené;</w:t>
            </w:r>
          </w:p>
          <w:p>
            <w:pPr>
              <w:pStyle w:val="Point1"/>
              <w:spacing w:before="0" w:after="0"/>
              <w:ind w:left="1418"/>
              <w:rPr>
                <w:rFonts w:ascii="Times New Roman" w:hAnsi="Times New Roman" w:cs="Times New Roman"/>
                <w:sz w:val="24"/>
                <w:szCs w:val="24"/>
                <w:lang w:val="sk-SK"/>
              </w:rPr>
            </w:pPr>
          </w:p>
          <w:p>
            <w:pPr>
              <w:pStyle w:val="Point1"/>
              <w:spacing w:before="0" w:after="0"/>
              <w:ind w:left="1418"/>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(e)</w:t>
              <w:tab/>
              <w:t xml:space="preserve">jasné a markantné uvedenie dátumu, kedy bolo odporúčanie po prvý krát dané na distribúciu, </w:t>
            </w:r>
            <w:r>
              <w:rPr>
                <w:rFonts w:ascii="Times New Roman" w:hAnsi="Times New Roman" w:cs="Times New Roman"/>
                <w:sz w:val="24"/>
                <w:szCs w:val="24"/>
                <w:lang w:val="sk-SK"/>
              </w:rPr>
              <w:t>ako aj</w:t>
            </w:r>
            <w:r>
              <w:rPr>
                <w:rFonts w:ascii="Times New Roman" w:hAnsi="Times New Roman" w:cs="Times New Roman"/>
                <w:color w:val="FF0000"/>
                <w:sz w:val="24"/>
                <w:szCs w:val="24"/>
                <w:lang w:val="sk-SK"/>
              </w:rPr>
              <w:t xml:space="preserve"> </w:t>
            </w:r>
            <w:r>
              <w:rPr>
                <w:rFonts w:ascii="Times New Roman" w:hAnsi="Times New Roman" w:cs="Times New Roman"/>
                <w:sz w:val="24"/>
                <w:szCs w:val="24"/>
                <w:lang w:val="sk-SK"/>
              </w:rPr>
              <w:t>príslušného dátumu a času týkajúceho sa akejkoľvek uvedenej ceny finančného nástroja;</w:t>
            </w:r>
          </w:p>
          <w:p>
            <w:pPr>
              <w:pStyle w:val="Point1"/>
              <w:spacing w:before="0" w:after="0"/>
              <w:ind w:left="1418"/>
              <w:rPr>
                <w:rFonts w:ascii="Times New Roman" w:hAnsi="Times New Roman" w:cs="Times New Roman"/>
                <w:sz w:val="24"/>
                <w:szCs w:val="24"/>
                <w:lang w:val="sk-SK"/>
              </w:rPr>
            </w:pPr>
          </w:p>
          <w:p>
            <w:pPr>
              <w:pStyle w:val="Point1"/>
              <w:spacing w:before="0" w:after="0"/>
              <w:ind w:left="0" w:firstLine="71"/>
              <w:rPr>
                <w:rFonts w:ascii="Times New Roman" w:hAnsi="Times New Roman" w:cs="Times New Roman"/>
                <w:sz w:val="24"/>
                <w:szCs w:val="24"/>
                <w:lang w:val="sk-SK"/>
              </w:rPr>
            </w:pPr>
            <w:r>
              <w:rPr>
                <w:rFonts w:ascii="Times New Roman" w:hAnsi="Times New Roman" w:cs="Times New Roman"/>
                <w:sz w:val="24"/>
                <w:szCs w:val="24"/>
                <w:lang w:val="sk-SK"/>
              </w:rPr>
              <w:t>(f)</w:t>
              <w:tab/>
              <w:t>ak sa odporúčanie odlišuje od odporúčania týkajúceho sa toho istého finančného nástroja alebo emitenta vydaného počas obdobia dvanástich mesiacov bezprostredne predchádzajúcich jeho vydaniu, jasné a markantné uvedenie tejto zmeny a dátumu pôvodného odporúčania;</w:t>
            </w:r>
          </w:p>
          <w:p>
            <w:pPr>
              <w:pStyle w:val="Point1"/>
              <w:spacing w:before="0" w:after="0"/>
              <w:ind w:left="1418"/>
              <w:rPr>
                <w:rFonts w:ascii="Times New Roman" w:hAnsi="Times New Roman" w:cs="Times New Roman"/>
                <w:sz w:val="24"/>
                <w:szCs w:val="24"/>
                <w:lang w:val="sk-SK"/>
              </w:rPr>
            </w:pPr>
          </w:p>
          <w:p>
            <w:pPr>
              <w:pStyle w:val="Point1"/>
              <w:spacing w:before="0" w:after="0"/>
              <w:ind w:left="1418"/>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2.</w:t>
              <w:tab/>
              <w:t xml:space="preserve">Členské štáty zabezpečia, že tam, kde by požiadavky ustanovené v bodoch (a), (b) alebo (c) odseku 1 boli neúmerné  dĺžke distribuovaného odporúčania, je postačujúce v samotnom odporúčaní jasne a markantne odkázať na miesto, kde má verejnosť priamy a jednoduchý prístup k požadovanej informácii, napríklad priama internetová linka na túto informáciu na príslušnej internetovej stránke príslušnej osoby, </w:t>
            </w:r>
            <w:r>
              <w:rPr>
                <w:rFonts w:ascii="Times New Roman" w:hAnsi="Times New Roman" w:cs="Times New Roman"/>
                <w:sz w:val="24"/>
                <w:szCs w:val="24"/>
                <w:lang w:val="sk-SK"/>
              </w:rPr>
              <w:t>p</w:t>
            </w:r>
            <w:r>
              <w:rPr>
                <w:rFonts w:ascii="Times New Roman" w:hAnsi="Times New Roman" w:cs="Times New Roman"/>
                <w:sz w:val="24"/>
                <w:szCs w:val="24"/>
                <w:lang w:val="sk-SK"/>
              </w:rPr>
              <w:t>od podmienkou, že použitá metodológia alebo hodnotiaca základňa sa nezmenila.</w:t>
            </w:r>
          </w:p>
          <w:p>
            <w:pPr>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 3.Členské štáty zabezpečia zavedenie primeraného predpisu zabezpečujúceho, aby požiadavky odseku 1 boli upravené tak, aby neboli neúmerné v prípade odporúčaní, ktoré nemajú pís</w:t>
            </w:r>
            <w:r>
              <w:rPr>
                <w:rFonts w:ascii="Times New Roman" w:hAnsi="Times New Roman" w:cs="Times New Roman"/>
                <w:sz w:val="24"/>
                <w:szCs w:val="24"/>
                <w:lang w:val="sk-SK"/>
              </w:rPr>
              <w:t>omnú formu.</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132h</w:t>
            </w:r>
          </w:p>
          <w:p>
            <w:pPr>
              <w:rPr>
                <w:rFonts w:ascii="Times New Roman" w:hAnsi="Times New Roman" w:cs="Times New Roman"/>
                <w:sz w:val="24"/>
                <w:szCs w:val="24"/>
                <w:lang w:val="sk-SK"/>
              </w:rPr>
            </w:pPr>
            <w:r>
              <w:rPr>
                <w:rFonts w:ascii="Times New Roman" w:hAnsi="Times New Roman" w:cs="Times New Roman"/>
                <w:sz w:val="24"/>
                <w:szCs w:val="24"/>
                <w:lang w:val="sk-SK"/>
              </w:rPr>
              <w:t>ods.1</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pís.a)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pís.b)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pís.c)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pís.d)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pís.f)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pís.g)</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ods.2</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pStyle w:val="ManualNumPar1"/>
              <w:spacing w:before="0" w:after="0"/>
              <w:ind w:left="0" w:firstLine="708"/>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Ak je povinnou osobou nezávislý analytik, obchodník s cennými papiermi, banka, právnické osoby s nimi majetkovo prepojené alebo personálne prepojené,</w:t>
            </w:r>
            <w:r>
              <w:rPr>
                <w:rFonts w:ascii="Times New Roman" w:hAnsi="Times New Roman" w:cs="Times New Roman"/>
                <w:sz w:val="24"/>
                <w:szCs w:val="24"/>
                <w:vertAlign w:val="superscript"/>
                <w:lang w:val="sk-SK"/>
              </w:rPr>
              <w:t>107a)</w:t>
            </w:r>
            <w:r>
              <w:rPr>
                <w:rFonts w:ascii="Times New Roman" w:hAnsi="Times New Roman" w:cs="Times New Roman"/>
                <w:sz w:val="24"/>
                <w:szCs w:val="24"/>
                <w:lang w:val="sk-SK"/>
              </w:rPr>
              <w:t xml:space="preserve"> osoba, ktorej hlavnou podnikateľskou činnosťou je vypracovávanie investičných odporúčaní, alebo fyzická osoba, ktorá  je v pracovnoprávnom vzťahu alebo v inom právnom vzťahu k týmto osobám je povinná v investičnom odporúčaní,  ak tento zákon neustanovuje inak, </w:t>
            </w: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uviesť dôležité zdroje informácií, ktoré boli podkladom investičného odporúčania, </w:t>
            </w: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uviesť obchodné meno alebo názov emitenta, ktorého finančných nástrojov sa investičné odporúčanie týka a údaj, či bol s týmto investičným odporúčaním oboznámený a či po tomto oboznámení bolo zmenené, </w:t>
            </w: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stručne uviesť východiská a metodiku použitú na hodnotenie finančného nástroja, na hodnotenie emitenta a na stanovenie cenového cieľa pre finančný nástroj,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vys</w:t>
            </w:r>
            <w:r>
              <w:rPr>
                <w:rFonts w:ascii="Times New Roman" w:hAnsi="Times New Roman" w:cs="Times New Roman"/>
                <w:sz w:val="24"/>
                <w:szCs w:val="24"/>
                <w:lang w:val="sk-SK"/>
              </w:rPr>
              <w:t>vetliť význam akéhokoľvek odporúčania na nákup, predaj alebo držbu  finančných nástrojov vo vzťahu k časovému obdobiu investície, ktorej sa odporúčanie týka,  uviesť primerané upozornenie na riziko a faktory, ktoré ovplyvňujú predpoklady investičného odpo</w:t>
            </w:r>
            <w:r>
              <w:rPr>
                <w:rFonts w:ascii="Times New Roman" w:hAnsi="Times New Roman" w:cs="Times New Roman"/>
                <w:sz w:val="24"/>
                <w:szCs w:val="24"/>
                <w:lang w:val="sk-SK"/>
              </w:rPr>
              <w:t>r</w:t>
            </w:r>
            <w:r>
              <w:rPr>
                <w:rFonts w:ascii="Times New Roman" w:hAnsi="Times New Roman" w:cs="Times New Roman"/>
                <w:sz w:val="24"/>
                <w:szCs w:val="24"/>
                <w:lang w:val="sk-SK"/>
              </w:rPr>
              <w:t xml:space="preserve">účania,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uviesť frekvenciu a spôsob aktualizácie investičného odporúčania, ak sa aktualizácia investičného odporúčania plánuje a údaje o prípadnej zmene v týchto skutočnostiach, </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uviesť dátum, kedy bolo investičné odporúčanie po prvýkrát možné zverejneniť a osobitne uviesť dátum a čas, ku ktorému sa vzťahuje cena finančného nástroja uvedená v investičnom odporúčaní,</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rPr>
            </w:pPr>
            <w:r>
              <w:rPr>
                <w:rFonts w:ascii="Times New Roman" w:hAnsi="Times New Roman" w:cs="Times New Roman"/>
                <w:sz w:val="24"/>
                <w:szCs w:val="24"/>
              </w:rPr>
              <w:t>ak sa investičné odporúčanie odlišuje od odporúčania týkajúceho sa toho istého finančného nástroja alebo emitenta vydaného počas obdobia 12 kalendárnych mesiacov predchádzajúcich vydaniu zmeneného odporúčania, uviesť presný a zrozumiteľný  údaj o  zmene a jej obsahu a dátum pôvodného odporúčania.</w:t>
            </w:r>
          </w:p>
          <w:p>
            <w:pPr>
              <w:pStyle w:val="Point1"/>
              <w:spacing w:before="0" w:after="0"/>
              <w:ind w:left="0" w:firstLine="0"/>
              <w:rPr>
                <w:rFonts w:ascii="Times New Roman" w:hAnsi="Times New Roman" w:cs="Times New Roman"/>
                <w:sz w:val="24"/>
                <w:szCs w:val="24"/>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rPr>
              <w:t>Ak by rozsah úplného uvedenia údajov podľa odseku 1 písm. a) až d) bol neprimeraný k rozsahu investičného odporúčania je možné tieto údaje nahradiť presným a zrozumiteľným odkazom na miesto, kde má verejnosť priamy prístup k požadovanej informácii alebo priamym odkazom na internetovú stránku povinnej osoby obsahujúcej tento údaj; to neplat</w:t>
            </w:r>
            <w:r>
              <w:rPr>
                <w:rFonts w:ascii="Times New Roman" w:hAnsi="Times New Roman" w:cs="Times New Roman"/>
                <w:sz w:val="24"/>
                <w:szCs w:val="24"/>
              </w:rPr>
              <w:t>í</w:t>
            </w:r>
            <w:r>
              <w:rPr>
                <w:rFonts w:ascii="Times New Roman" w:hAnsi="Times New Roman" w:cs="Times New Roman"/>
                <w:sz w:val="24"/>
                <w:szCs w:val="24"/>
              </w:rPr>
              <w:t>,  ak došlo k zmene v použitej metodike alebo vo východiskách investičného odporúčania. V prípade investičných odporúčaní, ktoré nemajú písomnú formu sa povinnosť  podľa odseku 1 pokladá za splnenú aj, ak je uvedené miesto, kde sú tieto informácie  priamo</w:t>
            </w:r>
            <w:r>
              <w:rPr>
                <w:rFonts w:ascii="Times New Roman" w:hAnsi="Times New Roman" w:cs="Times New Roman"/>
                <w:sz w:val="24"/>
                <w:szCs w:val="24"/>
              </w:rPr>
              <w:t xml:space="preserve"> dostupné verejnosti  alebo ak je uvedený odkaz na internetovú stránku obsahujúcu príslušné údaje.</w:t>
            </w:r>
          </w:p>
          <w:p>
            <w:pPr>
              <w:pStyle w:val="ManualNumPar1"/>
              <w:spacing w:before="0" w:after="0"/>
              <w:ind w:left="0" w:firstLine="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Všeobecný štandard zverejňovania záujmov a konfliktov záujmov</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hanging="70"/>
              <w:rPr>
                <w:rFonts w:ascii="Times New Roman" w:hAnsi="Times New Roman" w:cs="Times New Roman"/>
                <w:sz w:val="24"/>
                <w:szCs w:val="24"/>
                <w:lang w:val="sk-SK"/>
              </w:rPr>
            </w:pPr>
            <w:r>
              <w:rPr>
                <w:rFonts w:ascii="Times New Roman" w:hAnsi="Times New Roman" w:cs="Times New Roman"/>
                <w:sz w:val="24"/>
                <w:szCs w:val="24"/>
                <w:lang w:val="sk-SK"/>
              </w:rPr>
              <w:t>1.</w:t>
              <w:tab/>
              <w:t>Členské štáty zabezpečia zavedenie primeraného predpisu zabezpečujúceho, že príslušné osoby zverejňujú všetky vzťahy a okolnosti, pri ktorých sa môže odôvodnene očakávať, že narušia objektivitu odporúčania, najmä ak príslušné osoby majú významný finančný podiel na jednom alebo viacerých finančných nástrojoch, k</w:t>
            </w:r>
            <w:r>
              <w:rPr>
                <w:rFonts w:ascii="Times New Roman" w:hAnsi="Times New Roman" w:cs="Times New Roman"/>
                <w:sz w:val="24"/>
                <w:szCs w:val="24"/>
                <w:lang w:val="sk-SK"/>
              </w:rPr>
              <w:t>t</w:t>
            </w:r>
            <w:r>
              <w:rPr>
                <w:rFonts w:ascii="Times New Roman" w:hAnsi="Times New Roman" w:cs="Times New Roman"/>
                <w:sz w:val="24"/>
                <w:szCs w:val="24"/>
                <w:lang w:val="sk-SK"/>
              </w:rPr>
              <w:t>oré sú predmetom odporúčania, alebo významný konflikt záujmov vzhľadom na emitenta, ktorého sa odporúčanie týka.</w:t>
            </w:r>
          </w:p>
          <w:p>
            <w:pPr>
              <w:pStyle w:val="Text1"/>
              <w:spacing w:before="0" w:after="0"/>
              <w:ind w:left="71"/>
              <w:rPr>
                <w:rFonts w:ascii="Times New Roman" w:hAnsi="Times New Roman" w:cs="Times New Roman"/>
                <w:sz w:val="24"/>
                <w:szCs w:val="24"/>
                <w:lang w:val="sk-SK"/>
              </w:rPr>
            </w:pPr>
            <w:r>
              <w:rPr>
                <w:rFonts w:ascii="Times New Roman" w:hAnsi="Times New Roman" w:cs="Times New Roman"/>
                <w:sz w:val="24"/>
                <w:szCs w:val="24"/>
                <w:lang w:val="sk-SK"/>
              </w:rPr>
              <w:t xml:space="preserve">Ak príslušná osoba je právnická osoba, táto požiadavka sa vzťahuje aj na akékoľvek právnické alebo fyzické osoby pre ňu pracujúce na základe pracovnej zmluvy alebo inak, ktoré sa zúčastnili prípravy odporúčania. </w:t>
            </w: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Text1"/>
              <w:spacing w:before="0" w:after="0"/>
              <w:ind w:left="851"/>
              <w:rPr>
                <w:rFonts w:ascii="Times New Roman" w:hAnsi="Times New Roman" w:cs="Times New Roman"/>
                <w:sz w:val="24"/>
                <w:szCs w:val="24"/>
                <w:lang w:val="sk-SK"/>
              </w:rPr>
            </w:pPr>
          </w:p>
          <w:p>
            <w:pPr>
              <w:pStyle w:val="ManualNumPar1"/>
              <w:spacing w:before="0" w:after="0"/>
              <w:ind w:left="71" w:hanging="70"/>
              <w:rPr>
                <w:rFonts w:ascii="Times New Roman" w:hAnsi="Times New Roman" w:cs="Times New Roman"/>
                <w:sz w:val="24"/>
                <w:szCs w:val="24"/>
                <w:lang w:val="sk-SK"/>
              </w:rPr>
            </w:pPr>
            <w:r>
              <w:rPr>
                <w:rFonts w:ascii="Times New Roman" w:hAnsi="Times New Roman" w:cs="Times New Roman"/>
                <w:sz w:val="24"/>
                <w:szCs w:val="24"/>
                <w:lang w:val="sk-SK"/>
              </w:rPr>
              <w:t>2.</w:t>
              <w:tab/>
              <w:t>Ak príslušná osoba je právnická osoba, informácie, ktoré majú byť zverejnené v súlade s odsekom 1 musia obsahovať aspoň nasledovné:</w:t>
            </w:r>
          </w:p>
          <w:p>
            <w:pPr>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(a)</w:t>
              <w:tab/>
              <w:t>akékoľvek záujmy alebo konflikty záujmov príslušnej osoby alebo spriaznených právnických osôb, ktoré sú dostupné alebo pri ktorých sa odôvodnene predpokladá, že sú dostupné osobám zainteresovaným na príprave odporúčania;</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(b)</w:t>
              <w:tab/>
              <w:t>akékoľvek záujmy alebo konflikty záujmov príslušnej osoby alebo spriaznených právnických osôb známe osobám, ktoré napriek tomu, že neboli zapojené do prípravy odporúčania, mali, alebo o ktorých sa odôvodnene môže predpokladať, že majú, prístup k odporúčaniu pred jeho rozšírením medzi zákazníkov alebo verejnosť.</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3.Členské štáty zabezpečia zavedenie primeraného predpisu zabezpečujúceho, že odporúčanie ako také bude obsahovať zverejnenia uvedené v odsekoch 1 a 2. Tam, kde by takéto zverejnenia boli neúmerne k dĺžke distribuovaného odporúčania,  je postačujúce v odporúčaní a</w:t>
            </w:r>
            <w:r>
              <w:rPr>
                <w:rFonts w:ascii="Times New Roman" w:hAnsi="Times New Roman" w:cs="Times New Roman"/>
                <w:sz w:val="24"/>
                <w:szCs w:val="24"/>
                <w:lang w:val="sk-SK"/>
              </w:rPr>
              <w:t>k</w:t>
            </w:r>
            <w:r>
              <w:rPr>
                <w:rFonts w:ascii="Times New Roman" w:hAnsi="Times New Roman" w:cs="Times New Roman"/>
                <w:sz w:val="24"/>
                <w:szCs w:val="24"/>
                <w:lang w:val="sk-SK"/>
              </w:rPr>
              <w:t>o takom uviesť jasný a markantný odkaz na miesto, kde má verejnosť priamy a jednoduchý prístup k takýmto zverejneniam, ako je napríklad priama internetová linka na zverejnenie na príslušnej internetovej stránke príslušnej osoby.</w:t>
            </w: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4.</w:t>
              <w:tab/>
              <w:t>Členské štáty zabezpečia zavedenie primeraného predpisu zabezpečujúceho, že požiadavky ustanovené v odseku 1 budú upravené tak, aby neboli neúmerné v prípade odporúčaní, ktoré nemajú písomnú formu.</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rPr>
            </w:pPr>
            <w:r>
              <w:rPr>
                <w:rFonts w:ascii="Times New Roman" w:hAnsi="Times New Roman" w:cs="Times New Roman"/>
                <w:sz w:val="24"/>
                <w:szCs w:val="24"/>
              </w:rPr>
              <w:t>5.Odseky 1 až 3 sa neuplatnia na novinárov, ktorí v členských štátoch podliehajú rovnocennému primeranému predpisu, vrátane rovnocennej primeranej samoregulácie, pod podmienkou, že takýto predpis dosahuje podobné účinky ako predpisy odsekov 1 až 3.</w:t>
            </w:r>
          </w:p>
          <w:p>
            <w:pPr>
              <w:rPr>
                <w:rFonts w:ascii="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tabs>
                <w:tab w:val="left" w:pos="356"/>
              </w:tabs>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tabs>
                <w:tab w:val="left" w:pos="356"/>
              </w:tabs>
              <w:rPr>
                <w:rFonts w:ascii="Times New Roman" w:hAnsi="Times New Roman" w:cs="Times New Roman"/>
                <w:sz w:val="24"/>
                <w:szCs w:val="24"/>
                <w:lang w:val="sk-SK"/>
              </w:rPr>
            </w:pPr>
          </w:p>
          <w:p>
            <w:pPr>
              <w:tabs>
                <w:tab w:val="left" w:pos="356"/>
              </w:tabs>
              <w:rPr>
                <w:rFonts w:ascii="Times New Roman" w:hAnsi="Times New Roman" w:cs="Times New Roman"/>
                <w:sz w:val="24"/>
                <w:szCs w:val="24"/>
                <w:lang w:val="sk-SK"/>
              </w:rPr>
            </w:pPr>
          </w:p>
          <w:p>
            <w:pPr>
              <w:tabs>
                <w:tab w:val="left" w:pos="356"/>
              </w:tabs>
              <w:rPr>
                <w:rFonts w:ascii="Times New Roman" w:hAnsi="Times New Roman" w:cs="Times New Roman"/>
                <w:sz w:val="24"/>
                <w:szCs w:val="24"/>
                <w:lang w:val="sk-SK"/>
              </w:rPr>
            </w:pPr>
          </w:p>
          <w:p>
            <w:pPr>
              <w:tabs>
                <w:tab w:val="left" w:pos="356"/>
              </w:tabs>
              <w:rPr>
                <w:rFonts w:ascii="Times New Roman" w:hAnsi="Times New Roman" w:cs="Times New Roman"/>
                <w:sz w:val="24"/>
                <w:szCs w:val="24"/>
                <w:lang w:val="sk-SK"/>
              </w:rPr>
            </w:pPr>
            <w:r>
              <w:rPr>
                <w:rFonts w:ascii="Times New Roman" w:hAnsi="Times New Roman" w:cs="Times New Roman"/>
                <w:sz w:val="24"/>
                <w:szCs w:val="24"/>
                <w:lang w:val="sk-SK"/>
              </w:rPr>
              <w:t xml:space="preserve"> § 132i</w:t>
            </w:r>
          </w:p>
          <w:p>
            <w:pPr>
              <w:rPr>
                <w:rFonts w:ascii="Times New Roman" w:hAnsi="Times New Roman" w:cs="Times New Roman"/>
                <w:sz w:val="24"/>
                <w:szCs w:val="24"/>
                <w:lang w:val="sk-SK"/>
              </w:rPr>
            </w:pPr>
            <w:r>
              <w:rPr>
                <w:rFonts w:ascii="Times New Roman" w:hAnsi="Times New Roman" w:cs="Times New Roman"/>
                <w:sz w:val="24"/>
                <w:szCs w:val="24"/>
                <w:lang w:val="sk-SK"/>
              </w:rPr>
              <w:t>ods.1</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tabs>
                <w:tab w:val="left" w:pos="356"/>
              </w:tabs>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ods.2</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ods.3</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ind w:right="-70"/>
              <w:rPr>
                <w:rFonts w:ascii="Times New Roman" w:hAnsi="Times New Roman" w:cs="Times New Roman"/>
                <w:sz w:val="24"/>
                <w:szCs w:val="24"/>
                <w:lang w:val="sk-SK"/>
              </w:rPr>
            </w:pPr>
            <w:r>
              <w:rPr>
                <w:rFonts w:ascii="Times New Roman" w:hAnsi="Times New Roman" w:cs="Times New Roman"/>
                <w:sz w:val="24"/>
                <w:szCs w:val="24"/>
                <w:lang w:val="sk-SK"/>
              </w:rPr>
              <w:t>§ 132m ods. 6</w:t>
            </w:r>
          </w:p>
          <w:p>
            <w:pPr>
              <w:rPr>
                <w:rFonts w:ascii="Times New Roman" w:hAnsi="Times New Roman" w:cs="Times New Roman"/>
                <w:sz w:val="24"/>
                <w:szCs w:val="24"/>
                <w:lang w:val="sk-SK"/>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pStyle w:val="Text1"/>
              <w:spacing w:before="0" w:after="0"/>
              <w:ind w:left="0"/>
              <w:rPr>
                <w:rFonts w:ascii="Times New Roman" w:hAnsi="Times New Roman" w:cs="Times New Roman"/>
                <w:sz w:val="24"/>
                <w:szCs w:val="24"/>
              </w:rPr>
            </w:pPr>
          </w:p>
          <w:p>
            <w:pPr>
              <w:pStyle w:val="Text1"/>
              <w:spacing w:before="0" w:after="0"/>
              <w:ind w:left="0"/>
              <w:rPr>
                <w:rFonts w:ascii="Times New Roman" w:hAnsi="Times New Roman" w:cs="Times New Roman"/>
                <w:sz w:val="24"/>
                <w:szCs w:val="24"/>
              </w:rPr>
            </w:pPr>
          </w:p>
          <w:p>
            <w:pPr>
              <w:pStyle w:val="Text1"/>
              <w:spacing w:before="0" w:after="0"/>
              <w:ind w:left="0"/>
              <w:rPr>
                <w:rFonts w:ascii="Times New Roman" w:hAnsi="Times New Roman" w:cs="Times New Roman"/>
                <w:sz w:val="24"/>
                <w:szCs w:val="24"/>
              </w:rPr>
            </w:pPr>
          </w:p>
          <w:p>
            <w:pPr>
              <w:pStyle w:val="Text1"/>
              <w:spacing w:before="0" w:after="0"/>
              <w:ind w:left="0"/>
              <w:rPr>
                <w:rFonts w:ascii="Times New Roman" w:hAnsi="Times New Roman" w:cs="Times New Roman"/>
                <w:sz w:val="24"/>
                <w:szCs w:val="24"/>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Povinná osoba je pri vypracovaní  alebo rozširovaní investičných odporúčaní  povinná uviesť  svoje vzťahy s inými osobami a okolnosti, ktoré by mohli mať vplyv na objektivitu investičných odporúčaní v rozsahu podľa tohto zákona. Vzťahmi s inými osobami a okolnosťami, ktoré by mohli mať vplyv na objektivitu investičných odporúčaní  sa rozumie najmä, ak  povinné osoby majú finančný záujem na jednom alebo viacerých finančných nástrojoch, ktoré sú predmetom investičné</w:t>
            </w:r>
            <w:r>
              <w:rPr>
                <w:rFonts w:ascii="Times New Roman" w:hAnsi="Times New Roman" w:cs="Times New Roman"/>
                <w:sz w:val="24"/>
                <w:szCs w:val="24"/>
                <w:lang w:val="sk-SK"/>
              </w:rPr>
              <w:t>h</w:t>
            </w:r>
            <w:r>
              <w:rPr>
                <w:rFonts w:ascii="Times New Roman" w:hAnsi="Times New Roman" w:cs="Times New Roman"/>
                <w:sz w:val="24"/>
                <w:szCs w:val="24"/>
                <w:lang w:val="sk-SK"/>
              </w:rPr>
              <w:t xml:space="preserve">o odporúčania, alebo ak majú konflikt záujmov vo vzťahu k  emitentovi, ktorého sa investičné odporúčanie týka.   Ak je povinná osoba právnickou osobou, táto povinnosť sa vzťahuje aj na osoby pre ňu pracujúce na základe pracovnoprávneho vzťahu alebo iného </w:t>
            </w:r>
            <w:r>
              <w:rPr>
                <w:rFonts w:ascii="Times New Roman" w:hAnsi="Times New Roman" w:cs="Times New Roman"/>
                <w:sz w:val="24"/>
                <w:szCs w:val="24"/>
                <w:lang w:val="sk-SK"/>
              </w:rPr>
              <w:t>p</w:t>
            </w:r>
            <w:r>
              <w:rPr>
                <w:rFonts w:ascii="Times New Roman" w:hAnsi="Times New Roman" w:cs="Times New Roman"/>
                <w:sz w:val="24"/>
                <w:szCs w:val="24"/>
                <w:lang w:val="sk-SK"/>
              </w:rPr>
              <w:t>rávneho vzťahu a ktoré sa zúčastnili prípravy investičného odporúčania.</w:t>
            </w: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Ak je povinná osoba právnickou osobou, investičné odporúčanie musí obsahovať akékoľvek záujmy alebo konflikty záujmov tejto právnickej osoby alebo osôb s ňou majetkovo prepojených a personálne prepojených, ktoré sú známe  alebo, o ktorých možno odôvodnene predpokladať, že sú známe osobám, ktoré sa pre ňu zúčastňujú pri príprave investičného odporúčania, ako aj osobám pre ňu pracujúcim, ktoré sa nezúčastnili prípravy investičného odpor</w:t>
            </w:r>
            <w:r>
              <w:rPr>
                <w:rFonts w:ascii="Times New Roman" w:hAnsi="Times New Roman" w:cs="Times New Roman"/>
                <w:sz w:val="24"/>
                <w:szCs w:val="24"/>
                <w:lang w:val="sk-SK"/>
              </w:rPr>
              <w:t>ú</w:t>
            </w:r>
            <w:r>
              <w:rPr>
                <w:rFonts w:ascii="Times New Roman" w:hAnsi="Times New Roman" w:cs="Times New Roman"/>
                <w:sz w:val="24"/>
                <w:szCs w:val="24"/>
                <w:lang w:val="sk-SK"/>
              </w:rPr>
              <w:t>čania, ale  mali alebo o ktorých možno odôvodnene predpokladať, že mohli mať prístup k investičnému odporúčaniu pred jeho zverejnením alebo odovzdaním  zákazníkovi.</w:t>
            </w: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Ak by rozsah úplného uvedenia údajov podľa odsekov 1 a 2 bol neprimeraný k rozsahu investičného odporúčania, je možné tieto údaje nahradiť presným a zrozumiteľným odkazom na miesto, kde má verejnosť priamy prístup k požadovanej informácii alebo priamym odkazom na internetovú stránku  osoby  podľa odseku 1 obsahujúcej tento údaj. V prípade</w:t>
            </w:r>
            <w:r>
              <w:rPr>
                <w:rFonts w:ascii="Times New Roman" w:hAnsi="Times New Roman" w:cs="Times New Roman"/>
                <w:sz w:val="24"/>
                <w:szCs w:val="24"/>
                <w:lang w:val="sk-SK"/>
              </w:rPr>
              <w:t xml:space="preserve"> </w:t>
            </w:r>
            <w:r>
              <w:rPr>
                <w:rFonts w:ascii="Times New Roman" w:hAnsi="Times New Roman" w:cs="Times New Roman"/>
                <w:sz w:val="24"/>
                <w:szCs w:val="24"/>
                <w:lang w:val="sk-SK"/>
              </w:rPr>
              <w:t>investičných odporúčaní, ktoré nemajú písomnú formu sa povinnosť  podľa odsekov 1 a 2 pokladá za splnenú aj, ak je uvedené miesto, kde sú tieto informácie  priamo dostupné verejnosti  alebo ak je uvedený odkaz na internetovú stránku obsahujúcu príslušné ú</w:t>
            </w:r>
            <w:r>
              <w:rPr>
                <w:rFonts w:ascii="Times New Roman" w:hAnsi="Times New Roman" w:cs="Times New Roman"/>
                <w:sz w:val="24"/>
                <w:szCs w:val="24"/>
                <w:lang w:val="sk-SK"/>
              </w:rPr>
              <w:t>daje.</w:t>
            </w:r>
          </w:p>
          <w:p>
            <w:pPr>
              <w:pStyle w:val="Titrearticle"/>
              <w:spacing w:before="0" w:after="0"/>
              <w:jc w:val="both"/>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rPr>
              <w:t>Ustanovenia § 132f, 132g a 132i sa nevzťahujú na novinárov, ktorí pri výkone činnosti postupujú podľa osobitného predpisu,</w:t>
            </w:r>
            <w:r>
              <w:rPr>
                <w:rFonts w:ascii="Times New Roman" w:hAnsi="Times New Roman" w:cs="Times New Roman"/>
                <w:sz w:val="24"/>
                <w:szCs w:val="24"/>
                <w:vertAlign w:val="superscript"/>
              </w:rPr>
              <w:t xml:space="preserve">107c) </w:t>
            </w:r>
            <w:r>
              <w:rPr>
                <w:rFonts w:ascii="Times New Roman" w:hAnsi="Times New Roman" w:cs="Times New Roman"/>
                <w:sz w:val="24"/>
                <w:szCs w:val="24"/>
              </w:rPr>
              <w:t xml:space="preserve">podľa právneho predpisu členského štátu alebo podľa vnútorných pravidiel činnosti, ak tieto predpisy alebo pravidlá obsahujú ustanovenia zabezpečujú  plnenie povinností podľa § 132f, 132g a 132i.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Ú</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Dodatočné povinnosti týkajúce sa zverejňovania záujmov a konfliktov záujmov</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1.</w:t>
              <w:tab/>
              <w:t>Okrem povinností ustanovených v článku 5, členské štáty budú požadovať, aby akékoľvek odporúčanie vypracované nezávislým analytikom, investičnou firmou, úverovou inštitúciou, ktoroukoľvek spriaznenou právnickou osobou, alebo akoukoľvek inou príslušnou osobou, ktorej hlavnou podnikateľskou činnosťou je vypracovávanie o</w:t>
            </w:r>
            <w:r>
              <w:rPr>
                <w:rFonts w:ascii="Times New Roman" w:hAnsi="Times New Roman" w:cs="Times New Roman"/>
                <w:sz w:val="24"/>
                <w:szCs w:val="24"/>
                <w:lang w:val="sk-SK"/>
              </w:rPr>
              <w:t>d</w:t>
            </w:r>
            <w:r>
              <w:rPr>
                <w:rFonts w:ascii="Times New Roman" w:hAnsi="Times New Roman" w:cs="Times New Roman"/>
                <w:sz w:val="24"/>
                <w:szCs w:val="24"/>
                <w:lang w:val="sk-SK"/>
              </w:rPr>
              <w:t>porúčaní,  jasne a markantne zverejňovalo nasledovné informácie o ich záujmoch a konfliktoch záujmov:</w:t>
            </w:r>
          </w:p>
          <w:p>
            <w:pPr>
              <w:rPr>
                <w:rFonts w:ascii="Times New Roman" w:hAnsi="Times New Roman" w:cs="Times New Roman"/>
                <w:sz w:val="24"/>
                <w:szCs w:val="24"/>
                <w:lang w:val="sk-SK"/>
              </w:rPr>
            </w:pPr>
          </w:p>
          <w:p>
            <w:pPr>
              <w:pStyle w:val="Point1"/>
              <w:spacing w:before="0" w:after="0"/>
              <w:ind w:left="213" w:firstLine="0"/>
              <w:rPr>
                <w:rFonts w:ascii="Times New Roman" w:hAnsi="Times New Roman" w:cs="Times New Roman"/>
                <w:sz w:val="24"/>
                <w:szCs w:val="24"/>
                <w:lang w:val="sk-SK"/>
              </w:rPr>
            </w:pPr>
            <w:r>
              <w:rPr>
                <w:rFonts w:ascii="Times New Roman" w:hAnsi="Times New Roman" w:cs="Times New Roman"/>
                <w:sz w:val="24"/>
                <w:szCs w:val="24"/>
                <w:lang w:val="sk-SK"/>
              </w:rPr>
              <w:t>(a)</w:t>
              <w:tab/>
              <w:t>majoritný akcionársky podiel, ktorý je medzi príslušnou osobou alebo ktoroukoľvek spriaznenou právnickou osobou na jednej strane a emitentom na strane druhej. Tento majoritný akcionársky podiel obsahuje aspoň nasledujúce prípady:</w:t>
            </w:r>
          </w:p>
          <w:p>
            <w:pPr>
              <w:pStyle w:val="Point1"/>
              <w:spacing w:before="0" w:after="0"/>
              <w:ind w:left="213" w:firstLine="0"/>
              <w:rPr>
                <w:rFonts w:ascii="Times New Roman" w:hAnsi="Times New Roman" w:cs="Times New Roman"/>
                <w:sz w:val="24"/>
                <w:szCs w:val="24"/>
                <w:lang w:val="sk-SK"/>
              </w:rPr>
            </w:pPr>
          </w:p>
          <w:p>
            <w:pPr>
              <w:pStyle w:val="ListDash1"/>
              <w:numPr>
                <w:numId w:val="0"/>
              </w:numPr>
              <w:tabs>
                <w:tab w:val="num" w:pos="360"/>
                <w:tab w:val="clear" w:pos="1134"/>
              </w:tabs>
              <w:spacing w:before="0" w:after="0"/>
              <w:ind w:left="355" w:firstLine="0"/>
              <w:rPr>
                <w:rFonts w:ascii="Times New Roman" w:hAnsi="Times New Roman" w:cs="Times New Roman"/>
                <w:sz w:val="24"/>
                <w:szCs w:val="24"/>
                <w:lang w:val="sk-SK"/>
              </w:rPr>
            </w:pPr>
            <w:r>
              <w:rPr>
                <w:rFonts w:ascii="Times New Roman" w:hAnsi="Times New Roman" w:cs="Times New Roman"/>
                <w:sz w:val="24"/>
                <w:szCs w:val="24"/>
                <w:lang w:val="sk-SK"/>
              </w:rPr>
              <w:t>-</w:t>
              <w:tab/>
              <w:t>ak akcionárske podiely presahujúce 5% celkového emitovaného akciového kapitálu emitenta vlastní príslušná osoba alebo ktorákoľvek spriaznená právnická osoba, alebo</w:t>
            </w:r>
          </w:p>
          <w:p>
            <w:pPr>
              <w:pStyle w:val="ListDash1"/>
              <w:numPr>
                <w:numId w:val="0"/>
              </w:numPr>
              <w:tabs>
                <w:tab w:val="num" w:pos="360"/>
                <w:tab w:val="clear" w:pos="1134"/>
              </w:tabs>
              <w:spacing w:before="0" w:after="0"/>
              <w:ind w:left="355" w:firstLine="0"/>
              <w:rPr>
                <w:rFonts w:ascii="Times New Roman" w:hAnsi="Times New Roman" w:cs="Times New Roman"/>
                <w:sz w:val="24"/>
                <w:szCs w:val="24"/>
                <w:lang w:val="sk-SK"/>
              </w:rPr>
            </w:pPr>
            <w:r>
              <w:rPr>
                <w:rFonts w:ascii="Times New Roman" w:hAnsi="Times New Roman" w:cs="Times New Roman"/>
                <w:sz w:val="24"/>
                <w:szCs w:val="24"/>
                <w:lang w:val="sk-SK"/>
              </w:rPr>
              <w:t>-</w:t>
              <w:tab/>
            </w:r>
            <w:r>
              <w:rPr>
                <w:rFonts w:ascii="Times New Roman" w:hAnsi="Times New Roman" w:cs="Times New Roman"/>
                <w:sz w:val="24"/>
                <w:szCs w:val="24"/>
                <w:lang w:val="sk-SK"/>
              </w:rPr>
              <w:t>ak akcionárske podiely presahujúce 5% celkového emitovaného akciového kapitálu príslušnej osoby alebo ktorejkoľvek spriaznenej právnickej osoby vlastní emitent.</w:t>
            </w:r>
          </w:p>
          <w:p>
            <w:pPr>
              <w:pStyle w:val="Text2"/>
              <w:spacing w:before="0" w:after="0"/>
              <w:ind w:left="0"/>
              <w:rPr>
                <w:rFonts w:ascii="Times New Roman" w:hAnsi="Times New Roman" w:cs="Times New Roman"/>
                <w:sz w:val="24"/>
                <w:szCs w:val="24"/>
                <w:lang w:val="sk-SK"/>
              </w:rPr>
            </w:pPr>
            <w:r>
              <w:rPr>
                <w:rFonts w:ascii="Times New Roman" w:hAnsi="Times New Roman" w:cs="Times New Roman"/>
                <w:sz w:val="24"/>
                <w:szCs w:val="24"/>
                <w:lang w:val="sk-SK"/>
              </w:rPr>
              <w:t>Členské štáty môžu ustanoviť nižšie limity ako je 5%-ný limit stanovený v týchto dvoch prípadoc</w:t>
            </w:r>
            <w:r>
              <w:rPr>
                <w:rFonts w:ascii="Times New Roman" w:hAnsi="Times New Roman" w:cs="Times New Roman"/>
                <w:sz w:val="24"/>
                <w:szCs w:val="24"/>
                <w:lang w:val="sk-SK"/>
              </w:rPr>
              <w:t>h;</w:t>
            </w:r>
          </w:p>
          <w:p>
            <w:pPr>
              <w:pStyle w:val="Text2"/>
              <w:spacing w:before="0" w:after="0"/>
              <w:ind w:left="0"/>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(b)</w:t>
              <w:tab/>
              <w:t>ostatné významné finančné podiely, ktoré vlastní príslušná osoba alebo ktorákoľvek spriaznená právnická osoba vo vzťahu k emitentovi;</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ind w:left="213" w:firstLine="0"/>
              <w:rPr>
                <w:rFonts w:ascii="Times New Roman" w:hAnsi="Times New Roman" w:cs="Times New Roman"/>
                <w:sz w:val="24"/>
                <w:szCs w:val="24"/>
                <w:lang w:val="sk-SK"/>
              </w:rPr>
            </w:pPr>
            <w:r>
              <w:rPr>
                <w:rFonts w:ascii="Times New Roman" w:hAnsi="Times New Roman" w:cs="Times New Roman"/>
                <w:sz w:val="24"/>
                <w:szCs w:val="24"/>
                <w:lang w:val="sk-SK"/>
              </w:rPr>
              <w:t>(c)</w:t>
              <w:tab/>
              <w:t>ak je to vhodné, vyhlásenie, že príslušná osoba alebo ktorákoľvek spriaznená právnická osoba je tvorca trhu alebo poskytovateľ likvidity finančných nástrojov emitenta;</w:t>
            </w:r>
          </w:p>
          <w:p>
            <w:pPr>
              <w:pStyle w:val="Point1"/>
              <w:spacing w:before="0" w:after="0"/>
              <w:ind w:left="1418"/>
              <w:rPr>
                <w:rFonts w:ascii="Times New Roman" w:hAnsi="Times New Roman" w:cs="Times New Roman"/>
                <w:sz w:val="24"/>
                <w:szCs w:val="24"/>
                <w:lang w:val="sk-SK"/>
              </w:rPr>
            </w:pPr>
          </w:p>
          <w:p>
            <w:pPr>
              <w:pStyle w:val="Point1"/>
              <w:spacing w:before="0" w:after="0"/>
              <w:ind w:left="1418"/>
              <w:rPr>
                <w:rFonts w:ascii="Times New Roman" w:hAnsi="Times New Roman" w:cs="Times New Roman"/>
                <w:sz w:val="24"/>
                <w:szCs w:val="24"/>
                <w:lang w:val="sk-SK"/>
              </w:rPr>
            </w:pPr>
          </w:p>
          <w:p>
            <w:pPr>
              <w:pStyle w:val="Point1"/>
              <w:spacing w:before="0" w:after="0"/>
              <w:ind w:left="1418"/>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(d)</w:t>
              <w:tab/>
              <w:t>ak je to vhodné, vyhlásenie, že príslušná osoba alebo ktorákoľvek spriaznená právnická osoba bola počas predchádzajúcich dvanástich mesiacov lead manažérom alebo co-lead manažérom akejkoľvek zverejnenej ponuky finančných nástrojov emitenta;</w:t>
            </w:r>
          </w:p>
          <w:p>
            <w:pPr>
              <w:pStyle w:val="Point1"/>
              <w:spacing w:before="0" w:after="0"/>
              <w:ind w:left="1418"/>
              <w:rPr>
                <w:rFonts w:ascii="Times New Roman" w:hAnsi="Times New Roman" w:cs="Times New Roman"/>
                <w:sz w:val="24"/>
                <w:szCs w:val="24"/>
                <w:lang w:val="sk-SK"/>
              </w:rPr>
            </w:pPr>
          </w:p>
          <w:p>
            <w:pPr>
              <w:pStyle w:val="Point1"/>
              <w:spacing w:before="0" w:after="0"/>
              <w:ind w:left="1418"/>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(e)</w:t>
              <w:tab/>
              <w:t>ak je to vhodné, vyhlásenie, že príslušná osoba alebo ktorákoľvek spriaznená právnická osoba je zmluvnou stranou v akejkoľvek inej zmluve s emitentom týkajúcej sa investičných bankových služieb, pod podmienkou, že toto nebude mať za následok zverejnenie akýchkoľvek dôverných obchodných informácií, a že táto zmluva bola v platnosti počas predchádzajúcich dvanástich mesiacov alebo počas toho istého obdobia viedla k platbe kompenzácie alebo prísľubu za</w:t>
            </w:r>
            <w:r>
              <w:rPr>
                <w:rFonts w:ascii="Times New Roman" w:hAnsi="Times New Roman" w:cs="Times New Roman"/>
                <w:sz w:val="24"/>
                <w:szCs w:val="24"/>
                <w:lang w:val="sk-SK"/>
              </w:rPr>
              <w:t>platenia kompenzácie;</w:t>
            </w:r>
          </w:p>
          <w:p>
            <w:pPr>
              <w:pStyle w:val="Point1"/>
              <w:spacing w:before="0" w:after="0"/>
              <w:ind w:left="71" w:firstLine="0"/>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p>
          <w:p>
            <w:pPr>
              <w:pStyle w:val="Point1"/>
              <w:spacing w:before="0" w:after="0"/>
              <w:ind w:left="1418"/>
              <w:rPr>
                <w:rFonts w:ascii="Times New Roman" w:hAnsi="Times New Roman" w:cs="Times New Roman"/>
                <w:sz w:val="24"/>
                <w:szCs w:val="24"/>
                <w:lang w:val="sk-SK"/>
              </w:rPr>
            </w:pPr>
          </w:p>
          <w:p>
            <w:pPr>
              <w:pStyle w:val="Point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(f)</w:t>
              <w:tab/>
              <w:t>ak je to vhodné, vyhlásenie, že príslušná osoba alebo ktorákoľvek spriaznená právnická osoba je zmluvnou stranou zmluvy s emitentom, týkajúcej sa vypracovania odporúčania.</w:t>
            </w: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Point1"/>
              <w:spacing w:before="0" w:after="0"/>
              <w:rPr>
                <w:rFonts w:ascii="Times New Roman" w:hAnsi="Times New Roman" w:cs="Times New Roman"/>
                <w:sz w:val="24"/>
                <w:szCs w:val="24"/>
                <w:lang w:val="sk-SK"/>
              </w:rPr>
            </w:pP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2.Členské štáty budú požadovať zverejnenie, všeobecným spôsobom, platných organizačných a administratívnych opatrení stanovených v rámci investičnej firmy alebo úverovej inštitúcie za účelom predídenia a zamedzenia konfliktov záujmov vo vzťahu k odporúčaniam, vrátane informačných bariér.</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hanging="141"/>
              <w:rPr>
                <w:rFonts w:ascii="Times New Roman" w:hAnsi="Times New Roman" w:cs="Times New Roman"/>
                <w:sz w:val="24"/>
                <w:szCs w:val="24"/>
                <w:lang w:val="sk-SK"/>
              </w:rPr>
            </w:pPr>
            <w:r>
              <w:rPr>
                <w:rFonts w:ascii="Times New Roman" w:hAnsi="Times New Roman" w:cs="Times New Roman"/>
                <w:sz w:val="24"/>
                <w:szCs w:val="24"/>
                <w:lang w:val="sk-SK"/>
              </w:rPr>
              <w:t>3.</w:t>
              <w:tab/>
              <w:t>Členské štáty budú požadovať, aby pre fyzické alebo právnické osoby pracujúce pre investičnú firmu alebo úverovú inštitúciu na základe pracovnej zmluvy alebo inak, a ktoré boli zapojené do prípravy odporúčania, požiadavky druhého pododseku odseku 1 článku 5 obsahov</w:t>
            </w:r>
            <w:r>
              <w:rPr>
                <w:rFonts w:ascii="Times New Roman" w:hAnsi="Times New Roman" w:cs="Times New Roman"/>
                <w:sz w:val="24"/>
                <w:szCs w:val="24"/>
                <w:lang w:val="sk-SK"/>
              </w:rPr>
              <w:t>a</w:t>
            </w:r>
            <w:r>
              <w:rPr>
                <w:rFonts w:ascii="Times New Roman" w:hAnsi="Times New Roman" w:cs="Times New Roman"/>
                <w:sz w:val="24"/>
                <w:szCs w:val="24"/>
                <w:lang w:val="sk-SK"/>
              </w:rPr>
              <w:t>li najmä zverejnenie,  či odmena pre takúto osobu je viazaná na investičné bankové transakcie uskutočnené investičnou firmou alebo úverovou inštitúciou alebo ktoroukoľvek spriaznenou právnickou osobou.</w:t>
            </w:r>
          </w:p>
          <w:p>
            <w:pPr>
              <w:pStyle w:val="Text1"/>
              <w:spacing w:before="0" w:after="0"/>
              <w:ind w:left="71"/>
              <w:rPr>
                <w:rFonts w:ascii="Times New Roman" w:hAnsi="Times New Roman" w:cs="Times New Roman"/>
                <w:sz w:val="24"/>
                <w:szCs w:val="24"/>
                <w:lang w:val="sk-SK"/>
              </w:rPr>
            </w:pPr>
            <w:r>
              <w:rPr>
                <w:rFonts w:ascii="Times New Roman" w:hAnsi="Times New Roman" w:cs="Times New Roman"/>
                <w:sz w:val="24"/>
                <w:szCs w:val="24"/>
                <w:lang w:val="sk-SK"/>
              </w:rPr>
              <w:t>Ak tieto fyzické osoby získajú alebo kúpia akcie emite</w:t>
            </w:r>
            <w:r>
              <w:rPr>
                <w:rFonts w:ascii="Times New Roman" w:hAnsi="Times New Roman" w:cs="Times New Roman"/>
                <w:sz w:val="24"/>
                <w:szCs w:val="24"/>
                <w:lang w:val="sk-SK"/>
              </w:rPr>
              <w:t>ntov pred verejnou ponukou takýchto akcií, bude zverejnená cena,  za ktorú boli akcie nadobudnuté a taktiež dátum nadobudnutia.</w:t>
            </w:r>
          </w:p>
          <w:p>
            <w:pPr>
              <w:pStyle w:val="Text1"/>
              <w:spacing w:before="0" w:after="0"/>
              <w:rPr>
                <w:rFonts w:ascii="Times New Roman" w:hAnsi="Times New Roman" w:cs="Times New Roman"/>
                <w:sz w:val="24"/>
                <w:szCs w:val="24"/>
                <w:lang w:val="sk-SK"/>
              </w:rPr>
            </w:pPr>
          </w:p>
          <w:p>
            <w:pPr>
              <w:pStyle w:val="Text1"/>
              <w:spacing w:before="0" w:after="0"/>
              <w:rPr>
                <w:rFonts w:ascii="Times New Roman" w:hAnsi="Times New Roman" w:cs="Times New Roman"/>
                <w:sz w:val="24"/>
                <w:szCs w:val="24"/>
                <w:lang w:val="sk-SK"/>
              </w:rPr>
            </w:pPr>
          </w:p>
          <w:p>
            <w:pPr>
              <w:pStyle w:val="ManualNumPar1"/>
              <w:spacing w:before="0" w:after="0"/>
              <w:ind w:left="71" w:firstLine="0"/>
              <w:rPr>
                <w:rFonts w:ascii="Times New Roman" w:hAnsi="Times New Roman" w:cs="Times New Roman"/>
                <w:sz w:val="24"/>
                <w:szCs w:val="24"/>
                <w:lang w:val="sk-SK"/>
              </w:rPr>
            </w:pPr>
            <w:r>
              <w:rPr>
                <w:rFonts w:ascii="Times New Roman" w:hAnsi="Times New Roman" w:cs="Times New Roman"/>
                <w:sz w:val="24"/>
                <w:szCs w:val="24"/>
                <w:lang w:val="sk-SK"/>
              </w:rPr>
              <w:t>4.</w:t>
              <w:tab/>
              <w:t xml:space="preserve">Členské štáty budú požadovať, aby investičné firmy a úverové inštitúcie štvrťročne zverejňovali podiel všetkých odporúčaní “kúp”, “podrž”, “predaj” alebo rovnocenné pojmy, ako aj podiel emitentov zodpovedajúcich každej z týchto kategórií, ku ktorej investičná firma alebo úverová inštitúcia dodala významné investičné bankové služby počas predchádzajúcich dvanástich mesiacov.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5.Členské štáty zabezpečia, aby odporúčanie samo osebe obsahovalo zverejnenia požadované v odsekoch 1 až 4. Tam, kde by požiadavky podľa odsekov 1 až 4  boli neúmerné k dĺžke distribuovaného odporúčania, je postačujúce uviesť jasný a markantný odkaz v odporúčaní samotnom na miesto, kde má verejnosť priamy a jednoduchý prístup k takémuto zverejneniu, ako je priama internetová linka na zverejnenie na príslušnej internetovej stránke investičnej firmy alebo úverovej inštitúcie.</w:t>
            </w:r>
          </w:p>
          <w:p>
            <w:pPr>
              <w:pStyle w:val="ManualNumPar1"/>
              <w:spacing w:before="0" w:after="0"/>
              <w:ind w:left="71" w:hanging="71"/>
              <w:rPr>
                <w:rFonts w:ascii="Times New Roman" w:hAnsi="Times New Roman" w:cs="Times New Roman"/>
                <w:sz w:val="24"/>
                <w:szCs w:val="24"/>
                <w:lang w:val="sk-SK"/>
              </w:rPr>
            </w:pPr>
            <w:r>
              <w:rPr>
                <w:rFonts w:ascii="Times New Roman" w:hAnsi="Times New Roman" w:cs="Times New Roman"/>
                <w:sz w:val="24"/>
                <w:szCs w:val="24"/>
                <w:lang w:val="sk-SK"/>
              </w:rPr>
              <w:t>6.Členské štáty zabezpečia zavedenie primeraného predpisu zabezpečujúceho, že požiadavky uvedené v odseku 1 budú upravené tak, aby neboli neúmerné v prípade odporúčaní, ktoré nemajú písomnú formu.</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D</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tabs>
                <w:tab w:val="left" w:pos="356"/>
              </w:tabs>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tabs>
                <w:tab w:val="left" w:pos="356"/>
              </w:tabs>
              <w:rPr>
                <w:rFonts w:ascii="Times New Roman" w:hAnsi="Times New Roman" w:cs="Times New Roman"/>
                <w:sz w:val="24"/>
                <w:szCs w:val="24"/>
                <w:lang w:val="sk-SK"/>
              </w:rPr>
            </w:pPr>
          </w:p>
          <w:p>
            <w:pPr>
              <w:tabs>
                <w:tab w:val="left" w:pos="356"/>
              </w:tabs>
              <w:rPr>
                <w:rFonts w:ascii="Times New Roman" w:hAnsi="Times New Roman" w:cs="Times New Roman"/>
                <w:sz w:val="24"/>
                <w:szCs w:val="24"/>
                <w:lang w:val="sk-SK"/>
              </w:rPr>
            </w:pPr>
          </w:p>
          <w:p>
            <w:pPr>
              <w:tabs>
                <w:tab w:val="left" w:pos="356"/>
              </w:tabs>
              <w:rPr>
                <w:rFonts w:ascii="Times New Roman" w:hAnsi="Times New Roman" w:cs="Times New Roman"/>
                <w:sz w:val="24"/>
                <w:szCs w:val="24"/>
                <w:lang w:val="sk-SK"/>
              </w:rPr>
            </w:pPr>
          </w:p>
          <w:p>
            <w:pPr>
              <w:tabs>
                <w:tab w:val="left" w:pos="356"/>
              </w:tabs>
              <w:rPr>
                <w:rFonts w:ascii="Times New Roman" w:hAnsi="Times New Roman" w:cs="Times New Roman"/>
                <w:sz w:val="24"/>
                <w:szCs w:val="24"/>
                <w:lang w:val="sk-SK"/>
              </w:rPr>
            </w:pPr>
          </w:p>
          <w:p>
            <w:pPr>
              <w:tabs>
                <w:tab w:val="left" w:pos="356"/>
              </w:tabs>
              <w:rPr>
                <w:rFonts w:ascii="Times New Roman" w:hAnsi="Times New Roman" w:cs="Times New Roman"/>
                <w:sz w:val="24"/>
                <w:szCs w:val="24"/>
                <w:lang w:val="sk-SK"/>
              </w:rPr>
            </w:pPr>
            <w:r>
              <w:rPr>
                <w:rFonts w:ascii="Times New Roman" w:hAnsi="Times New Roman" w:cs="Times New Roman"/>
                <w:sz w:val="24"/>
                <w:szCs w:val="24"/>
                <w:lang w:val="sk-SK"/>
              </w:rPr>
              <w:t xml:space="preserve"> § 132j</w:t>
            </w:r>
          </w:p>
          <w:p>
            <w:pPr>
              <w:rPr>
                <w:rFonts w:ascii="Times New Roman" w:hAnsi="Times New Roman" w:cs="Times New Roman"/>
                <w:sz w:val="24"/>
                <w:szCs w:val="24"/>
                <w:lang w:val="sk-SK"/>
              </w:rPr>
            </w:pPr>
            <w:r>
              <w:rPr>
                <w:rFonts w:ascii="Times New Roman" w:hAnsi="Times New Roman" w:cs="Times New Roman"/>
                <w:sz w:val="24"/>
                <w:szCs w:val="24"/>
                <w:lang w:val="sk-SK"/>
              </w:rPr>
              <w:t>ods.1</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pís.a)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pís.b)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pís.c)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pís.d)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pís.f)</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pís.g)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ods.2</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ods.3</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ods.4</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ods.5</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Ak je povinnou osobou nez</w:t>
            </w:r>
            <w:r>
              <w:rPr>
                <w:rFonts w:ascii="Times New Roman" w:hAnsi="Times New Roman" w:cs="Times New Roman"/>
                <w:sz w:val="24"/>
                <w:szCs w:val="24"/>
                <w:lang w:val="sk-SK"/>
              </w:rPr>
              <w:t>ávislý analytik, obchodník s cennými papiermi, banka, právnické osoby s nimi majetkovo prepojené alebo personálne prepojené, osoba, ktorej hlavnou podnikateľskou činnosťou je vypracovávanie investičných odporúčaní musí  investičné odporúčanie obsahovať aj</w:t>
            </w:r>
            <w:r>
              <w:rPr>
                <w:rFonts w:ascii="Times New Roman" w:hAnsi="Times New Roman" w:cs="Times New Roman"/>
                <w:sz w:val="24"/>
                <w:szCs w:val="24"/>
                <w:lang w:val="sk-SK"/>
              </w:rPr>
              <w:t xml:space="preserve">  </w:t>
            </w:r>
          </w:p>
          <w:p>
            <w:pPr>
              <w:pStyle w:val="ListDash1"/>
              <w:numPr>
                <w:numId w:val="0"/>
              </w:numPr>
              <w:tabs>
                <w:tab w:val="clear" w:pos="1134"/>
              </w:tabs>
              <w:spacing w:before="0" w:after="0"/>
              <w:ind w:left="0" w:firstLine="0"/>
              <w:rPr>
                <w:rFonts w:ascii="Times New Roman" w:hAnsi="Times New Roman" w:cs="Times New Roman"/>
                <w:sz w:val="24"/>
                <w:szCs w:val="24"/>
                <w:lang w:val="sk-SK"/>
              </w:rPr>
            </w:pPr>
          </w:p>
          <w:p>
            <w:pPr>
              <w:pStyle w:val="ListDash1"/>
              <w:numPr>
                <w:numId w:val="0"/>
              </w:numPr>
              <w:tabs>
                <w:tab w:val="clear" w:pos="1134"/>
              </w:tabs>
              <w:spacing w:before="0" w:after="0"/>
              <w:ind w:left="0" w:firstLine="0"/>
              <w:rPr>
                <w:rFonts w:ascii="Times New Roman" w:hAnsi="Times New Roman" w:cs="Times New Roman"/>
                <w:sz w:val="24"/>
                <w:szCs w:val="24"/>
                <w:lang w:val="sk-SK"/>
              </w:rPr>
            </w:pPr>
          </w:p>
          <w:p>
            <w:pPr>
              <w:pStyle w:val="ListDash1"/>
              <w:numPr>
                <w:numId w:val="0"/>
              </w:numPr>
              <w:tabs>
                <w:tab w:val="clear" w:pos="1134"/>
              </w:tabs>
              <w:spacing w:before="0" w:after="0"/>
              <w:ind w:left="0" w:firstLine="0"/>
              <w:rPr>
                <w:rFonts w:ascii="Times New Roman" w:hAnsi="Times New Roman" w:cs="Times New Roman"/>
                <w:sz w:val="24"/>
                <w:szCs w:val="24"/>
                <w:lang w:val="sk-SK"/>
              </w:rPr>
            </w:pPr>
          </w:p>
          <w:p>
            <w:pPr>
              <w:pStyle w:val="ListDash1"/>
              <w:numPr>
                <w:numId w:val="0"/>
              </w:numPr>
              <w:tabs>
                <w:tab w:val="clear" w:pos="1134"/>
              </w:tabs>
              <w:spacing w:before="0" w:after="0"/>
              <w:ind w:left="0" w:firstLine="0"/>
              <w:rPr>
                <w:rFonts w:ascii="Times New Roman" w:hAnsi="Times New Roman" w:cs="Times New Roman"/>
                <w:sz w:val="24"/>
                <w:szCs w:val="24"/>
                <w:lang w:val="sk-SK"/>
              </w:rPr>
            </w:pPr>
          </w:p>
          <w:p>
            <w:pPr>
              <w:pStyle w:val="ListDash1"/>
              <w:numPr>
                <w:numId w:val="0"/>
              </w:numPr>
              <w:tabs>
                <w:tab w:val="clear" w:pos="1134"/>
              </w:tabs>
              <w:spacing w:before="0" w:after="0"/>
              <w:ind w:left="0" w:firstLine="0"/>
              <w:rPr>
                <w:rFonts w:ascii="Times New Roman" w:hAnsi="Times New Roman" w:cs="Times New Roman"/>
                <w:sz w:val="24"/>
                <w:szCs w:val="24"/>
                <w:lang w:val="sk-SK"/>
              </w:rPr>
            </w:pPr>
          </w:p>
          <w:p>
            <w:pPr>
              <w:pStyle w:val="ListDash1"/>
              <w:numPr>
                <w:numId w:val="0"/>
              </w:numPr>
              <w:tabs>
                <w:tab w:val="clear" w:pos="1134"/>
              </w:tabs>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údaje o podiele na základnom imaní emitenta, ktorého sa týka investičné odporúčanie  vlastnenom povinnou osobou alebo s ňou majetkovo prepojenou alebo personálne prepojenou právnickou osobou, ak tento podiel presahuje 5 %, </w:t>
            </w:r>
          </w:p>
          <w:p>
            <w:pPr>
              <w:pStyle w:val="ListDash1"/>
              <w:numPr>
                <w:numId w:val="0"/>
              </w:numPr>
              <w:tabs>
                <w:tab w:val="clear" w:pos="1134"/>
              </w:tabs>
              <w:spacing w:before="0" w:after="0"/>
              <w:ind w:left="0" w:firstLine="0"/>
              <w:rPr>
                <w:rFonts w:ascii="Times New Roman" w:hAnsi="Times New Roman" w:cs="Times New Roman"/>
                <w:sz w:val="24"/>
                <w:szCs w:val="24"/>
                <w:lang w:val="sk-SK"/>
              </w:rPr>
            </w:pPr>
          </w:p>
          <w:p>
            <w:pPr>
              <w:pStyle w:val="ListDash1"/>
              <w:numPr>
                <w:numId w:val="0"/>
              </w:numPr>
              <w:tabs>
                <w:tab w:val="clear" w:pos="1134"/>
              </w:tabs>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údaje o podiele na zá</w:t>
            </w:r>
            <w:r>
              <w:rPr>
                <w:rFonts w:ascii="Times New Roman" w:hAnsi="Times New Roman" w:cs="Times New Roman"/>
                <w:sz w:val="24"/>
                <w:szCs w:val="24"/>
                <w:lang w:val="sk-SK"/>
              </w:rPr>
              <w:t xml:space="preserve">kladnom imaní povinnej osoby alebo s ňou majetkovo prepojenej alebo personálne prepojenej právnickej osoby vlastnenom emitentom, ktorého sa týka investičné odporúčanie, ak tento podiel presahuje 5 %, </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údaje o iných významných finančných záujmoch, ktoré má  povinná osoba alebo s ňou majetkovo prepojená alebo personálne prepojená právnická  osoba na emitentovi, ktorého sa týka investičné odporúčanie,</w:t>
            </w: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vyhlásenie o tom, či povinná osoba alebo s ňou majetkovo prepojená alebo personálne prepojená právnická  osoba je tvorcom trhu alebo osobou inak zabezpečujúcou likviditu pre finančné nástroje emitenta, ktorého sa týka investičné odporúčanie,</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vyhlásenie o tom, či v období posledných 12 kalendárnych mesiacov povinná osoba alebo s ňou majetkovo prepojená alebo personálne prepojená právnická osoba vykonávala činnosti spojené s verejnou ponukou finančných nástrojov emitenta, ktorého sa týka investičné odporúčanie,</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vyhlásenie o tom, či povinná osoba alebo s ňou majetkovo prepojená alebo personálne prepojená právnická  osoba má uzavretú zmluvu o poskytovaní investičných služieb alebo bankových služieb, iných ako podľa písmen) d) a e) s emitentom, ktorého sa týka investičné odporúčanie, ak bola táto zmluva platná počas posledných 12 kalendárnych mesiacov, alebo a</w:t>
            </w:r>
            <w:r>
              <w:rPr>
                <w:rFonts w:ascii="Times New Roman" w:hAnsi="Times New Roman" w:cs="Times New Roman"/>
                <w:sz w:val="24"/>
                <w:szCs w:val="24"/>
                <w:lang w:val="sk-SK"/>
              </w:rPr>
              <w:t>k</w:t>
            </w:r>
            <w:r>
              <w:rPr>
                <w:rFonts w:ascii="Times New Roman" w:hAnsi="Times New Roman" w:cs="Times New Roman"/>
                <w:sz w:val="24"/>
                <w:szCs w:val="24"/>
                <w:lang w:val="sk-SK"/>
              </w:rPr>
              <w:t xml:space="preserve"> počas  tohto obdobia bola na základe tejto zmluvy vyplatená odmena alebo vznikol nárok na jej vyplatenie; údaj sa neuvedie, ak by to viedlo k prezradeniu obchodného tajomstva, </w:t>
            </w:r>
          </w:p>
          <w:p>
            <w:pPr>
              <w:pStyle w:val="Point1"/>
              <w:spacing w:before="0" w:after="0"/>
              <w:ind w:left="0" w:firstLine="0"/>
              <w:rPr>
                <w:rFonts w:ascii="Times New Roman" w:hAnsi="Times New Roman" w:cs="Times New Roman"/>
                <w:sz w:val="24"/>
                <w:szCs w:val="24"/>
                <w:lang w:val="sk-SK"/>
              </w:rPr>
            </w:pPr>
          </w:p>
          <w:p>
            <w:pPr>
              <w:pStyle w:val="Point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vyhlásenie o tom, či povinná osoba alebo s ňou majetkovo prepojená alebo personálne prepojená právnická  osoba  má uzavretú zmluvu týkajúcu sa vypracovania investičného odporúčania s emitentom, ktorého sa týka investičné odporúčanie. </w:t>
            </w:r>
          </w:p>
          <w:p>
            <w:pPr>
              <w:pStyle w:val="Point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Ak je povinnou osobou obchodník s cennými papiermi alebo banka sú povinní uviesť v investičnom odporúčaní prehľad  platných vnútorných aktov riadenia a organizačných opatrení, ktorých účelom je predchádzanie a vyhýbanie sa konfliktom záujmov vo vzťahu k investičným odporúčaniam, vrátane údajov o existencii informačných bariér v rámci organizačnej štr</w:t>
            </w:r>
            <w:r>
              <w:rPr>
                <w:rFonts w:ascii="Times New Roman" w:hAnsi="Times New Roman" w:cs="Times New Roman"/>
                <w:sz w:val="24"/>
                <w:szCs w:val="24"/>
                <w:lang w:val="sk-SK"/>
              </w:rPr>
              <w:t>u</w:t>
            </w:r>
            <w:r>
              <w:rPr>
                <w:rFonts w:ascii="Times New Roman" w:hAnsi="Times New Roman" w:cs="Times New Roman"/>
                <w:sz w:val="24"/>
                <w:szCs w:val="24"/>
                <w:lang w:val="sk-SK"/>
              </w:rPr>
              <w:t xml:space="preserve">ktúry zavedených vo vzťahu k vypracovávaniu a rozširovaniu investičných odporúčaní. </w:t>
            </w: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b/>
                <w:sz w:val="24"/>
                <w:szCs w:val="24"/>
                <w:lang w:val="sk-SK"/>
              </w:rPr>
            </w:pPr>
            <w:r>
              <w:rPr>
                <w:rFonts w:ascii="Times New Roman" w:hAnsi="Times New Roman" w:cs="Times New Roman"/>
                <w:sz w:val="24"/>
                <w:szCs w:val="24"/>
                <w:lang w:val="sk-SK"/>
              </w:rPr>
              <w:t>Ak sa prípravy investičného odporúčania zúčastnili fyzické osoby alebo právnické osoby, ktoré sú v pracovnoprávnom vzťahu alebo v inom právnom vzťahu obchodníkovi s cennými papiermi alebo k banke, uvedie sa v investičnom odporúčaní aj informácia o tom, či odmena pre takúto osobu je viazaná na investičné služby alebo bankové obchody uskutočnené obchodníkom s cennými papiermi, bankou alebo inou povinnou osobou. Ak tieto oso</w:t>
            </w:r>
            <w:r>
              <w:rPr>
                <w:rFonts w:ascii="Times New Roman" w:hAnsi="Times New Roman" w:cs="Times New Roman"/>
                <w:sz w:val="24"/>
                <w:szCs w:val="24"/>
                <w:lang w:val="sk-SK"/>
              </w:rPr>
              <w:t>b</w:t>
            </w:r>
            <w:r>
              <w:rPr>
                <w:rFonts w:ascii="Times New Roman" w:hAnsi="Times New Roman" w:cs="Times New Roman"/>
                <w:sz w:val="24"/>
                <w:szCs w:val="24"/>
                <w:lang w:val="sk-SK"/>
              </w:rPr>
              <w:t>y nadobudnú  akcie emitenta, ktorého sa týka investičné odporúčanie pred verejnou ponukou týchto akcií uvedie sa aj cena,  za ktorú boli akcie nadobudnuté a dátum nadobudnutia.</w:t>
            </w:r>
          </w:p>
          <w:p>
            <w:pPr>
              <w:pStyle w:val="ManualNumPar1"/>
              <w:ind w:left="0" w:firstLine="850"/>
              <w:rPr>
                <w:rFonts w:ascii="Times New Roman" w:hAnsi="Times New Roman" w:cs="Times New Roman"/>
                <w:sz w:val="24"/>
                <w:szCs w:val="24"/>
                <w:lang w:val="sk-SK"/>
              </w:rPr>
            </w:pP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lang w:val="sk-SK"/>
              </w:rPr>
              <w:t>Obchodník s cennými papiermi alebo banka sú povinné uviesť v investičnom odporúčaní aj podiel všetkých odporúčaní na nákup, na predaj, na držbu alebo im rovnocenných odporúčaní za posledné tri kalendárne mesiace,  podiel emitentov, ktorých sa týkajú investičné odporúčania  pri každom z týchto typov odporúčaní a podiel emitentov, kt</w:t>
            </w:r>
            <w:r>
              <w:rPr>
                <w:rFonts w:ascii="Times New Roman" w:hAnsi="Times New Roman" w:cs="Times New Roman"/>
                <w:sz w:val="24"/>
                <w:szCs w:val="24"/>
                <w:lang w:val="sk-SK"/>
              </w:rPr>
              <w:t>o</w:t>
            </w:r>
            <w:r>
              <w:rPr>
                <w:rFonts w:ascii="Times New Roman" w:hAnsi="Times New Roman" w:cs="Times New Roman"/>
                <w:sz w:val="24"/>
                <w:szCs w:val="24"/>
                <w:lang w:val="sk-SK"/>
              </w:rPr>
              <w:t xml:space="preserve">rým obchodník s cennými papiermi alebo banka poskytla  investičné investičné alebo bankové služby počas posledných 12 kalendárnych mesiacov. </w:t>
            </w:r>
          </w:p>
          <w:p>
            <w:pPr>
              <w:pStyle w:val="ManualNumPar1"/>
              <w:ind w:left="0" w:firstLine="0"/>
              <w:rPr>
                <w:rFonts w:ascii="Times New Roman" w:hAnsi="Times New Roman" w:cs="Times New Roman"/>
                <w:sz w:val="24"/>
                <w:szCs w:val="24"/>
                <w:lang w:val="sk-SK"/>
              </w:rPr>
            </w:pPr>
            <w:r>
              <w:rPr>
                <w:rFonts w:ascii="Times New Roman" w:hAnsi="Times New Roman" w:cs="Times New Roman"/>
                <w:sz w:val="24"/>
                <w:szCs w:val="24"/>
                <w:lang w:val="sk-SK"/>
              </w:rPr>
              <w:t>Ak by rozsah úplného uvedenia údajov podľa podľa odsekov 1 až  4 bol neprimeraný k rozsahu investičného odporúčania je možné tieto údaje nahradiť presným a zrozumiteľným odkazom na miesto, kde má verejnosť priamy prístup k požadovanej informácii alebo priamym odkazom na internetovú stránku povinnej osoby obsahujúcej tento údaj. V prípade investičných odporúčaní, ktor</w:t>
            </w:r>
            <w:r>
              <w:rPr>
                <w:rFonts w:ascii="Times New Roman" w:hAnsi="Times New Roman" w:cs="Times New Roman"/>
                <w:sz w:val="24"/>
                <w:szCs w:val="24"/>
                <w:lang w:val="sk-SK"/>
              </w:rPr>
              <w:t>é</w:t>
            </w:r>
            <w:r>
              <w:rPr>
                <w:rFonts w:ascii="Times New Roman" w:hAnsi="Times New Roman" w:cs="Times New Roman"/>
                <w:sz w:val="24"/>
                <w:szCs w:val="24"/>
                <w:lang w:val="sk-SK"/>
              </w:rPr>
              <w:t xml:space="preserve"> nemajú písomnú formu sa povinnosť  podľa odsekov 1 až 4 pokladá za splnenú aj, ak je uvedené miesto, kde sú tieto informácie  priamo dostupné verejnosti  alebo ak je uvedený odkaz na internetovú stránku obsahujúcu príslušné údaje.</w:t>
            </w:r>
          </w:p>
          <w:p>
            <w:pPr>
              <w:pStyle w:val="ManualNumPar1"/>
              <w:spacing w:before="0" w:after="0"/>
              <w:ind w:left="0" w:firstLine="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Identita rozširovateľov odporúčaní</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BodyText3"/>
              <w:rPr>
                <w:rFonts w:ascii="Times New Roman" w:hAnsi="Times New Roman" w:cs="Times New Roman"/>
                <w:sz w:val="24"/>
                <w:szCs w:val="24"/>
              </w:rPr>
            </w:pPr>
            <w:r>
              <w:rPr>
                <w:rFonts w:ascii="Times New Roman" w:hAnsi="Times New Roman" w:cs="Times New Roman"/>
                <w:sz w:val="24"/>
                <w:szCs w:val="24"/>
              </w:rPr>
              <w:t>Členské štáty zabezpečia zavedenie primeraného predpisu zabezpečujúceho, že zakaždým, keď príslušná osoba na vlastnú zodpovednosť rozširuje odporúčanie vypracované treťou osobou, odporúčanie bude jasne a markantne uvádzať identitu tejto príslušnej osoby.</w:t>
            </w:r>
          </w:p>
          <w:p>
            <w:pPr>
              <w:pStyle w:val="BodyText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ind w:right="-70"/>
              <w:rPr>
                <w:rFonts w:ascii="Times New Roman" w:hAnsi="Times New Roman" w:cs="Times New Roman"/>
                <w:sz w:val="24"/>
                <w:szCs w:val="24"/>
                <w:lang w:val="sk-SK"/>
              </w:rPr>
            </w:pPr>
          </w:p>
          <w:p>
            <w:pPr>
              <w:ind w:right="-70"/>
              <w:rPr>
                <w:rFonts w:ascii="Times New Roman" w:hAnsi="Times New Roman" w:cs="Times New Roman"/>
                <w:sz w:val="24"/>
                <w:szCs w:val="24"/>
                <w:lang w:val="sk-SK"/>
              </w:rPr>
            </w:pPr>
          </w:p>
          <w:p>
            <w:pPr>
              <w:ind w:right="-70"/>
              <w:rPr>
                <w:rFonts w:ascii="Times New Roman" w:hAnsi="Times New Roman" w:cs="Times New Roman"/>
                <w:sz w:val="24"/>
                <w:szCs w:val="24"/>
                <w:lang w:val="sk-SK"/>
              </w:rPr>
            </w:pPr>
          </w:p>
          <w:p>
            <w:pPr>
              <w:ind w:right="-70"/>
              <w:rPr>
                <w:rFonts w:ascii="Times New Roman" w:hAnsi="Times New Roman" w:cs="Times New Roman"/>
                <w:sz w:val="24"/>
                <w:szCs w:val="24"/>
                <w:lang w:val="sk-SK"/>
              </w:rPr>
            </w:pPr>
            <w:r>
              <w:rPr>
                <w:rFonts w:ascii="Times New Roman" w:hAnsi="Times New Roman" w:cs="Times New Roman"/>
                <w:sz w:val="24"/>
                <w:szCs w:val="24"/>
                <w:lang w:val="sk-SK"/>
              </w:rPr>
              <w:t>§132k</w:t>
            </w:r>
          </w:p>
          <w:p>
            <w:pPr>
              <w:rPr>
                <w:rFonts w:ascii="Times New Roman" w:hAnsi="Times New Roman" w:cs="Times New Roman"/>
                <w:sz w:val="24"/>
                <w:szCs w:val="24"/>
                <w:lang w:val="sk-SK"/>
              </w:rPr>
            </w:pPr>
            <w:r>
              <w:rPr>
                <w:rFonts w:ascii="Times New Roman" w:hAnsi="Times New Roman" w:cs="Times New Roman"/>
                <w:sz w:val="24"/>
                <w:szCs w:val="24"/>
                <w:lang w:val="sk-SK"/>
              </w:rPr>
              <w:t>ods.1</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p>
          <w:p>
            <w:pPr>
              <w:jc w:val="both"/>
              <w:rPr>
                <w:rFonts w:ascii="Times New Roman" w:hAnsi="Times New Roman" w:cs="Times New Roman"/>
                <w:sz w:val="24"/>
                <w:szCs w:val="24"/>
              </w:rPr>
            </w:pPr>
            <w:r>
              <w:rPr>
                <w:rFonts w:ascii="Times New Roman" w:hAnsi="Times New Roman" w:cs="Times New Roman"/>
                <w:sz w:val="24"/>
                <w:szCs w:val="24"/>
              </w:rPr>
              <w:t>Ak povinná osoba rozširuje investičné odporúčanie vypracované treťou osobou, investičné odporúčanie musí obsahovať aj obchodné meno alebo meno a priezvisko  tejto povinnej osoby</w:t>
            </w:r>
            <w:r>
              <w:rPr>
                <w:rFonts w:ascii="Times New Roman" w:hAnsi="Times New Roman" w:cs="Times New Roman"/>
                <w:sz w:val="24"/>
                <w:szCs w:val="24"/>
              </w:rPr>
              <w:t>.</w:t>
            </w:r>
          </w:p>
          <w:p>
            <w:pPr>
              <w:jc w:val="both"/>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Ú</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(Všeobecný štandard rozširovania odporúčaní)</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Členské štáty zabezpečia zavedenie primeraného predpisu zabezpečujúceho, že zakaždým, keď odporúčanie vypracované treťou osobou je podstatne pozmenené v rámci rozširovanej informácie, táto informácia bude jasne a detailne uvádzať podstatné pozmenenie. Členské štáty zabezpečia, že  zakaždým, keď podstatné pozmenenie pozostáva zo zmeny orientácie odporúčania (ako je zmena odporúčania “kúp” na odporúčanie “podrž” aleb</w:t>
            </w:r>
            <w:r>
              <w:rPr>
                <w:rFonts w:ascii="Times New Roman" w:hAnsi="Times New Roman" w:cs="Times New Roman"/>
                <w:sz w:val="24"/>
                <w:szCs w:val="24"/>
                <w:lang w:val="sk-SK"/>
              </w:rPr>
              <w:t>o</w:t>
            </w:r>
            <w:r>
              <w:rPr>
                <w:rFonts w:ascii="Times New Roman" w:hAnsi="Times New Roman" w:cs="Times New Roman"/>
                <w:sz w:val="24"/>
                <w:szCs w:val="24"/>
                <w:lang w:val="sk-SK"/>
              </w:rPr>
              <w:t xml:space="preserve"> “predaj” a naopak), rozširovatelia splnia požiadavky ustanovené v článkoch 2 až 5 o vypracovávateľoch a to do rozsahu podstatného pozmenenia.</w:t>
            </w:r>
          </w:p>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Okrem toho, členské štáty zabezpečia zavedenie primeraného predpisu zabezpečujúceho, aby príslušné právnické osoby, ktoré sami alebo prostredníctvom fyzických osôb rozširujú podstatne pozmenené odporúčanie mali formálny písomný postup, aby osoby získavajúce informáciu mohli byť usmernené, kde získajú prístup k identite vypracovávateľa odporúčania, k odporúčaniu ako</w:t>
            </w:r>
            <w:r>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takému a k zverejneniu záujmov alebo konfliktov záujmov vypracovávateľa, za predpokladu, že tieto sú verejne dostupné. </w:t>
            </w:r>
          </w:p>
          <w:p>
            <w:pPr>
              <w:jc w:val="both"/>
              <w:rPr>
                <w:rFonts w:ascii="Times New Roman" w:hAnsi="Times New Roman" w:cs="Times New Roman"/>
                <w:sz w:val="24"/>
                <w:szCs w:val="24"/>
                <w:lang w:val="sk-SK"/>
              </w:rPr>
            </w:pPr>
            <w:r>
              <w:rPr>
                <w:rFonts w:ascii="Times New Roman" w:hAnsi="Times New Roman" w:cs="Times New Roman"/>
                <w:sz w:val="24"/>
                <w:szCs w:val="24"/>
                <w:lang w:val="sk-SK"/>
              </w:rPr>
              <w:t>Prvý a druhý odsek sa nepoužije na spravodajstvo o odporúčaniach vypracovaných treťou osobou, kde podstata odporúčania nie je pozmenená.</w:t>
            </w:r>
          </w:p>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V prípade rozširovania sumáru odporúčania vypracovaného treťou osobou, príslušné osoby rozširujúce takýto sumár zabezpečia, aby bol sumár jasný a nezavádzajúci, pričom uvedú zdrojový dokument a kde má verejnosť priamy a jednoduchý prístup k zverejneniam týkajúcim sa zdrojového dokumentu, za predpokladu, že tieto sú verejne dostupné.</w:t>
            </w:r>
          </w:p>
          <w:p>
            <w:pPr>
              <w:jc w:val="both"/>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132k</w:t>
            </w:r>
          </w:p>
          <w:p>
            <w:pPr>
              <w:rPr>
                <w:rFonts w:ascii="Times New Roman" w:hAnsi="Times New Roman" w:cs="Times New Roman"/>
                <w:sz w:val="24"/>
                <w:szCs w:val="24"/>
                <w:lang w:val="sk-SK"/>
              </w:rPr>
            </w:pPr>
            <w:r>
              <w:rPr>
                <w:rFonts w:ascii="Times New Roman" w:hAnsi="Times New Roman" w:cs="Times New Roman"/>
                <w:sz w:val="24"/>
                <w:szCs w:val="24"/>
                <w:lang w:val="sk-SK"/>
              </w:rPr>
              <w:t>ods.2</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ods.3</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ods.4</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p>
          <w:p>
            <w:pPr>
              <w:jc w:val="both"/>
              <w:rPr>
                <w:rFonts w:ascii="Times New Roman" w:hAnsi="Times New Roman" w:cs="Times New Roman"/>
                <w:sz w:val="24"/>
                <w:szCs w:val="24"/>
              </w:rPr>
            </w:pPr>
            <w:r>
              <w:rPr>
                <w:rFonts w:ascii="Times New Roman" w:hAnsi="Times New Roman" w:cs="Times New Roman"/>
                <w:sz w:val="24"/>
                <w:szCs w:val="24"/>
              </w:rPr>
              <w:t>Ak povinná osoba, ktorá rozširuje investičné odporúčanie vypracované treťou osobou pozmení jeho obsah, je povinná uviesť túto skutočnosť v investičnom odporúčaní. Ak  táto skutočnosť znamená zmenu typu odporúčania z kúpiť na odporúčanie podržať alebo na odporúčanie predať a naopak, je táto osoba povinná splniť podmienky podľa § 132g až 132j, a</w:t>
            </w:r>
            <w:r>
              <w:rPr>
                <w:rFonts w:ascii="Times New Roman" w:hAnsi="Times New Roman" w:cs="Times New Roman"/>
                <w:sz w:val="24"/>
                <w:szCs w:val="24"/>
              </w:rPr>
              <w:t> </w:t>
            </w:r>
            <w:r>
              <w:rPr>
                <w:rFonts w:ascii="Times New Roman" w:hAnsi="Times New Roman" w:cs="Times New Roman"/>
                <w:sz w:val="24"/>
                <w:szCs w:val="24"/>
              </w:rPr>
              <w:t xml:space="preserve">to  vo vzťahu k týmto zmenám. </w:t>
            </w:r>
          </w:p>
          <w:p>
            <w:pPr>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Povinná osoba, ktorá rozširuje investičné odporúčanie vypracované treťou osobou, ktorého obsah bol podstatne zmenený,  je povinná upraviť vo vnútornom akte riadenia postup, ktorý zabezpečí, že osoby, ktorým je určené investičné odporúčanie budú mať prístup k identifikačným údajom osoby, ktorá vypracovala investičné odporúčanie, k investičnému odporúčaniu a prístup k údajom o konfliktoch záujmov osoby, ktorá vypracovala investičné odporúčanie, ak sú tieto informácie o konf</w:t>
            </w:r>
            <w:r>
              <w:rPr>
                <w:rFonts w:ascii="Times New Roman" w:hAnsi="Times New Roman" w:cs="Times New Roman"/>
                <w:sz w:val="24"/>
                <w:szCs w:val="24"/>
              </w:rPr>
              <w:t xml:space="preserve">liktoch záujmov verejne prístupné. </w:t>
            </w:r>
          </w:p>
          <w:p>
            <w:pPr>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Ak sa  rozširuje len  zhrnutie investičného  odporúčania vypracovaného treťou osobou, povinná osoba je povinná zabezpečiť, aby bolo toto zhrnutie presné a zrozumiteľné, a uviesť odkaz na pôvodné investičné  odporúčanie a odkaz, kde má verejnosť priamy  prístup k údajom  týkajúcim sa pôvodného investičného  odporúčania, ak sú tieto údaje verejne prístupné.</w:t>
            </w:r>
          </w:p>
          <w:p>
            <w:pPr>
              <w:jc w:val="both"/>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Dodatočné povinnosti investičných firiem a úverových inštitúcií</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Okrem povinností</w:t>
            </w:r>
            <w:r>
              <w:rPr>
                <w:rFonts w:ascii="Times New Roman" w:hAnsi="Times New Roman" w:cs="Times New Roman"/>
                <w:sz w:val="24"/>
                <w:szCs w:val="24"/>
                <w:lang w:val="sk-SK"/>
              </w:rPr>
              <w:t xml:space="preserve"> uvedených v článkoch 7 a 8, kedykoľvek, keď príslušnou osobou je investičná firma, úverová inštitúcia alebo fyzická osoba pracujúca pre takéto osoby na základe pracovnej zmluvy alebo inak, a rozširuje odporúčania vypracované treťou osobou, členské štáty </w:t>
            </w:r>
            <w:r>
              <w:rPr>
                <w:rFonts w:ascii="Times New Roman" w:hAnsi="Times New Roman" w:cs="Times New Roman"/>
                <w:sz w:val="24"/>
                <w:szCs w:val="24"/>
                <w:lang w:val="sk-SK"/>
              </w:rPr>
              <w:t>b</w:t>
            </w:r>
            <w:r>
              <w:rPr>
                <w:rFonts w:ascii="Times New Roman" w:hAnsi="Times New Roman" w:cs="Times New Roman"/>
                <w:sz w:val="24"/>
                <w:szCs w:val="24"/>
                <w:lang w:val="sk-SK"/>
              </w:rPr>
              <w:t>udú požadovať, aby:</w:t>
            </w:r>
          </w:p>
          <w:p>
            <w:pPr>
              <w:jc w:val="both"/>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r>
              <w:rPr>
                <w:rFonts w:ascii="Times New Roman" w:hAnsi="Times New Roman" w:cs="Times New Roman"/>
                <w:sz w:val="24"/>
                <w:szCs w:val="24"/>
                <w:lang w:val="sk-SK"/>
              </w:rPr>
              <w:t>(a)</w:t>
              <w:tab/>
              <w:t>bol jasne a markantne uvedený názov kompetentného orgánu investičnej firmy alebo úverovej inštitúcie;</w:t>
            </w: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r>
              <w:rPr>
                <w:rFonts w:ascii="Times New Roman" w:hAnsi="Times New Roman" w:cs="Times New Roman"/>
                <w:sz w:val="24"/>
                <w:szCs w:val="24"/>
                <w:lang w:val="sk-SK"/>
              </w:rPr>
              <w:t>(b)</w:t>
              <w:tab/>
              <w:t xml:space="preserve">rozširovateľ splnil požiadavky ustanovené v článku 6 o vypracovávateľoch, ak vypracovávateľ odporúčania ho už nerozšíril prostredníctvom distribučného kanálu; </w:t>
            </w: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rPr>
            </w:pPr>
            <w:r>
              <w:rPr>
                <w:rFonts w:ascii="Times New Roman" w:hAnsi="Times New Roman" w:cs="Times New Roman"/>
                <w:sz w:val="24"/>
                <w:szCs w:val="24"/>
              </w:rPr>
              <w:t>(c)</w:t>
              <w:tab/>
              <w:t>boli splnené požiadavky uvedené v článkoch 2 až 6 o vypracovávateľoch, ak investičná firma alebo úverová inštitúcia podstatne pozmenila odporúčanie.</w:t>
            </w: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p>
          <w:p>
            <w:pPr>
              <w:pStyle w:val="Point0"/>
              <w:spacing w:before="0" w:after="0"/>
              <w:rPr>
                <w:rFonts w:ascii="Times New Roman" w:hAnsi="Times New Roman" w:cs="Times New Roman"/>
                <w:sz w:val="24"/>
                <w:szCs w:val="24"/>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§132l</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pís.a)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pís.b)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pís.c)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pStyle w:val="ManualNumPar1"/>
              <w:spacing w:before="0" w:after="0"/>
              <w:ind w:left="0" w:firstLine="0"/>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Ak je povinnou osobou, ktorá  rozširuje investičné odporúčania vypracované treťou osobou obchodník s cennými papiermi, banka alebo fyzická osoba pracujúca pre nich na základe pracovnoprávneho vzťahu alebo iného právneho vzťahu, je povinná</w:t>
            </w:r>
          </w:p>
          <w:p>
            <w:pPr>
              <w:pStyle w:val="ManualNumPar1"/>
              <w:spacing w:before="0" w:after="0"/>
              <w:ind w:left="0" w:firstLine="0"/>
              <w:rPr>
                <w:rFonts w:ascii="Times New Roman" w:hAnsi="Times New Roman" w:cs="Times New Roman"/>
                <w:sz w:val="24"/>
                <w:szCs w:val="24"/>
                <w:lang w:val="sk-SK"/>
              </w:rPr>
            </w:pPr>
          </w:p>
          <w:p>
            <w:pPr>
              <w:pStyle w:val="ManualNumPar1"/>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 xml:space="preserve"> uviesť v investičnom odporúčaní názov príslušného orgánu dohľadu, ktorý vykonáva   dohľad nad jej činnosťou, </w:t>
            </w:r>
          </w:p>
          <w:p>
            <w:pPr>
              <w:pStyle w:val="Point0"/>
              <w:spacing w:before="0" w:after="0"/>
              <w:ind w:left="540" w:hanging="54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splniť povinnosti podľa § 132i a 132j, ak rozširuje investičné odporúčanie, ktoré nebolo predtým zverejnené</w:t>
            </w: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p>
          <w:p>
            <w:pPr>
              <w:pStyle w:val="Point0"/>
              <w:spacing w:before="0" w:after="0"/>
              <w:ind w:left="0" w:firstLine="0"/>
              <w:rPr>
                <w:rFonts w:ascii="Times New Roman" w:hAnsi="Times New Roman" w:cs="Times New Roman"/>
                <w:sz w:val="24"/>
                <w:szCs w:val="24"/>
                <w:lang w:val="sk-SK"/>
              </w:rPr>
            </w:pPr>
            <w:r>
              <w:rPr>
                <w:rFonts w:ascii="Times New Roman" w:hAnsi="Times New Roman" w:cs="Times New Roman"/>
                <w:sz w:val="24"/>
                <w:szCs w:val="24"/>
                <w:lang w:val="sk-SK"/>
              </w:rPr>
              <w:t>splniť povinnosti podľa § 132f až 132j, ak podstatne zmenila obsah investičného   odporúčania vypracovaného treťou osobou.</w:t>
            </w:r>
          </w:p>
          <w:p>
            <w:pPr>
              <w:pStyle w:val="Text1"/>
              <w:rPr>
                <w:rFonts w:ascii="Times New Roman" w:hAnsi="Times New Roman" w:cs="Times New Roman"/>
                <w:sz w:val="24"/>
                <w:szCs w:val="24"/>
                <w:lang w:val="sk-SK"/>
              </w:rPr>
            </w:pPr>
          </w:p>
          <w:p>
            <w:pPr>
              <w:pStyle w:val="Point0"/>
              <w:tabs>
                <w:tab w:val="num" w:pos="540"/>
              </w:tabs>
              <w:spacing w:before="0" w:after="0"/>
              <w:ind w:left="0" w:firstLine="0"/>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Transpozícia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NumPar3"/>
              <w:spacing w:before="0" w:after="0"/>
              <w:ind w:left="851"/>
              <w:rPr>
                <w:rFonts w:ascii="Times New Roman" w:hAnsi="Times New Roman" w:cs="Times New Roman"/>
                <w:sz w:val="24"/>
                <w:szCs w:val="24"/>
                <w:lang w:val="sk-SK"/>
              </w:rPr>
            </w:pPr>
            <w:r>
              <w:rPr>
                <w:rFonts w:ascii="Times New Roman" w:hAnsi="Times New Roman" w:cs="Times New Roman"/>
                <w:sz w:val="24"/>
                <w:szCs w:val="24"/>
                <w:lang w:val="sk-SK"/>
              </w:rPr>
              <w:t xml:space="preserve">Členské štáty uvedú najneskôr do platnosti zákony, predpisy a administratívne opatrenia potrebné na dosiahnutie súladu s touto smernicou do 12. októbra 2004. Okamžite budú Komisiu informovať o znení týchto opatrení a o korelačnej tabuľke medzi týmito opatreniami a touto smernicou.  </w:t>
            </w:r>
          </w:p>
          <w:p>
            <w:pPr>
              <w:pStyle w:val="Point1"/>
              <w:spacing w:before="0" w:after="0"/>
              <w:ind w:left="851"/>
              <w:rPr>
                <w:rFonts w:ascii="Times New Roman" w:hAnsi="Times New Roman" w:cs="Times New Roman"/>
                <w:sz w:val="24"/>
                <w:szCs w:val="24"/>
                <w:lang w:val="sk-SK"/>
              </w:rPr>
            </w:pPr>
          </w:p>
          <w:p>
            <w:pPr>
              <w:pStyle w:val="Point1"/>
              <w:spacing w:before="0" w:after="0"/>
              <w:ind w:left="851"/>
              <w:rPr>
                <w:rFonts w:ascii="Times New Roman" w:hAnsi="Times New Roman" w:cs="Times New Roman"/>
                <w:sz w:val="24"/>
                <w:szCs w:val="24"/>
                <w:lang w:val="sk-SK"/>
              </w:rPr>
            </w:pPr>
          </w:p>
          <w:p>
            <w:pPr>
              <w:pStyle w:val="Point1"/>
              <w:spacing w:before="0" w:after="0"/>
              <w:ind w:left="851"/>
              <w:rPr>
                <w:rFonts w:ascii="Times New Roman" w:hAnsi="Times New Roman" w:cs="Times New Roman"/>
                <w:sz w:val="24"/>
                <w:szCs w:val="24"/>
                <w:lang w:val="sk-SK"/>
              </w:rPr>
            </w:pPr>
          </w:p>
          <w:p>
            <w:pPr>
              <w:pStyle w:val="Point1"/>
              <w:spacing w:before="0" w:after="0"/>
              <w:ind w:left="851"/>
              <w:rPr>
                <w:rFonts w:ascii="Times New Roman" w:hAnsi="Times New Roman" w:cs="Times New Roman"/>
                <w:sz w:val="24"/>
                <w:szCs w:val="24"/>
                <w:lang w:val="sk-SK"/>
              </w:rPr>
            </w:pPr>
          </w:p>
          <w:p>
            <w:pPr>
              <w:pStyle w:val="Point1"/>
              <w:spacing w:before="0" w:after="0"/>
              <w:ind w:left="284" w:firstLine="0"/>
              <w:rPr>
                <w:rFonts w:ascii="Times New Roman" w:hAnsi="Times New Roman" w:cs="Times New Roman"/>
                <w:sz w:val="24"/>
                <w:szCs w:val="24"/>
                <w:lang w:val="sk-SK"/>
              </w:rPr>
            </w:pPr>
            <w:r>
              <w:rPr>
                <w:rFonts w:ascii="Times New Roman" w:hAnsi="Times New Roman" w:cs="Times New Roman"/>
                <w:sz w:val="24"/>
                <w:szCs w:val="24"/>
                <w:lang w:val="sk-SK"/>
              </w:rPr>
              <w:t>Ak členské štáty príjmu takéto opatrenia, tieto musia obsahovať odkaz na túto smernicu alebo budú takýmto odkazom doplnené pri príležitosti ich oficiálneho uverejnenia. Metodiku týchto odkazov ustanovia členské štáty.</w:t>
            </w:r>
          </w:p>
          <w:p>
            <w:pPr>
              <w:pStyle w:val="Point1"/>
              <w:spacing w:before="0" w:after="0"/>
              <w:ind w:left="851"/>
              <w:rPr>
                <w:rFonts w:ascii="Times New Roman" w:hAnsi="Times New Roman" w:cs="Times New Roman"/>
                <w:sz w:val="24"/>
                <w:szCs w:val="24"/>
                <w:lang w:val="sk-SK"/>
              </w:rPr>
            </w:pPr>
          </w:p>
          <w:p>
            <w:pPr>
              <w:pStyle w:val="Point1"/>
              <w:spacing w:before="0" w:after="0"/>
              <w:ind w:left="851"/>
              <w:rPr>
                <w:rFonts w:ascii="Times New Roman" w:hAnsi="Times New Roman" w:cs="Times New Roman"/>
                <w:sz w:val="24"/>
                <w:szCs w:val="24"/>
                <w:lang w:val="sk-SK"/>
              </w:rPr>
            </w:pPr>
          </w:p>
          <w:p>
            <w:pPr>
              <w:pStyle w:val="Point1"/>
              <w:spacing w:before="0" w:after="0"/>
              <w:ind w:left="851"/>
              <w:rPr>
                <w:rFonts w:ascii="Times New Roman" w:hAnsi="Times New Roman" w:cs="Times New Roman"/>
                <w:sz w:val="24"/>
                <w:szCs w:val="24"/>
                <w:lang w:val="sk-SK"/>
              </w:rPr>
            </w:pPr>
          </w:p>
          <w:p>
            <w:pPr>
              <w:pStyle w:val="NumPar3"/>
              <w:spacing w:before="0" w:after="0"/>
              <w:ind w:left="851"/>
              <w:rPr>
                <w:rFonts w:ascii="Times New Roman" w:hAnsi="Times New Roman" w:cs="Times New Roman"/>
                <w:sz w:val="24"/>
                <w:szCs w:val="24"/>
                <w:lang w:val="sk-SK"/>
              </w:rPr>
            </w:pPr>
            <w:r>
              <w:rPr>
                <w:rFonts w:ascii="Times New Roman" w:hAnsi="Times New Roman" w:cs="Times New Roman"/>
                <w:sz w:val="24"/>
                <w:szCs w:val="24"/>
              </w:rPr>
              <w:t xml:space="preserve">Členské štáty oznámia Komisii znenie hlavných ustanovení vnútroštátneho práva, ktoré príjmu </w:t>
            </w:r>
            <w:r>
              <w:rPr>
                <w:rFonts w:ascii="Times New Roman" w:hAnsi="Times New Roman" w:cs="Times New Roman"/>
                <w:sz w:val="24"/>
                <w:szCs w:val="24"/>
              </w:rPr>
              <w:t>v oblasti dotknutej touto smernicou.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 xml:space="preserve"> 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pStyle w:val="BodyText3"/>
              <w:rPr>
                <w:rFonts w:ascii="Times New Roman" w:hAnsi="Times New Roman" w:cs="Times New Roman"/>
                <w:sz w:val="24"/>
                <w:szCs w:val="24"/>
              </w:rPr>
            </w:pPr>
            <w:r>
              <w:rPr>
                <w:rFonts w:ascii="Times New Roman" w:hAnsi="Times New Roman" w:cs="Times New Roman"/>
                <w:sz w:val="24"/>
                <w:szCs w:val="24"/>
              </w:rPr>
              <w:t>.</w:t>
            </w:r>
          </w:p>
          <w:p>
            <w:pPr>
              <w:pStyle w:val="BodyText3"/>
              <w:rPr>
                <w:rFonts w:ascii="Times New Roman" w:hAnsi="Times New Roman" w:cs="Times New Roman"/>
                <w:sz w:val="24"/>
                <w:szCs w:val="24"/>
              </w:rPr>
            </w:pPr>
          </w:p>
          <w:p>
            <w:pPr>
              <w:pStyle w:val="BodyText3"/>
              <w:rPr>
                <w:rFonts w:ascii="Times New Roman" w:hAnsi="Times New Roman" w:cs="Times New Roman"/>
                <w:sz w:val="24"/>
                <w:szCs w:val="24"/>
              </w:rPr>
            </w:pPr>
          </w:p>
          <w:p>
            <w:pPr>
              <w:pStyle w:val="BodyText"/>
              <w:widowControl/>
              <w:spacing w:after="0"/>
              <w:rPr>
                <w:rFonts w:ascii="Times New Roman" w:hAnsi="Times New Roman" w:cs="Times New Roman"/>
                <w:sz w:val="24"/>
                <w:szCs w:val="24"/>
              </w:rPr>
            </w:pPr>
            <w:r>
              <w:rPr>
                <w:rFonts w:ascii="Times New Roman" w:hAnsi="Times New Roman" w:cs="Times New Roman"/>
                <w:sz w:val="24"/>
                <w:szCs w:val="24"/>
              </w:rPr>
              <w:t>Čl. V.</w:t>
            </w:r>
          </w:p>
          <w:p>
            <w:pPr>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b/>
                <w:sz w:val="24"/>
                <w:szCs w:val="24"/>
                <w:lang w:val="sk-SK"/>
              </w:rPr>
            </w:pPr>
          </w:p>
          <w:p>
            <w:pPr>
              <w:ind w:right="-70"/>
              <w:rPr>
                <w:rFonts w:ascii="Times New Roman" w:hAnsi="Times New Roman" w:cs="Times New Roman"/>
                <w:sz w:val="24"/>
                <w:szCs w:val="24"/>
                <w:lang w:val="sk-SK"/>
              </w:rPr>
            </w:pPr>
            <w:r>
              <w:rPr>
                <w:rFonts w:ascii="Times New Roman" w:hAnsi="Times New Roman" w:cs="Times New Roman"/>
                <w:b/>
                <w:sz w:val="24"/>
                <w:szCs w:val="24"/>
                <w:lang w:val="sk-SK"/>
              </w:rPr>
              <w:t>§</w:t>
            </w:r>
            <w:r>
              <w:rPr>
                <w:rFonts w:ascii="Times New Roman" w:hAnsi="Times New Roman" w:cs="Times New Roman"/>
                <w:sz w:val="24"/>
                <w:szCs w:val="24"/>
                <w:lang w:val="sk-SK"/>
              </w:rPr>
              <w:t>158a</w:t>
            </w: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Príloha</w:t>
            </w:r>
          </w:p>
          <w:p>
            <w:pPr>
              <w:rPr>
                <w:rFonts w:ascii="Times New Roman" w:hAnsi="Times New Roman" w:cs="Times New Roman"/>
                <w:sz w:val="24"/>
                <w:szCs w:val="24"/>
                <w:lang w:val="sk-SK"/>
              </w:rPr>
            </w:pPr>
            <w:r>
              <w:rPr>
                <w:rFonts w:ascii="Times New Roman" w:hAnsi="Times New Roman" w:cs="Times New Roman"/>
                <w:sz w:val="24"/>
                <w:szCs w:val="24"/>
                <w:lang w:val="sk-SK"/>
              </w:rPr>
              <w:t>k zákonu č. 566/ 2001 Z.z.</w:t>
            </w:r>
          </w:p>
          <w:p>
            <w:pPr>
              <w:rPr>
                <w:rFonts w:ascii="Times New Roman" w:hAnsi="Times New Roman" w:cs="Times New Roman"/>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sz w:val="24"/>
                <w:szCs w:val="24"/>
                <w:lang w:val="sk-SK"/>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tabs>
                <w:tab w:val="left" w:pos="426"/>
              </w:tabs>
              <w:rPr>
                <w:rFonts w:ascii="Times New Roman" w:hAnsi="Times New Roman" w:cs="Times New Roman"/>
                <w:b/>
                <w:sz w:val="24"/>
                <w:szCs w:val="24"/>
                <w:lang w:val="sk-SK"/>
              </w:rPr>
            </w:pPr>
          </w:p>
          <w:p>
            <w:pPr>
              <w:tabs>
                <w:tab w:val="left" w:pos="426"/>
              </w:tabs>
              <w:rPr>
                <w:rFonts w:ascii="Times New Roman" w:hAnsi="Times New Roman" w:cs="Times New Roman"/>
                <w:b/>
                <w:sz w:val="24"/>
                <w:szCs w:val="24"/>
                <w:lang w:val="sk-SK"/>
              </w:rPr>
            </w:pPr>
          </w:p>
          <w:p>
            <w:pPr>
              <w:tabs>
                <w:tab w:val="left" w:pos="426"/>
              </w:tabs>
              <w:rPr>
                <w:rFonts w:ascii="Times New Roman" w:hAnsi="Times New Roman" w:cs="Times New Roman"/>
                <w:b/>
                <w:sz w:val="24"/>
                <w:szCs w:val="24"/>
                <w:lang w:val="sk-SK"/>
              </w:rPr>
            </w:pPr>
          </w:p>
          <w:p>
            <w:pPr>
              <w:tabs>
                <w:tab w:val="left" w:pos="426"/>
              </w:tabs>
              <w:rPr>
                <w:rFonts w:ascii="Times New Roman" w:hAnsi="Times New Roman" w:cs="Times New Roman"/>
                <w:sz w:val="24"/>
                <w:szCs w:val="24"/>
                <w:lang w:val="sk-SK"/>
              </w:rPr>
            </w:pPr>
            <w:r>
              <w:rPr>
                <w:rFonts w:ascii="Times New Roman" w:hAnsi="Times New Roman" w:cs="Times New Roman"/>
                <w:sz w:val="24"/>
                <w:szCs w:val="24"/>
                <w:lang w:val="sk-SK"/>
              </w:rPr>
              <w:t>Tento zákon nadobúda účinnosť 1. augusta 2004.</w:t>
            </w: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b/>
                <w:sz w:val="24"/>
                <w:szCs w:val="24"/>
                <w:lang w:val="sk-SK"/>
              </w:rPr>
            </w:pPr>
          </w:p>
          <w:p>
            <w:pPr>
              <w:rPr>
                <w:rFonts w:ascii="Times New Roman" w:hAnsi="Times New Roman" w:cs="Times New Roman"/>
                <w:sz w:val="24"/>
                <w:szCs w:val="24"/>
              </w:rPr>
            </w:pPr>
            <w:r>
              <w:rPr>
                <w:rFonts w:ascii="Times New Roman" w:hAnsi="Times New Roman" w:cs="Times New Roman"/>
                <w:sz w:val="24"/>
                <w:szCs w:val="24"/>
              </w:rPr>
              <w:t>Týmto zákonom sa transponujú do právneho poriadku Slovenskej republiky právne akty Európskej únie uvedené v prílohe.</w:t>
            </w:r>
          </w:p>
          <w:p>
            <w:pPr>
              <w:rPr>
                <w:rFonts w:ascii="Times New Roman" w:hAnsi="Times New Roman" w:cs="Times New Roman"/>
                <w:sz w:val="24"/>
                <w:szCs w:val="24"/>
                <w:lang w:val="sk-SK"/>
              </w:rPr>
            </w:pPr>
          </w:p>
          <w:p>
            <w:pPr>
              <w:pStyle w:val="BodyText"/>
              <w:jc w:val="both"/>
              <w:rPr>
                <w:rFonts w:ascii="Times New Roman" w:hAnsi="Times New Roman" w:cs="Times New Roman"/>
                <w:sz w:val="24"/>
                <w:szCs w:val="24"/>
              </w:rPr>
            </w:pPr>
            <w:r>
              <w:rPr>
                <w:rFonts w:ascii="Times New Roman" w:hAnsi="Times New Roman" w:cs="Times New Roman"/>
                <w:sz w:val="24"/>
                <w:szCs w:val="24"/>
              </w:rPr>
              <w:t>Týmto zákonom sa preberá táto smernica:</w:t>
            </w:r>
          </w:p>
          <w:p>
            <w:pPr>
              <w:pStyle w:val="N-textsodrkami"/>
              <w:ind w:left="180" w:hanging="180"/>
              <w:rPr>
                <w:rFonts w:ascii="Times New Roman" w:hAnsi="Times New Roman" w:cs="Times New Roman"/>
                <w:sz w:val="24"/>
                <w:szCs w:val="24"/>
              </w:rPr>
            </w:pPr>
            <w:r>
              <w:rPr>
                <w:rFonts w:ascii="Times New Roman" w:hAnsi="Times New Roman" w:cs="Times New Roman"/>
                <w:sz w:val="24"/>
                <w:szCs w:val="24"/>
              </w:rPr>
              <w:t>9. Smernica 2003/125/ES z 22.decembra 2003 implementujúcej smernicu 2003/6/ES Európskeho parlamentu a Rady o objektívnom prezentovaní investičných odporúčaní a o zverejňovaní konfliktov záujmov. (Úradný vestník Európskych spoločenstiev L 339, 24/12/2003, str. 73-77) .</w:t>
            </w:r>
          </w:p>
          <w:p>
            <w:pPr>
              <w:rPr>
                <w:rFonts w:ascii="Times New Roman" w:hAnsi="Times New Roman" w:cs="Times New Roman"/>
                <w:b/>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Ú</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Návrh zákona</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r>
              <w:rPr>
                <w:rFonts w:ascii="Times New Roman" w:hAnsi="Times New Roman" w:cs="Times New Roman"/>
                <w:sz w:val="24"/>
                <w:szCs w:val="24"/>
                <w:lang w:val="sk-SK"/>
              </w:rPr>
              <w:t>SR informuje Komisiu prostredníctvom notifikácie</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Nadobudnutie účinnosti</w:t>
            </w: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Táto smernica nadobúda účinnosť v deň</w:t>
            </w:r>
            <w:r>
              <w:rPr>
                <w:rFonts w:ascii="Times New Roman" w:hAnsi="Times New Roman" w:cs="Times New Roman"/>
                <w:sz w:val="24"/>
                <w:szCs w:val="24"/>
                <w:lang w:val="sk-SK"/>
              </w:rPr>
              <w:t xml:space="preserve"> jej uverejnenia v </w:t>
            </w:r>
            <w:r>
              <w:rPr>
                <w:rFonts w:ascii="Times New Roman" w:hAnsi="Times New Roman" w:cs="Times New Roman"/>
                <w:i/>
                <w:sz w:val="24"/>
                <w:szCs w:val="24"/>
                <w:lang w:val="sk-SK"/>
              </w:rPr>
              <w:t>Úradnom vestníku Európskej únie</w:t>
            </w:r>
            <w:r>
              <w:rPr>
                <w:rFonts w:ascii="Times New Roman" w:hAnsi="Times New Roman" w:cs="Times New Roman"/>
                <w:sz w:val="24"/>
                <w:szCs w:val="24"/>
                <w:lang w:val="sk-SK"/>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ind w:right="-285"/>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r>
        <w:tblPrEx>
          <w:tblLayout w:type="fixed"/>
          <w:tblCellMar>
            <w:top w:w="0" w:type="dxa"/>
            <w:left w:w="70" w:type="dxa"/>
            <w:bottom w:w="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12.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pPr>
              <w:pStyle w:val="Titrearticle"/>
              <w:spacing w:before="0" w:after="0"/>
              <w:rPr>
                <w:rFonts w:ascii="Times New Roman" w:hAnsi="Times New Roman" w:cs="Times New Roman"/>
                <w:b/>
                <w:i w:val="0"/>
                <w:sz w:val="24"/>
                <w:szCs w:val="24"/>
                <w:lang w:val="sk-SK"/>
              </w:rPr>
            </w:pPr>
            <w:r>
              <w:rPr>
                <w:rFonts w:ascii="Times New Roman" w:hAnsi="Times New Roman" w:cs="Times New Roman"/>
                <w:b/>
                <w:i w:val="0"/>
                <w:sz w:val="24"/>
                <w:szCs w:val="24"/>
                <w:lang w:val="sk-SK"/>
              </w:rPr>
              <w:t>Adresáti</w:t>
            </w:r>
          </w:p>
          <w:p>
            <w:pPr>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Táto smernica je adresovaná členským štátom.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4252"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ind w:right="-285"/>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r>
              <w:rPr>
                <w:rFonts w:ascii="Times New Roman" w:hAnsi="Times New Roman" w:cs="Times New Roman"/>
                <w:sz w:val="24"/>
                <w:szCs w:val="24"/>
                <w:lang w:val="sk-SK"/>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lang w:val="sk-SK"/>
              </w:rPr>
            </w:pPr>
          </w:p>
        </w:tc>
      </w:tr>
    </w:tbl>
    <w:p>
      <w:pPr>
        <w:rPr>
          <w:rFonts w:ascii="Times New Roman" w:hAnsi="Times New Roman" w:cs="Times New Roman"/>
          <w:sz w:val="24"/>
          <w:szCs w:val="24"/>
          <w:lang w:val="sk-SK"/>
        </w:rPr>
      </w:pPr>
    </w:p>
    <w:p>
      <w:pPr>
        <w:rPr>
          <w:rFonts w:ascii="Times New Roman" w:hAnsi="Times New Roman" w:cs="Times New Roman"/>
          <w:sz w:val="24"/>
          <w:szCs w:val="24"/>
          <w:lang w:val="sk-SK"/>
        </w:rPr>
      </w:pPr>
    </w:p>
    <w:sectPr>
      <w:footerReference w:type="default" r:id="rId5"/>
      <w:pgSz w:w="16840" w:h="11907" w:orient="landscape" w:code="9"/>
      <w:pgMar w:top="1191" w:right="1758" w:bottom="1191" w:left="1191" w:header="1758" w:footer="1191"/>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1"/>
    <w:family w:val="roman"/>
    <w:pitch w:val="variable"/>
    <w:sig w:usb0="00000000" w:usb1="00000000" w:usb2="00000000" w:usb3="00000000" w:csb0="000000FF" w:csb1="00000000"/>
  </w:font>
  <w:font w:name="Arial">
    <w:panose1 w:val="020B0604020202020204"/>
    <w:charset w:val="B1"/>
    <w:family w:val="swiss"/>
    <w:pitch w:val="variable"/>
    <w:sig w:usb0="00000000" w:usb1="00000000" w:usb2="00000000" w:usb3="00000000" w:csb0="000000FF" w:csb1="00000000"/>
  </w:font>
  <w:font w:name="Courier New">
    <w:panose1 w:val="02070309020205020404"/>
    <w:charset w:val="B1"/>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0000000000000000000"/>
    <w:charset w:val="00"/>
    <w:family w:val="roman"/>
    <w:pitch w:val="variable"/>
    <w:sig w:usb0="00000000" w:usb1="00000000" w:usb2="00000000" w:usb3="00000000" w:csb0="00000001" w:csb1="00000000"/>
  </w:font>
  <w:font w:name="Helvetica">
    <w:panose1 w:val="00000000000000000000"/>
    <w:charset w:val="00"/>
    <w:family w:val="swiss"/>
    <w:pitch w:val="variable"/>
    <w:sig w:usb0="00000000" w:usb1="00000000" w:usb2="00000000" w:usb3="00000000" w:csb0="00000001" w:csb1="00000000"/>
  </w:font>
  <w:font w:name="Courier">
    <w:panose1 w:val="00000000000000000000"/>
    <w:charset w:val="00"/>
    <w:family w:val="modern"/>
    <w:pitch w:val="fixed"/>
    <w:sig w:usb0="00000000" w:usb1="00000000" w:usb2="00000000" w:usb3="00000000" w:csb0="00000001" w:csb1="00000000"/>
  </w:font>
  <w:font w:name="Geneva">
    <w:panose1 w:val="00000000000000000000"/>
    <w:charset w:val="00"/>
    <w:family w:val="swiss"/>
    <w:pitch w:val="variable"/>
    <w:sig w:usb0="00000000" w:usb1="00000000" w:usb2="00000000" w:usb3="00000000" w:csb0="00000001" w:csb1="00000000"/>
  </w:font>
  <w:font w:name="Tms Rmn">
    <w:panose1 w:val="00000000000000000000"/>
    <w:charset w:val="00"/>
    <w:family w:val="roman"/>
    <w:pitch w:val="variable"/>
    <w:sig w:usb0="00000000" w:usb1="00000000" w:usb2="00000000" w:usb3="00000000" w:csb0="00000001" w:csb1="00000000"/>
  </w:font>
  <w:font w:name="Helv">
    <w:altName w:val="Arial"/>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MS Sans Serif">
    <w:panose1 w:val="00000000000000000000"/>
    <w:charset w:val="00"/>
    <w:family w:val="swiss"/>
    <w:pitch w:val="variable"/>
    <w:sig w:usb0="00000000" w:usb1="00000000" w:usb2="00000000" w:usb3="00000000" w:csb0="00000001" w:csb1="00000000"/>
  </w:font>
  <w:font w:name="New York">
    <w:panose1 w:val="00000000000000000000"/>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B1"/>
    <w:family w:val="swiss"/>
    <w:pitch w:val="variable"/>
    <w:sig w:usb0="00000000" w:usb1="00000000" w:usb2="00000000" w:usb3="00000000" w:csb0="000000FF" w:csb1="00000000"/>
  </w:font>
  <w:font w:name="Mincho">
    <w:altName w:val="??"/>
    <w:panose1 w:val="00000000000000000000"/>
    <w:charset w:val="80"/>
    <w:family w:val="roman"/>
    <w:pitch w:val="fixed"/>
    <w:sig w:usb0="00000000" w:usb1="00000000" w:usb2="00000000" w:usb3="00000000" w:csb0="00020000" w:csb1="00000000"/>
  </w:font>
  <w:font w:name="Batang">
    <w:altName w:val="??"/>
    <w:panose1 w:val="00000000000000000000"/>
    <w:charset w:val="81"/>
    <w:family w:val="roman"/>
    <w:pitch w:val="variable"/>
    <w:sig w:usb0="00000000" w:usb1="00000000" w:usb2="00000000" w:usb3="00000000" w:csb0="0008009F" w:csb1="00000000"/>
  </w:font>
  <w:font w:name="SimSun">
    <w:altName w:val="??"/>
    <w:panose1 w:val="00000000000000000000"/>
    <w:charset w:val="86"/>
    <w:family w:val="auto"/>
    <w:pitch w:val="variable"/>
    <w:sig w:usb0="00000000" w:usb1="00000000" w:usb2="00000000" w:usb3="00000000" w:csb0="00040001" w:csb1="00000000"/>
  </w:font>
  <w:font w:name="PMingLiU">
    <w:altName w:val="????"/>
    <w:panose1 w:val="00000000000000000000"/>
    <w:charset w:val="88"/>
    <w:family w:val="roman"/>
    <w:pitch w:val="variable"/>
    <w:sig w:usb0="00000000" w:usb1="00000000" w:usb2="00000000" w:usb3="00000000" w:csb0="00100001" w:csb1="00000000"/>
  </w:font>
  <w:font w:name="Gothic">
    <w:altName w:val="?????"/>
    <w:panose1 w:val="00000000000000000000"/>
    <w:charset w:val="80"/>
    <w:family w:val="modern"/>
    <w:pitch w:val="fixed"/>
    <w:sig w:usb0="00000000" w:usb1="00000000" w:usb2="00000000" w:usb3="00000000" w:csb0="00020000" w:csb1="00000000"/>
  </w:font>
  <w:font w:name="Dotum">
    <w:altName w:val="??"/>
    <w:panose1 w:val="00000000000000000000"/>
    <w:charset w:val="81"/>
    <w:family w:val="modern"/>
    <w:pitch w:val="fixed"/>
    <w:sig w:usb0="00000000" w:usb1="00000000" w:usb2="00000000" w:usb3="00000000" w:csb0="00080000" w:csb1="00000000"/>
  </w:font>
  <w:font w:name="SimHei">
    <w:altName w:val="??"/>
    <w:panose1 w:val="00000000000000000000"/>
    <w:charset w:val="86"/>
    <w:family w:val="modern"/>
    <w:pitch w:val="fixed"/>
    <w:sig w:usb0="00000000" w:usb1="00000000" w:usb2="00000000" w:usb3="00000000" w:csb0="00040000" w:csb1="00000000"/>
  </w:font>
  <w:font w:name="MingLiU">
    <w:altName w:val="???"/>
    <w:panose1 w:val="00000000000000000000"/>
    <w:charset w:val="88"/>
    <w:family w:val="modern"/>
    <w:pitch w:val="fixed"/>
    <w:sig w:usb0="00000000" w:usb1="00000000" w:usb2="00000000" w:usb3="00000000" w:csb0="00100000" w:csb1="00000000"/>
  </w:font>
  <w:font w:name="MS Mincho">
    <w:altName w:val="MS ??"/>
    <w:panose1 w:val="00000000000000000000"/>
    <w:charset w:val="80"/>
    <w:family w:val="modern"/>
    <w:pitch w:val="fixed"/>
    <w:sig w:usb0="00000000" w:usb1="00000000" w:usb2="00000000" w:usb3="00000000" w:csb0="0002009F" w:csb1="00000000"/>
  </w:font>
  <w:font w:name="Gulim">
    <w:altName w:val="??"/>
    <w:panose1 w:val="00000000000000000000"/>
    <w:charset w:val="81"/>
    <w:family w:val="roman"/>
    <w:pitch w:val="fixed"/>
    <w:sig w:usb0="00000000" w:usb1="00000000" w:usb2="00000000" w:usb3="00000000" w:csb0="00080000" w:csb1="00000000"/>
  </w:font>
  <w:font w:name="MS Gothic">
    <w:altName w:val="MS ????"/>
    <w:panose1 w:val="00000000000000000000"/>
    <w:charset w:val="80"/>
    <w:family w:val="modern"/>
    <w:pitch w:val="fixed"/>
    <w:sig w:usb0="00000000" w:usb1="00000000" w:usb2="00000000" w:usb3="00000000" w:csb0="00020000" w:csb1="00000000"/>
  </w:font>
  <w:font w:name="Century">
    <w:panose1 w:val="00000000000000000000"/>
    <w:charset w:val="EE"/>
    <w:family w:val="roman"/>
    <w:pitch w:val="variable"/>
    <w:sig w:usb0="00000000" w:usb1="00000000" w:usb2="00000000" w:usb3="00000000" w:csb0="0000009F" w:csb1="00000000"/>
  </w:font>
  <w:font w:name="PragmaticaCTT">
    <w:panose1 w:val="00000000000000000000"/>
    <w:charset w:val="00"/>
    <w:family w:val="auto"/>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B1"/>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0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13" w:csb1="00000000"/>
  </w:font>
  <w:font w:name="Webdings">
    <w:panose1 w:val="05030102010509060703"/>
    <w:charset w:val="02"/>
    <w:family w:val="roman"/>
    <w:pitch w:val="variable"/>
    <w:sig w:usb0="00000000" w:usb1="00000000" w:usb2="00000000" w:usb3="00000000" w:csb0="80000000" w:csb1="00000000"/>
  </w:font>
  <w:font w:name="Microsoft Sans Serif">
    <w:panose1 w:val="00000000000000000000"/>
    <w:charset w:val="EE"/>
    <w:family w:val="swiss"/>
    <w:pitch w:val="variable"/>
    <w:sig w:usb0="00000000" w:usb1="00000000" w:usb2="00000000" w:usb3="00000000" w:csb0="000000FF" w:csb1="00000000"/>
  </w:font>
  <w:font w:name="Map Symbols">
    <w:panose1 w:val="00000000000000000000"/>
    <w:charset w:val="00"/>
    <w:family w:val="roman"/>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Arial Unicode MS">
    <w:panose1 w:val="00000000000000000000"/>
    <w:charset w:val="80"/>
    <w:family w:val="swiss"/>
    <w:pitch w:val="variable"/>
    <w:sig w:usb0="00000000" w:usb1="00000000" w:usb2="00000000" w:usb3="00000000" w:csb0="000200FF" w:csb1="00000000"/>
  </w:font>
  <w:font w:name="@Batang">
    <w:panose1 w:val="00000000000000000000"/>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E" w:csb1="00000000"/>
  </w:font>
  <w:font w:name="@MS Mincho">
    <w:panose1 w:val="00000000000000000000"/>
    <w:charset w:val="80"/>
    <w:family w:val="modern"/>
    <w:pitch w:val="fixed"/>
    <w:sig w:usb0="00000000" w:usb1="00000000" w:usb2="00000000" w:usb3="00000000" w:csb0="0002009F" w:csb1="00000000"/>
  </w:font>
  <w:font w:name="MS Outlook">
    <w:panose1 w:val="00000000000000000000"/>
    <w:charset w:val="02"/>
    <w:family w:val="auto"/>
    <w:pitch w:val="variable"/>
    <w:sig w:usb0="00000000" w:usb1="00000000" w:usb2="00000000" w:usb3="00000000" w:csb0="80000000" w:csb1="00000000"/>
  </w:font>
  <w:font w:name="@PMingLiU">
    <w:panose1 w:val="00000000000000000000"/>
    <w:charset w:val="88"/>
    <w:family w:val="roman"/>
    <w:pitch w:val="variable"/>
    <w:sig w:usb0="00000000" w:usb1="00000000" w:usb2="00000000" w:usb3="00000000" w:csb0="00100001" w:csb1="00000000"/>
  </w:font>
  <w:font w:name="@SimSun">
    <w:panose1 w:val="00000000000000000000"/>
    <w:charset w:val="86"/>
    <w:family w:val="auto"/>
    <w:pitch w:val="variable"/>
    <w:sig w:usb0="00000000" w:usb1="00000000" w:usb2="00000000" w:usb3="00000000" w:csb0="0004000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WE)">
    <w:panose1 w:val="00000000000000000000"/>
    <w:charset w:val="EE"/>
    <w:family w:val="swiss"/>
    <w:pitch w:val="variable"/>
    <w:sig w:usb0="00000000" w:usb1="00000000" w:usb2="00000000" w:usb3="00000000" w:csb0="00000002" w:csb1="00000000"/>
  </w:font>
  <w:font w:name="News Gothic MT">
    <w:panose1 w:val="020B0504020203020204"/>
    <w:charset w:val="00"/>
    <w:family w:val="swiss"/>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90204"/>
    <w:charset w:val="00"/>
    <w:family w:val="swiss"/>
    <w:pitch w:val="variable"/>
    <w:sig w:usb0="00000000" w:usb1="00000000" w:usb2="00000000" w:usb3="00000000" w:csb0="00000001" w:csb1="00000000"/>
  </w:font>
  <w:font w:name="OCR A Extended">
    <w:panose1 w:val="02010509020102010303"/>
    <w:charset w:val="00"/>
    <w:family w:val="modern"/>
    <w:pitch w:val="fixed"/>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Abadi MT Condensed Light">
    <w:panose1 w:val="020B0306030101010103"/>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Westminster">
    <w:panose1 w:val="04040506030F02020702"/>
    <w:charset w:val="00"/>
    <w:family w:val="decorative"/>
    <w:pitch w:val="variable"/>
    <w:sig w:usb0="00000000" w:usb1="00000000" w:usb2="00000000" w:usb3="00000000" w:csb0="00000001" w:csb1="00000000"/>
  </w:font>
  <w:font w:name="Monotype Sorts">
    <w:panose1 w:val="01010601010101010101"/>
    <w:charset w:val="02"/>
    <w:family w:val="auto"/>
    <w:pitch w:val="variable"/>
    <w:sig w:usb0="00000000" w:usb1="00000000" w:usb2="00000000" w:usb3="00000000" w:csb0="80000000" w:csb1="00000000"/>
  </w:font>
  <w:font w:name="LotusWPSet">
    <w:panose1 w:val="00000000000000000000"/>
    <w:charset w:val="02"/>
    <w:family w:val="auto"/>
    <w:pitch w:val="variable"/>
    <w:sig w:usb0="00000000" w:usb1="00000000" w:usb2="00000000" w:usb3="00000000" w:csb0="80000000" w:csb1="00000000"/>
  </w:font>
  <w:font w:name="LotusLineDraw">
    <w:panose1 w:val="020B0600000000000000"/>
    <w:charset w:val="00"/>
    <w:family w:val="swiss"/>
    <w:pitch w:val="variable"/>
    <w:sig w:usb0="00000000" w:usb1="00000000" w:usb2="00000000" w:usb3="00000000" w:csb0="00000001" w:csb1="00000000"/>
  </w:font>
  <w:font w:name="Albertus Extra Bold">
    <w:panose1 w:val="020E0802040304020204"/>
    <w:charset w:val="EE"/>
    <w:family w:val="swiss"/>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Century Schoolbook">
    <w:panose1 w:val="02040603050505020303"/>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1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1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ndale Mono">
    <w:panose1 w:val="020B0509000000000004"/>
    <w:charset w:val="EE"/>
    <w:family w:val="modern"/>
    <w:pitch w:val="fixed"/>
    <w:sig w:usb0="00000000" w:usb1="00000000" w:usb2="00000000" w:usb3="00000000" w:csb0="0000009F" w:csb1="00000000"/>
  </w:font>
  <w:font w:name="Arial (W1)">
    <w:panose1 w:val="00000000000000000000"/>
    <w:charset w:val="00"/>
    <w:family w:val="swiss"/>
    <w:pitch w:val="variable"/>
    <w:sig w:usb0="00000000" w:usb1="00000000" w:usb2="00000000" w:usb3="00000000" w:csb0="00000001" w:csb1="00000000"/>
  </w:font>
  <w:font w:name="Arial (WT)">
    <w:panose1 w:val="00000000000000000000"/>
    <w:charset w:val="A2"/>
    <w:family w:val="swiss"/>
    <w:pitch w:val="variable"/>
    <w:sig w:usb0="00000000" w:usb1="00000000" w:usb2="00000000" w:usb3="00000000" w:csb0="00000010" w:csb1="00000000"/>
  </w:font>
  <w:font w:name="Arial (WC)">
    <w:panose1 w:val="00000000000000000000"/>
    <w:charset w:val="CC"/>
    <w:family w:val="swiss"/>
    <w:pitch w:val="variable"/>
    <w:sig w:usb0="00000000" w:usb1="00000000" w:usb2="00000000" w:usb3="00000000" w:csb0="00000004" w:csb1="00000000"/>
  </w:font>
  <w:font w:name="Arial (WG)">
    <w:panose1 w:val="00000000000000000000"/>
    <w:charset w:val="A1"/>
    <w:family w:val="swiss"/>
    <w:pitch w:val="variable"/>
    <w:sig w:usb0="00000000" w:usb1="00000000" w:usb2="00000000" w:usb3="00000000" w:csb0="00000008" w:csb1="00000000"/>
  </w:font>
  <w:font w:name="Arial (WL)">
    <w:panose1 w:val="00000000000000000000"/>
    <w:charset w:val="BA"/>
    <w:family w:val="swiss"/>
    <w:pitch w:val="variable"/>
    <w:sig w:usb0="00000000" w:usb1="00000000" w:usb2="00000000" w:usb3="00000000" w:csb0="00000080" w:csb1="00000000"/>
  </w:font>
  <w:font w:name="Times New (W1)">
    <w:panose1 w:val="00000000000000000000"/>
    <w:charset w:val="00"/>
    <w:family w:val="roman"/>
    <w:pitch w:val="variable"/>
    <w:sig w:usb0="00000000" w:usb1="00000000" w:usb2="00000000" w:usb3="00000000" w:csb0="00000001" w:csb1="00000000"/>
  </w:font>
  <w:font w:name="Times New (WE)">
    <w:panose1 w:val="00000000000000000000"/>
    <w:charset w:val="EE"/>
    <w:family w:val="roman"/>
    <w:pitch w:val="variable"/>
    <w:sig w:usb0="00000000" w:usb1="00000000" w:usb2="00000000" w:usb3="00000000" w:csb0="00000002" w:csb1="00000000"/>
  </w:font>
  <w:font w:name="Times New (WT)">
    <w:panose1 w:val="00000000000000000000"/>
    <w:charset w:val="A2"/>
    <w:family w:val="roman"/>
    <w:pitch w:val="variable"/>
    <w:sig w:usb0="00000000" w:usb1="00000000" w:usb2="00000000" w:usb3="00000000" w:csb0="00000010" w:csb1="00000000"/>
  </w:font>
  <w:font w:name="Times New (WC)">
    <w:panose1 w:val="00000000000000000000"/>
    <w:charset w:val="CC"/>
    <w:family w:val="roman"/>
    <w:pitch w:val="variable"/>
    <w:sig w:usb0="00000000" w:usb1="00000000" w:usb2="00000000" w:usb3="00000000" w:csb0="00000004" w:csb1="00000000"/>
  </w:font>
  <w:font w:name="Times New (WG)">
    <w:panose1 w:val="00000000000000000000"/>
    <w:charset w:val="A1"/>
    <w:family w:val="roman"/>
    <w:pitch w:val="variable"/>
    <w:sig w:usb0="00000000" w:usb1="00000000" w:usb2="00000000" w:usb3="00000000" w:csb0="00000008" w:csb1="00000000"/>
  </w:font>
  <w:font w:name="Times New (WL)">
    <w:panose1 w:val="00000000000000000000"/>
    <w:charset w:val="BA"/>
    <w:family w:val="roman"/>
    <w:pitch w:val="variable"/>
    <w:sig w:usb0="00000000" w:usb1="00000000" w:usb2="00000000" w:usb3="00000000" w:csb0="00000080" w:csb1="00000000"/>
  </w:font>
  <w:font w:name="Albertus (W1)">
    <w:panose1 w:val="00000000000000000000"/>
    <w:charset w:val="00"/>
    <w:family w:val="swiss"/>
    <w:pitch w:val="variable"/>
    <w:sig w:usb0="00000000" w:usb1="00000000" w:usb2="00000000" w:usb3="00000000" w:csb0="00000001" w:csb1="00000000"/>
  </w:font>
  <w:font w:name="Albertus (WE)">
    <w:panose1 w:val="00000000000000000000"/>
    <w:charset w:val="EE"/>
    <w:family w:val="swiss"/>
    <w:pitch w:val="variable"/>
    <w:sig w:usb0="00000000" w:usb1="00000000" w:usb2="00000000" w:usb3="00000000" w:csb0="00000002" w:csb1="00000000"/>
  </w:font>
  <w:font w:name="Albertus (WT)">
    <w:panose1 w:val="00000000000000000000"/>
    <w:charset w:val="A2"/>
    <w:family w:val="swiss"/>
    <w:pitch w:val="variable"/>
    <w:sig w:usb0="00000000" w:usb1="00000000" w:usb2="00000000" w:usb3="00000000" w:csb0="00000010" w:csb1="00000000"/>
  </w:font>
  <w:font w:name="Albertus (WL)">
    <w:panose1 w:val="00000000000000000000"/>
    <w:charset w:val="BA"/>
    <w:family w:val="swiss"/>
    <w:pitch w:val="variable"/>
    <w:sig w:usb0="00000000" w:usb1="00000000" w:usb2="00000000" w:usb3="00000000" w:csb0="00000080" w:csb1="00000000"/>
  </w:font>
  <w:font w:name="Albertus Xb (W1)">
    <w:panose1 w:val="00000000000000000000"/>
    <w:charset w:val="00"/>
    <w:family w:val="swiss"/>
    <w:pitch w:val="variable"/>
    <w:sig w:usb0="00000000" w:usb1="00000000" w:usb2="00000000" w:usb3="00000000" w:csb0="00000001" w:csb1="00000000"/>
  </w:font>
  <w:font w:name="Albertus Xb (WE)">
    <w:panose1 w:val="00000000000000000000"/>
    <w:charset w:val="EE"/>
    <w:family w:val="swiss"/>
    <w:pitch w:val="variable"/>
    <w:sig w:usb0="00000000" w:usb1="00000000" w:usb2="00000000" w:usb3="00000000" w:csb0="00000002" w:csb1="00000000"/>
  </w:font>
  <w:font w:name="Albertus Xb (WT)">
    <w:panose1 w:val="00000000000000000000"/>
    <w:charset w:val="A2"/>
    <w:family w:val="swiss"/>
    <w:pitch w:val="variable"/>
    <w:sig w:usb0="00000000" w:usb1="00000000" w:usb2="00000000" w:usb3="00000000" w:csb0="00000010" w:csb1="00000000"/>
  </w:font>
  <w:font w:name="Albertus Xb (WL)">
    <w:panose1 w:val="00000000000000000000"/>
    <w:charset w:val="BA"/>
    <w:family w:val="swiss"/>
    <w:pitch w:val="variable"/>
    <w:sig w:usb0="00000000" w:usb1="00000000" w:usb2="00000000" w:usb3="00000000" w:csb0="00000080" w:csb1="00000000"/>
  </w:font>
  <w:font w:name="Antique Olv (W1)">
    <w:panose1 w:val="00000000000000000000"/>
    <w:charset w:val="00"/>
    <w:family w:val="swiss"/>
    <w:pitch w:val="variable"/>
    <w:sig w:usb0="00000000" w:usb1="00000000" w:usb2="00000000" w:usb3="00000000" w:csb0="00000001" w:csb1="00000000"/>
  </w:font>
  <w:font w:name="Antique Olv (WE)">
    <w:panose1 w:val="00000000000000000000"/>
    <w:charset w:val="EE"/>
    <w:family w:val="swiss"/>
    <w:pitch w:val="variable"/>
    <w:sig w:usb0="00000000" w:usb1="00000000" w:usb2="00000000" w:usb3="00000000" w:csb0="00000002" w:csb1="00000000"/>
  </w:font>
  <w:font w:name="Antique Olv (WT)">
    <w:panose1 w:val="00000000000000000000"/>
    <w:charset w:val="A2"/>
    <w:family w:val="swiss"/>
    <w:pitch w:val="variable"/>
    <w:sig w:usb0="00000000" w:usb1="00000000" w:usb2="00000000" w:usb3="00000000" w:csb0="00000010" w:csb1="00000000"/>
  </w:font>
  <w:font w:name="Antique Olv (WL)">
    <w:panose1 w:val="00000000000000000000"/>
    <w:charset w:val="BA"/>
    <w:family w:val="swiss"/>
    <w:pitch w:val="variable"/>
    <w:sig w:usb0="00000000" w:usb1="00000000" w:usb2="00000000" w:usb3="00000000" w:csb0="00000080" w:csb1="00000000"/>
  </w:font>
  <w:font w:name="CG Times (W1)">
    <w:panose1 w:val="00000000000000000000"/>
    <w:charset w:val="00"/>
    <w:family w:val="roman"/>
    <w:pitch w:val="variable"/>
    <w:sig w:usb0="00000000" w:usb1="00000000" w:usb2="00000000" w:usb3="00000000" w:csb0="00000001" w:csb1="00000000"/>
  </w:font>
  <w:font w:name="CG Times (WE)">
    <w:panose1 w:val="00000000000000000000"/>
    <w:charset w:val="EE"/>
    <w:family w:val="roman"/>
    <w:pitch w:val="variable"/>
    <w:sig w:usb0="00000000" w:usb1="00000000" w:usb2="00000000" w:usb3="00000000" w:csb0="00000002" w:csb1="00000000"/>
  </w:font>
  <w:font w:name="CG Times (WT)">
    <w:panose1 w:val="00000000000000000000"/>
    <w:charset w:val="A2"/>
    <w:family w:val="roman"/>
    <w:pitch w:val="variable"/>
    <w:sig w:usb0="00000000" w:usb1="00000000" w:usb2="00000000" w:usb3="00000000" w:csb0="00000010" w:csb1="00000000"/>
  </w:font>
  <w:font w:name="CG Times (WL)">
    <w:panose1 w:val="00000000000000000000"/>
    <w:charset w:val="BA"/>
    <w:family w:val="roman"/>
    <w:pitch w:val="variable"/>
    <w:sig w:usb0="00000000" w:usb1="00000000" w:usb2="00000000" w:usb3="00000000" w:csb0="00000080" w:csb1="00000000"/>
  </w:font>
  <w:font w:name="Clarendon Cd (W1)">
    <w:panose1 w:val="00000000000000000000"/>
    <w:charset w:val="00"/>
    <w:family w:val="roman"/>
    <w:pitch w:val="variable"/>
    <w:sig w:usb0="00000000" w:usb1="00000000" w:usb2="00000000" w:usb3="00000000" w:csb0="00000001" w:csb1="00000000"/>
  </w:font>
  <w:font w:name="Clarendon Cd (WE)">
    <w:panose1 w:val="00000000000000000000"/>
    <w:charset w:val="EE"/>
    <w:family w:val="roman"/>
    <w:pitch w:val="variable"/>
    <w:sig w:usb0="00000000" w:usb1="00000000" w:usb2="00000000" w:usb3="00000000" w:csb0="00000002" w:csb1="00000000"/>
  </w:font>
  <w:font w:name="Clarendon Cd (WT)">
    <w:panose1 w:val="00000000000000000000"/>
    <w:charset w:val="A2"/>
    <w:family w:val="roman"/>
    <w:pitch w:val="variable"/>
    <w:sig w:usb0="00000000" w:usb1="00000000" w:usb2="00000000" w:usb3="00000000" w:csb0="00000010" w:csb1="00000000"/>
  </w:font>
  <w:font w:name="Clarendon Cd (WL)">
    <w:panose1 w:val="00000000000000000000"/>
    <w:charset w:val="BA"/>
    <w:family w:val="roman"/>
    <w:pitch w:val="variable"/>
    <w:sig w:usb0="00000000" w:usb1="00000000" w:usb2="00000000" w:usb3="00000000" w:csb0="00000080" w:csb1="00000000"/>
  </w:font>
  <w:font w:name="Coronet (W1)">
    <w:panose1 w:val="00000000000000000000"/>
    <w:charset w:val="00"/>
    <w:family w:val="script"/>
    <w:pitch w:val="variable"/>
    <w:sig w:usb0="00000000" w:usb1="00000000" w:usb2="00000000" w:usb3="00000000" w:csb0="00000001" w:csb1="00000000"/>
  </w:font>
  <w:font w:name="Coronet (WE)">
    <w:panose1 w:val="00000000000000000000"/>
    <w:charset w:val="EE"/>
    <w:family w:val="script"/>
    <w:pitch w:val="variable"/>
    <w:sig w:usb0="00000000" w:usb1="00000000" w:usb2="00000000" w:usb3="00000000" w:csb0="00000002" w:csb1="00000000"/>
  </w:font>
  <w:font w:name="Coronet (WT)">
    <w:panose1 w:val="00000000000000000000"/>
    <w:charset w:val="A2"/>
    <w:family w:val="script"/>
    <w:pitch w:val="variable"/>
    <w:sig w:usb0="00000000" w:usb1="00000000" w:usb2="00000000" w:usb3="00000000" w:csb0="00000010" w:csb1="00000000"/>
  </w:font>
  <w:font w:name="Coronet (WL)">
    <w:panose1 w:val="00000000000000000000"/>
    <w:charset w:val="BA"/>
    <w:family w:val="script"/>
    <w:pitch w:val="variable"/>
    <w:sig w:usb0="00000000" w:usb1="00000000" w:usb2="00000000" w:usb3="00000000" w:csb0="00000080" w:csb1="00000000"/>
  </w:font>
  <w:font w:name="Marigold (W1)">
    <w:panose1 w:val="00000000000000000000"/>
    <w:charset w:val="00"/>
    <w:family w:val="script"/>
    <w:pitch w:val="variable"/>
    <w:sig w:usb0="00000000" w:usb1="00000000" w:usb2="00000000" w:usb3="00000000" w:csb0="00000001" w:csb1="00000000"/>
  </w:font>
  <w:font w:name="Marigold (WE)">
    <w:panose1 w:val="00000000000000000000"/>
    <w:charset w:val="EE"/>
    <w:family w:val="script"/>
    <w:pitch w:val="variable"/>
    <w:sig w:usb0="00000000" w:usb1="00000000" w:usb2="00000000" w:usb3="00000000" w:csb0="00000002" w:csb1="00000000"/>
  </w:font>
  <w:font w:name="Marigold (WT)">
    <w:panose1 w:val="00000000000000000000"/>
    <w:charset w:val="A2"/>
    <w:family w:val="script"/>
    <w:pitch w:val="variable"/>
    <w:sig w:usb0="00000000" w:usb1="00000000" w:usb2="00000000" w:usb3="00000000" w:csb0="00000010" w:csb1="00000000"/>
  </w:font>
  <w:font w:name="Marigold (WL)">
    <w:panose1 w:val="00000000000000000000"/>
    <w:charset w:val="BA"/>
    <w:family w:val="script"/>
    <w:pitch w:val="variable"/>
    <w:sig w:usb0="00000000" w:usb1="00000000" w:usb2="00000000" w:usb3="00000000" w:csb0="00000080" w:csb1="00000000"/>
  </w:font>
  <w:font w:name="CG Omega (W1)">
    <w:panose1 w:val="00000000000000000000"/>
    <w:charset w:val="00"/>
    <w:family w:val="swiss"/>
    <w:pitch w:val="variable"/>
    <w:sig w:usb0="00000000" w:usb1="00000000" w:usb2="00000000" w:usb3="00000000" w:csb0="00000001" w:csb1="00000000"/>
  </w:font>
  <w:font w:name="CG Omega (WE)">
    <w:panose1 w:val="00000000000000000000"/>
    <w:charset w:val="EE"/>
    <w:family w:val="swiss"/>
    <w:pitch w:val="variable"/>
    <w:sig w:usb0="00000000" w:usb1="00000000" w:usb2="00000000" w:usb3="00000000" w:csb0="00000002" w:csb1="00000000"/>
  </w:font>
  <w:font w:name="CG Omega (WT)">
    <w:panose1 w:val="00000000000000000000"/>
    <w:charset w:val="A2"/>
    <w:family w:val="swiss"/>
    <w:pitch w:val="variable"/>
    <w:sig w:usb0="00000000" w:usb1="00000000" w:usb2="00000000" w:usb3="00000000" w:csb0="00000010" w:csb1="00000000"/>
  </w:font>
  <w:font w:name="CG Omega (WL)">
    <w:panose1 w:val="00000000000000000000"/>
    <w:charset w:val="BA"/>
    <w:family w:val="swiss"/>
    <w:pitch w:val="variable"/>
    <w:sig w:usb0="00000000" w:usb1="00000000" w:usb2="00000000" w:usb3="00000000" w:csb0="00000080" w:csb1="00000000"/>
  </w:font>
  <w:font w:name="Univers Cd (W1)">
    <w:panose1 w:val="00000000000000000000"/>
    <w:charset w:val="00"/>
    <w:family w:val="swiss"/>
    <w:pitch w:val="variable"/>
    <w:sig w:usb0="00000000" w:usb1="00000000" w:usb2="00000000" w:usb3="00000000" w:csb0="00000001" w:csb1="00000000"/>
  </w:font>
  <w:font w:name="Univers Cd (WE)">
    <w:panose1 w:val="00000000000000000000"/>
    <w:charset w:val="EE"/>
    <w:family w:val="swiss"/>
    <w:pitch w:val="variable"/>
    <w:sig w:usb0="00000000" w:usb1="00000000" w:usb2="00000000" w:usb3="00000000" w:csb0="00000002" w:csb1="00000000"/>
  </w:font>
  <w:font w:name="Univers Cd (WT)">
    <w:panose1 w:val="00000000000000000000"/>
    <w:charset w:val="A2"/>
    <w:family w:val="swiss"/>
    <w:pitch w:val="variable"/>
    <w:sig w:usb0="00000000" w:usb1="00000000" w:usb2="00000000" w:usb3="00000000" w:csb0="00000010" w:csb1="00000000"/>
  </w:font>
  <w:font w:name="Univers Cd (WL)">
    <w:panose1 w:val="00000000000000000000"/>
    <w:charset w:val="BA"/>
    <w:family w:val="swiss"/>
    <w:pitch w:val="variable"/>
    <w:sig w:usb0="00000000" w:usb1="00000000" w:usb2="00000000" w:usb3="00000000" w:csb0="00000080" w:csb1="00000000"/>
  </w:font>
  <w:font w:name="Univers (W1)">
    <w:panose1 w:val="00000000000000000000"/>
    <w:charset w:val="00"/>
    <w:family w:val="swiss"/>
    <w:pitch w:val="variable"/>
    <w:sig w:usb0="00000000" w:usb1="00000000" w:usb2="00000000" w:usb3="00000000" w:csb0="00000001" w:csb1="00000000"/>
  </w:font>
  <w:font w:name="Univers (WE)">
    <w:panose1 w:val="00000000000000000000"/>
    <w:charset w:val="EE"/>
    <w:family w:val="swiss"/>
    <w:pitch w:val="variable"/>
    <w:sig w:usb0="00000000" w:usb1="00000000" w:usb2="00000000" w:usb3="00000000" w:csb0="00000002" w:csb1="00000000"/>
  </w:font>
  <w:font w:name="Univers (WT)">
    <w:panose1 w:val="00000000000000000000"/>
    <w:charset w:val="A2"/>
    <w:family w:val="swiss"/>
    <w:pitch w:val="variable"/>
    <w:sig w:usb0="00000000" w:usb1="00000000" w:usb2="00000000" w:usb3="00000000" w:csb0="00000010" w:csb1="00000000"/>
  </w:font>
  <w:font w:name="Univers (WL)">
    <w:panose1 w:val="00000000000000000000"/>
    <w:charset w:val="BA"/>
    <w:family w:val="swiss"/>
    <w:pitch w:val="variable"/>
    <w:sig w:usb0="00000000" w:usb1="00000000" w:usb2="00000000" w:usb3="00000000" w:csb0="00000080" w:csb1="00000000"/>
  </w:font>
  <w:font w:name="Letter Gothic (W1)">
    <w:panose1 w:val="00000000000000000000"/>
    <w:charset w:val="00"/>
    <w:family w:val="modern"/>
    <w:pitch w:val="variable"/>
    <w:sig w:usb0="00000000" w:usb1="00000000" w:usb2="00000000" w:usb3="00000000" w:csb0="00000001" w:csb1="00000000"/>
  </w:font>
  <w:font w:name="Letter Gothic (WE)">
    <w:panose1 w:val="00000000000000000000"/>
    <w:charset w:val="EE"/>
    <w:family w:val="modern"/>
    <w:pitch w:val="variable"/>
    <w:sig w:usb0="00000000" w:usb1="00000000" w:usb2="00000000" w:usb3="00000000" w:csb0="00000002" w:csb1="00000000"/>
  </w:font>
  <w:font w:name="Letter Gothic (WT)">
    <w:panose1 w:val="00000000000000000000"/>
    <w:charset w:val="A2"/>
    <w:family w:val="modern"/>
    <w:pitch w:val="variable"/>
    <w:sig w:usb0="00000000" w:usb1="00000000" w:usb2="00000000" w:usb3="00000000" w:csb0="00000010" w:csb1="00000000"/>
  </w:font>
  <w:font w:name="Letter Gothic (WL)">
    <w:panose1 w:val="00000000000000000000"/>
    <w:charset w:val="BA"/>
    <w:family w:val="modern"/>
    <w:pitch w:val="variable"/>
    <w:sig w:usb0="00000000" w:usb1="00000000" w:usb2="00000000" w:usb3="00000000" w:csb0="00000080" w:csb1="00000000"/>
  </w:font>
  <w:font w:name="Garmond (W1)">
    <w:panose1 w:val="00000000000000000000"/>
    <w:charset w:val="00"/>
    <w:family w:val="roman"/>
    <w:pitch w:val="variable"/>
    <w:sig w:usb0="00000000" w:usb1="00000000" w:usb2="00000000" w:usb3="00000000" w:csb0="00000001" w:csb1="00000000"/>
  </w:font>
  <w:font w:name="Garmond (WE)">
    <w:panose1 w:val="00000000000000000000"/>
    <w:charset w:val="EE"/>
    <w:family w:val="roman"/>
    <w:pitch w:val="variable"/>
    <w:sig w:usb0="00000000" w:usb1="00000000" w:usb2="00000000" w:usb3="00000000" w:csb0="00000002" w:csb1="00000000"/>
  </w:font>
  <w:font w:name="Garmond (WT)">
    <w:panose1 w:val="00000000000000000000"/>
    <w:charset w:val="A2"/>
    <w:family w:val="roman"/>
    <w:pitch w:val="variable"/>
    <w:sig w:usb0="00000000" w:usb1="00000000" w:usb2="00000000" w:usb3="00000000" w:csb0="00000010" w:csb1="00000000"/>
  </w:font>
  <w:font w:name="Garmond (WL)">
    <w:panose1 w:val="00000000000000000000"/>
    <w:charset w:val="BA"/>
    <w:family w:val="roman"/>
    <w:pitch w:val="variable"/>
    <w:sig w:usb0="00000000" w:usb1="00000000" w:usb2="00000000" w:usb3="00000000" w:csb0="00000080" w:csb1="00000000"/>
  </w:font>
  <w:font w:name="Wingdings (L$)">
    <w:panose1 w:val="00000000000000000000"/>
    <w:charset w:val="02"/>
    <w:family w:val="auto"/>
    <w:pitch w:val="variable"/>
    <w:sig w:usb0="00000000" w:usb1="00000000" w:usb2="00000000" w:usb3="00000000" w:csb0="80000000" w:csb1="00000000"/>
  </w:font>
  <w:font w:name="Symbol (AS)">
    <w:panose1 w:val="00000000000000000000"/>
    <w:charset w:val="02"/>
    <w:family w:val="roman"/>
    <w:pitch w:val="variable"/>
    <w:sig w:usb0="00000000" w:usb1="00000000" w:usb2="00000000" w:usb3="00000000" w:csb0="80000000" w:csb1="00000000"/>
  </w:font>
  <w:font w:name="Courier (W1)">
    <w:panose1 w:val="00000000000000000000"/>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Pr>
        <w:rStyle w:val="PageNumber"/>
        <w:rFonts w:ascii="Times New Roman" w:hAnsi="Times New Roman" w:cs="Times New Roman"/>
        <w:sz w:val="24"/>
        <w:szCs w:val="24"/>
      </w:rPr>
      <w:fldChar w:fldCharType="end"/>
    </w:r>
  </w:p>
  <w:p>
    <w:pPr>
      <w:pStyle w:val="Footer"/>
      <w:ind w:right="360"/>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lang w:val="pl-PL"/>
        </w:rPr>
        <w:t xml:space="preserve"> Ú. v. C 141, 11.6.1993, s. 27.</w:t>
      </w:r>
    </w:p>
  </w:footnote>
  <w:footnote w:id="1">
    <w:p>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lang w:val="es-ES"/>
        </w:rPr>
        <w:t xml:space="preserve"> Ú. v. C 126, 26.5.2000, s.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A9"/>
    <w:multiLevelType w:val="multilevel"/>
    <w:tmpl w:val="98AA5252"/>
    <w:lvl w:ilvl="0">
      <w:start w:val="1"/>
      <w:numFmt w:val="lowerLetter"/>
      <w:lvlText w:val="%1)"/>
      <w:lvlJc w:val="left"/>
      <w:pPr>
        <w:tabs>
          <w:tab w:val="num" w:pos="1500"/>
        </w:tabs>
        <w:ind w:hanging="360"/>
      </w:pPr>
      <w:rPr>
        <w:rFonts w:hint="default"/>
      </w:rPr>
    </w:lvl>
    <w:lvl w:ilvl="1">
      <w:start w:val="2"/>
      <w:numFmt w:val="lowerLetter"/>
      <w:lvlText w:val="(%2)"/>
      <w:lvlJc w:val="left"/>
      <w:pPr>
        <w:tabs>
          <w:tab w:val="num" w:pos="2220"/>
        </w:tabs>
        <w:ind w:hanging="360"/>
      </w:pPr>
      <w:rPr>
        <w:rFonts w:hint="default"/>
      </w:rPr>
    </w:lvl>
    <w:lvl w:ilvl="2">
      <w:start w:val="1"/>
      <w:numFmt w:val="lowerRoman"/>
      <w:lvlText w:val="%3."/>
      <w:lvlJc w:val="right"/>
      <w:pPr>
        <w:tabs>
          <w:tab w:val="num" w:pos="2940"/>
        </w:tabs>
        <w:ind w:hanging="180"/>
      </w:pPr>
    </w:lvl>
    <w:lvl w:ilvl="3">
      <w:start w:val="1"/>
      <w:numFmt w:val="decimal"/>
      <w:lvlText w:val="%4."/>
      <w:lvlJc w:val="left"/>
      <w:pPr>
        <w:tabs>
          <w:tab w:val="num" w:pos="3660"/>
        </w:tabs>
        <w:ind w:hanging="360"/>
      </w:pPr>
    </w:lvl>
    <w:lvl w:ilvl="4">
      <w:start w:val="1"/>
      <w:numFmt w:val="lowerLetter"/>
      <w:lvlText w:val="%5."/>
      <w:lvlJc w:val="left"/>
      <w:pPr>
        <w:tabs>
          <w:tab w:val="num" w:pos="4380"/>
        </w:tabs>
        <w:ind w:hanging="360"/>
      </w:pPr>
    </w:lvl>
    <w:lvl w:ilvl="5">
      <w:start w:val="1"/>
      <w:numFmt w:val="lowerRoman"/>
      <w:lvlText w:val="%6."/>
      <w:lvlJc w:val="right"/>
      <w:pPr>
        <w:tabs>
          <w:tab w:val="num" w:pos="5100"/>
        </w:tabs>
        <w:ind w:hanging="180"/>
      </w:pPr>
    </w:lvl>
    <w:lvl w:ilvl="6">
      <w:start w:val="1"/>
      <w:numFmt w:val="decimal"/>
      <w:lvlText w:val="%7."/>
      <w:lvlJc w:val="left"/>
      <w:pPr>
        <w:tabs>
          <w:tab w:val="num" w:pos="5820"/>
        </w:tabs>
        <w:ind w:hanging="360"/>
      </w:pPr>
    </w:lvl>
    <w:lvl w:ilvl="7">
      <w:start w:val="1"/>
      <w:numFmt w:val="lowerLetter"/>
      <w:lvlText w:val="%8."/>
      <w:lvlJc w:val="left"/>
      <w:pPr>
        <w:tabs>
          <w:tab w:val="num" w:pos="6540"/>
        </w:tabs>
        <w:ind w:hanging="360"/>
      </w:pPr>
    </w:lvl>
    <w:lvl w:ilvl="8">
      <w:start w:val="1"/>
      <w:numFmt w:val="lowerRoman"/>
      <w:lvlText w:val="%9."/>
      <w:lvlJc w:val="right"/>
      <w:pPr>
        <w:tabs>
          <w:tab w:val="num" w:pos="7260"/>
        </w:tabs>
        <w:ind w:hanging="180"/>
      </w:pPr>
    </w:lvl>
  </w:abstractNum>
  <w:abstractNum w:abstractNumId="1">
    <w:nsid w:val="161B3EAC"/>
    <w:multiLevelType w:val="multilevel"/>
    <w:tmpl w:val="4F805FE2"/>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
    <w:nsid w:val="1A7418C3"/>
    <w:multiLevelType w:val="singleLevel"/>
    <w:tmpl w:val="98BE2A52"/>
    <w:lvl w:ilvl="0">
      <w:start w:val="1"/>
      <w:numFmt w:val="lowerLetter"/>
      <w:lvlText w:val="%1) "/>
      <w:legacy w:legacy="1" w:legacySpace="0" w:legacyIndent="283"/>
      <w:lvlJc w:val="left"/>
      <w:pPr>
        <w:ind w:hanging="283"/>
      </w:pPr>
      <w:rPr>
        <w:b w:val="0"/>
        <w:i w:val="0"/>
        <w:color w:val="000000"/>
        <w:sz w:val="24"/>
      </w:rPr>
    </w:lvl>
  </w:abstractNum>
  <w:abstractNum w:abstractNumId="3">
    <w:nsid w:val="1C082476"/>
    <w:multiLevelType w:val="multilevel"/>
    <w:tmpl w:val="897CCD28"/>
    <w:lvl w:ilvl="0">
      <w:start w:val="4"/>
      <w:numFmt w:val="decimal"/>
      <w:lvlText w:val="%1."/>
      <w:lvlJc w:val="left"/>
      <w:pPr>
        <w:tabs>
          <w:tab w:val="num" w:pos="701"/>
        </w:tabs>
        <w:ind w:hanging="630"/>
      </w:pPr>
      <w:rPr>
        <w:rFonts w:hint="default"/>
      </w:rPr>
    </w:lvl>
    <w:lvl w:ilvl="1">
      <w:start w:val="1"/>
      <w:numFmt w:val="lowerLetter"/>
      <w:lvlText w:val="%2."/>
      <w:lvlJc w:val="left"/>
      <w:pPr>
        <w:tabs>
          <w:tab w:val="num" w:pos="1151"/>
        </w:tabs>
        <w:ind w:hanging="360"/>
      </w:pPr>
    </w:lvl>
    <w:lvl w:ilvl="2">
      <w:start w:val="1"/>
      <w:numFmt w:val="lowerRoman"/>
      <w:lvlText w:val="%3."/>
      <w:lvlJc w:val="right"/>
      <w:pPr>
        <w:tabs>
          <w:tab w:val="num" w:pos="1871"/>
        </w:tabs>
        <w:ind w:hanging="180"/>
      </w:pPr>
    </w:lvl>
    <w:lvl w:ilvl="3">
      <w:start w:val="1"/>
      <w:numFmt w:val="decimal"/>
      <w:lvlText w:val="%4."/>
      <w:lvlJc w:val="left"/>
      <w:pPr>
        <w:tabs>
          <w:tab w:val="num" w:pos="2591"/>
        </w:tabs>
        <w:ind w:hanging="360"/>
      </w:pPr>
    </w:lvl>
    <w:lvl w:ilvl="4">
      <w:start w:val="1"/>
      <w:numFmt w:val="lowerLetter"/>
      <w:lvlText w:val="%5."/>
      <w:lvlJc w:val="left"/>
      <w:pPr>
        <w:tabs>
          <w:tab w:val="num" w:pos="3311"/>
        </w:tabs>
        <w:ind w:hanging="360"/>
      </w:pPr>
    </w:lvl>
    <w:lvl w:ilvl="5">
      <w:start w:val="1"/>
      <w:numFmt w:val="lowerRoman"/>
      <w:lvlText w:val="%6."/>
      <w:lvlJc w:val="right"/>
      <w:pPr>
        <w:tabs>
          <w:tab w:val="num" w:pos="4031"/>
        </w:tabs>
        <w:ind w:hanging="180"/>
      </w:pPr>
    </w:lvl>
    <w:lvl w:ilvl="6">
      <w:start w:val="1"/>
      <w:numFmt w:val="decimal"/>
      <w:lvlText w:val="%7."/>
      <w:lvlJc w:val="left"/>
      <w:pPr>
        <w:tabs>
          <w:tab w:val="num" w:pos="4751"/>
        </w:tabs>
        <w:ind w:hanging="360"/>
      </w:pPr>
    </w:lvl>
    <w:lvl w:ilvl="7">
      <w:start w:val="1"/>
      <w:numFmt w:val="lowerLetter"/>
      <w:lvlText w:val="%8."/>
      <w:lvlJc w:val="left"/>
      <w:pPr>
        <w:tabs>
          <w:tab w:val="num" w:pos="5471"/>
        </w:tabs>
        <w:ind w:hanging="360"/>
      </w:pPr>
    </w:lvl>
    <w:lvl w:ilvl="8">
      <w:start w:val="1"/>
      <w:numFmt w:val="lowerRoman"/>
      <w:lvlText w:val="%9."/>
      <w:lvlJc w:val="right"/>
      <w:pPr>
        <w:tabs>
          <w:tab w:val="num" w:pos="6191"/>
        </w:tabs>
        <w:ind w:hanging="180"/>
      </w:pPr>
    </w:lvl>
  </w:abstractNum>
  <w:abstractNum w:abstractNumId="4">
    <w:nsid w:val="35900195"/>
    <w:multiLevelType w:val="multilevel"/>
    <w:tmpl w:val="0C440FBA"/>
    <w:lvl w:ilvl="0">
      <w:start w:val="1"/>
      <w:numFmt w:val="lowerLetter"/>
      <w:lvlText w:val="%1)"/>
      <w:lvlJc w:val="left"/>
      <w:pPr>
        <w:tabs>
          <w:tab w:val="num" w:pos="1500"/>
        </w:tabs>
        <w:ind w:hanging="360"/>
      </w:pPr>
      <w:rPr>
        <w:rFonts w:hint="default"/>
      </w:rPr>
    </w:lvl>
    <w:lvl w:ilvl="1">
      <w:start w:val="2"/>
      <w:numFmt w:val="lowerLetter"/>
      <w:lvlText w:val="(%2)"/>
      <w:lvlJc w:val="left"/>
      <w:pPr>
        <w:tabs>
          <w:tab w:val="num" w:pos="2220"/>
        </w:tabs>
        <w:ind w:hanging="360"/>
      </w:pPr>
      <w:rPr>
        <w:rFonts w:hint="default"/>
      </w:rPr>
    </w:lvl>
    <w:lvl w:ilvl="2">
      <w:start w:val="1"/>
      <w:numFmt w:val="decimal"/>
      <w:lvlText w:val="(%3)"/>
      <w:lvlJc w:val="left"/>
      <w:pPr>
        <w:tabs>
          <w:tab w:val="num" w:pos="3855"/>
        </w:tabs>
        <w:ind w:hanging="1095"/>
      </w:pPr>
      <w:rPr>
        <w:rFonts w:hint="default"/>
      </w:rPr>
    </w:lvl>
    <w:lvl w:ilvl="3">
      <w:start w:val="1"/>
      <w:numFmt w:val="decimal"/>
      <w:lvlText w:val="%4."/>
      <w:lvlJc w:val="left"/>
      <w:pPr>
        <w:tabs>
          <w:tab w:val="num" w:pos="3660"/>
        </w:tabs>
        <w:ind w:hanging="360"/>
      </w:pPr>
    </w:lvl>
    <w:lvl w:ilvl="4">
      <w:start w:val="1"/>
      <w:numFmt w:val="lowerLetter"/>
      <w:lvlText w:val="%5."/>
      <w:lvlJc w:val="left"/>
      <w:pPr>
        <w:tabs>
          <w:tab w:val="num" w:pos="4380"/>
        </w:tabs>
        <w:ind w:hanging="360"/>
      </w:pPr>
    </w:lvl>
    <w:lvl w:ilvl="5">
      <w:start w:val="1"/>
      <w:numFmt w:val="lowerRoman"/>
      <w:lvlText w:val="%6."/>
      <w:lvlJc w:val="right"/>
      <w:pPr>
        <w:tabs>
          <w:tab w:val="num" w:pos="5100"/>
        </w:tabs>
        <w:ind w:hanging="180"/>
      </w:pPr>
    </w:lvl>
    <w:lvl w:ilvl="6">
      <w:start w:val="1"/>
      <w:numFmt w:val="decimal"/>
      <w:lvlText w:val="%7."/>
      <w:lvlJc w:val="left"/>
      <w:pPr>
        <w:tabs>
          <w:tab w:val="num" w:pos="5820"/>
        </w:tabs>
        <w:ind w:hanging="360"/>
      </w:pPr>
    </w:lvl>
    <w:lvl w:ilvl="7">
      <w:start w:val="1"/>
      <w:numFmt w:val="lowerLetter"/>
      <w:lvlText w:val="%8."/>
      <w:lvlJc w:val="left"/>
      <w:pPr>
        <w:tabs>
          <w:tab w:val="num" w:pos="6540"/>
        </w:tabs>
        <w:ind w:hanging="360"/>
      </w:pPr>
    </w:lvl>
    <w:lvl w:ilvl="8">
      <w:start w:val="1"/>
      <w:numFmt w:val="lowerRoman"/>
      <w:lvlText w:val="%9."/>
      <w:lvlJc w:val="right"/>
      <w:pPr>
        <w:tabs>
          <w:tab w:val="num" w:pos="7260"/>
        </w:tabs>
        <w:ind w:hanging="180"/>
      </w:pPr>
    </w:lvl>
  </w:abstractNum>
  <w:abstractNum w:abstractNumId="5">
    <w:nsid w:val="397C1365"/>
    <w:multiLevelType w:val="singleLevel"/>
    <w:tmpl w:val="8CA86D90"/>
    <w:lvl w:ilvl="0">
      <w:start w:val="1"/>
      <w:numFmt w:val="lowerLetter"/>
      <w:lvlText w:val="%1)"/>
      <w:legacy w:legacy="1" w:legacySpace="0" w:legacyIndent="360"/>
      <w:lvlJc w:val="left"/>
      <w:pPr>
        <w:ind w:hanging="360"/>
      </w:pPr>
    </w:lvl>
  </w:abstractNum>
  <w:abstractNum w:abstractNumId="6">
    <w:nsid w:val="3CB079BB"/>
    <w:multiLevelType w:val="multilevel"/>
    <w:tmpl w:val="6B1439AC"/>
    <w:lvl w:ilvl="0">
      <w:start w:val="1"/>
      <w:numFmt w:val="lowerLetter"/>
      <w:lvlText w:val="%1)"/>
      <w:lvlJc w:val="left"/>
      <w:pPr>
        <w:tabs>
          <w:tab w:val="num" w:pos="1500"/>
        </w:tabs>
        <w:ind w:hanging="360"/>
      </w:pPr>
      <w:rPr>
        <w:rFonts w:hint="default"/>
      </w:rPr>
    </w:lvl>
    <w:lvl w:ilvl="1">
      <w:start w:val="1"/>
      <w:numFmt w:val="lowerLetter"/>
      <w:lvlText w:val="%2."/>
      <w:lvlJc w:val="left"/>
      <w:pPr>
        <w:tabs>
          <w:tab w:val="num" w:pos="2220"/>
        </w:tabs>
        <w:ind w:hanging="360"/>
      </w:pPr>
    </w:lvl>
    <w:lvl w:ilvl="2">
      <w:start w:val="1"/>
      <w:numFmt w:val="lowerRoman"/>
      <w:lvlText w:val="%3."/>
      <w:lvlJc w:val="right"/>
      <w:pPr>
        <w:tabs>
          <w:tab w:val="num" w:pos="2940"/>
        </w:tabs>
        <w:ind w:hanging="180"/>
      </w:pPr>
    </w:lvl>
    <w:lvl w:ilvl="3">
      <w:start w:val="1"/>
      <w:numFmt w:val="decimal"/>
      <w:lvlText w:val="%4."/>
      <w:lvlJc w:val="left"/>
      <w:pPr>
        <w:tabs>
          <w:tab w:val="num" w:pos="3660"/>
        </w:tabs>
        <w:ind w:hanging="360"/>
      </w:pPr>
    </w:lvl>
    <w:lvl w:ilvl="4">
      <w:start w:val="1"/>
      <w:numFmt w:val="lowerLetter"/>
      <w:lvlText w:val="%5."/>
      <w:lvlJc w:val="left"/>
      <w:pPr>
        <w:tabs>
          <w:tab w:val="num" w:pos="4380"/>
        </w:tabs>
        <w:ind w:hanging="360"/>
      </w:pPr>
    </w:lvl>
    <w:lvl w:ilvl="5">
      <w:start w:val="1"/>
      <w:numFmt w:val="lowerRoman"/>
      <w:lvlText w:val="%6."/>
      <w:lvlJc w:val="right"/>
      <w:pPr>
        <w:tabs>
          <w:tab w:val="num" w:pos="5100"/>
        </w:tabs>
        <w:ind w:hanging="180"/>
      </w:pPr>
    </w:lvl>
    <w:lvl w:ilvl="6">
      <w:start w:val="1"/>
      <w:numFmt w:val="decimal"/>
      <w:lvlText w:val="%7."/>
      <w:lvlJc w:val="left"/>
      <w:pPr>
        <w:tabs>
          <w:tab w:val="num" w:pos="5820"/>
        </w:tabs>
        <w:ind w:hanging="360"/>
      </w:pPr>
    </w:lvl>
    <w:lvl w:ilvl="7">
      <w:start w:val="1"/>
      <w:numFmt w:val="lowerLetter"/>
      <w:lvlText w:val="%8."/>
      <w:lvlJc w:val="left"/>
      <w:pPr>
        <w:tabs>
          <w:tab w:val="num" w:pos="6540"/>
        </w:tabs>
        <w:ind w:hanging="360"/>
      </w:pPr>
    </w:lvl>
    <w:lvl w:ilvl="8">
      <w:start w:val="1"/>
      <w:numFmt w:val="lowerRoman"/>
      <w:lvlText w:val="%9."/>
      <w:lvlJc w:val="right"/>
      <w:pPr>
        <w:tabs>
          <w:tab w:val="num" w:pos="7260"/>
        </w:tabs>
        <w:ind w:hanging="180"/>
      </w:pPr>
    </w:lvl>
  </w:abstractNum>
  <w:abstractNum w:abstractNumId="7">
    <w:nsid w:val="3EF6131A"/>
    <w:multiLevelType w:val="singleLevel"/>
    <w:tmpl w:val="59BC14BE"/>
    <w:name w:val="List Dash 1"/>
    <w:lvl w:ilvl="0">
      <w:start w:val="1"/>
      <w:numFmt w:val="bullet"/>
      <w:pStyle w:val="ListDash1"/>
      <w:lvlText w:val="–"/>
      <w:lvlJc w:val="left"/>
      <w:pPr>
        <w:tabs>
          <w:tab w:val="num" w:pos="1134"/>
        </w:tabs>
        <w:ind w:hanging="283"/>
      </w:pPr>
      <w:rPr>
        <w:rFonts w:ascii="Times New Roman" w:hAnsi="Times New Roman"/>
      </w:rPr>
    </w:lvl>
  </w:abstractNum>
  <w:abstractNum w:abstractNumId="8">
    <w:nsid w:val="43A42B09"/>
    <w:multiLevelType w:val="multilevel"/>
    <w:tmpl w:val="88AA7200"/>
    <w:lvl w:ilvl="0">
      <w:start w:val="1"/>
      <w:numFmt w:val="decimal"/>
      <w:lvlText w:val="%1."/>
      <w:lvlJc w:val="left"/>
      <w:pPr>
        <w:tabs>
          <w:tab w:val="num" w:pos="850"/>
        </w:tabs>
        <w:ind w:hanging="850"/>
      </w:pPr>
    </w:lvl>
    <w:lvl w:ilvl="1">
      <w:start w:val="1"/>
      <w:numFmt w:val="decimal"/>
      <w:lvlText w:val="%1.%2."/>
      <w:lvlJc w:val="left"/>
      <w:pPr>
        <w:tabs>
          <w:tab w:val="num" w:pos="850"/>
        </w:tabs>
        <w:ind w:hanging="850"/>
      </w:pPr>
    </w:lvl>
    <w:lvl w:ilvl="2">
      <w:start w:val="1"/>
      <w:numFmt w:val="decimal"/>
      <w:lvlText w:val="%1.%2.%3."/>
      <w:lvlJc w:val="left"/>
      <w:pPr>
        <w:tabs>
          <w:tab w:val="num" w:pos="850"/>
        </w:tabs>
        <w:ind w:hanging="850"/>
      </w:pPr>
    </w:lvl>
    <w:lvl w:ilvl="3">
      <w:start w:val="1"/>
      <w:numFmt w:val="decimal"/>
      <w:lvlText w:val="%1.%2.%3.%4."/>
      <w:lvlJc w:val="left"/>
      <w:pPr>
        <w:tabs>
          <w:tab w:val="num" w:pos="850"/>
        </w:tabs>
        <w:ind w:hanging="850"/>
      </w:pPr>
    </w:lvl>
    <w:lvl w:ilvl="4">
      <w:start w:val="1"/>
      <w:numFmt w:val="lowerLetter"/>
      <w:lvlText w:val="(%5)"/>
      <w:lvlJc w:val="left"/>
      <w:pPr>
        <w:tabs>
          <w:tab w:val="num" w:pos="1800"/>
        </w:tabs>
        <w:ind w:hanging="360"/>
      </w:pPr>
    </w:lvl>
    <w:lvl w:ilvl="5">
      <w:start w:val="1"/>
      <w:numFmt w:val="lowerRoman"/>
      <w:lvlText w:val="(%6)"/>
      <w:lvlJc w:val="left"/>
      <w:pPr>
        <w:tabs>
          <w:tab w:val="num" w:pos="2160"/>
        </w:tabs>
        <w:ind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hanging="360"/>
      </w:pPr>
    </w:lvl>
    <w:lvl w:ilvl="8">
      <w:start w:val="1"/>
      <w:numFmt w:val="lowerRoman"/>
      <w:lvlText w:val="%9."/>
      <w:lvlJc w:val="left"/>
      <w:pPr>
        <w:tabs>
          <w:tab w:val="num" w:pos="3240"/>
        </w:tabs>
        <w:ind w:hanging="360"/>
      </w:pPr>
    </w:lvl>
  </w:abstractNum>
  <w:abstractNum w:abstractNumId="9">
    <w:nsid w:val="48426008"/>
    <w:multiLevelType w:val="multilevel"/>
    <w:tmpl w:val="7DB61A1E"/>
    <w:lvl w:ilvl="0">
      <w:start w:val="1"/>
      <w:numFmt w:val="lowerLetter"/>
      <w:lvlText w:val="%1)"/>
      <w:lvlJc w:val="left"/>
      <w:pPr>
        <w:tabs>
          <w:tab w:val="num" w:pos="1920"/>
        </w:tabs>
        <w:ind w:hanging="360"/>
      </w:pPr>
      <w:rPr>
        <w:rFonts w:hint="default"/>
      </w:rPr>
    </w:lvl>
    <w:lvl w:ilvl="1">
      <w:start w:val="5"/>
      <w:numFmt w:val="lowerLetter"/>
      <w:lvlText w:val="(%2)"/>
      <w:lvlJc w:val="left"/>
      <w:pPr>
        <w:tabs>
          <w:tab w:val="num" w:pos="2640"/>
        </w:tabs>
        <w:ind w:hanging="360"/>
      </w:pPr>
      <w:rPr>
        <w:rFonts w:hint="default"/>
      </w:rPr>
    </w:lvl>
    <w:lvl w:ilvl="2">
      <w:start w:val="1"/>
      <w:numFmt w:val="lowerRoman"/>
      <w:lvlText w:val="%3."/>
      <w:lvlJc w:val="right"/>
      <w:pPr>
        <w:tabs>
          <w:tab w:val="num" w:pos="3360"/>
        </w:tabs>
        <w:ind w:hanging="180"/>
      </w:pPr>
    </w:lvl>
    <w:lvl w:ilvl="3">
      <w:start w:val="1"/>
      <w:numFmt w:val="decimal"/>
      <w:lvlText w:val="%4."/>
      <w:lvlJc w:val="left"/>
      <w:pPr>
        <w:tabs>
          <w:tab w:val="num" w:pos="4080"/>
        </w:tabs>
        <w:ind w:hanging="360"/>
      </w:pPr>
    </w:lvl>
    <w:lvl w:ilvl="4">
      <w:start w:val="1"/>
      <w:numFmt w:val="lowerLetter"/>
      <w:lvlText w:val="%5."/>
      <w:lvlJc w:val="left"/>
      <w:pPr>
        <w:tabs>
          <w:tab w:val="num" w:pos="4800"/>
        </w:tabs>
        <w:ind w:hanging="360"/>
      </w:pPr>
    </w:lvl>
    <w:lvl w:ilvl="5">
      <w:start w:val="1"/>
      <w:numFmt w:val="lowerRoman"/>
      <w:lvlText w:val="%6."/>
      <w:lvlJc w:val="right"/>
      <w:pPr>
        <w:tabs>
          <w:tab w:val="num" w:pos="5520"/>
        </w:tabs>
        <w:ind w:hanging="180"/>
      </w:pPr>
    </w:lvl>
    <w:lvl w:ilvl="6">
      <w:start w:val="1"/>
      <w:numFmt w:val="decimal"/>
      <w:lvlText w:val="%7."/>
      <w:lvlJc w:val="left"/>
      <w:pPr>
        <w:tabs>
          <w:tab w:val="num" w:pos="6240"/>
        </w:tabs>
        <w:ind w:hanging="360"/>
      </w:pPr>
    </w:lvl>
    <w:lvl w:ilvl="7">
      <w:start w:val="1"/>
      <w:numFmt w:val="lowerLetter"/>
      <w:lvlText w:val="%8."/>
      <w:lvlJc w:val="left"/>
      <w:pPr>
        <w:tabs>
          <w:tab w:val="num" w:pos="6960"/>
        </w:tabs>
        <w:ind w:hanging="360"/>
      </w:pPr>
    </w:lvl>
    <w:lvl w:ilvl="8">
      <w:start w:val="1"/>
      <w:numFmt w:val="lowerRoman"/>
      <w:lvlText w:val="%9."/>
      <w:lvlJc w:val="right"/>
      <w:pPr>
        <w:tabs>
          <w:tab w:val="num" w:pos="7680"/>
        </w:tabs>
        <w:ind w:hanging="180"/>
      </w:pPr>
    </w:lvl>
  </w:abstractNum>
  <w:abstractNum w:abstractNumId="10">
    <w:nsid w:val="53BD41E4"/>
    <w:multiLevelType w:val="singleLevel"/>
    <w:tmpl w:val="3842CC3C"/>
    <w:lvl w:ilvl="0">
      <w:start w:val="1"/>
      <w:numFmt w:val="lowerLetter"/>
      <w:lvlText w:val="%1) "/>
      <w:legacy w:legacy="1" w:legacySpace="0" w:legacyIndent="283"/>
      <w:lvlJc w:val="left"/>
      <w:pPr>
        <w:ind w:hanging="283"/>
      </w:pPr>
      <w:rPr>
        <w:b w:val="0"/>
        <w:i w:val="0"/>
        <w:color w:val="000000"/>
        <w:sz w:val="24"/>
      </w:rPr>
    </w:lvl>
  </w:abstractNum>
  <w:abstractNum w:abstractNumId="11">
    <w:nsid w:val="577D1776"/>
    <w:multiLevelType w:val="multilevel"/>
    <w:tmpl w:val="A0185B62"/>
    <w:lvl w:ilvl="0">
      <w:start w:val="1"/>
      <w:numFmt w:val="lowerLetter"/>
      <w:lvlText w:val="%1)"/>
      <w:lvlJc w:val="left"/>
      <w:pPr>
        <w:tabs>
          <w:tab w:val="num" w:pos="1500"/>
        </w:tabs>
        <w:ind w:hanging="360"/>
      </w:pPr>
      <w:rPr>
        <w:rFonts w:hint="default"/>
      </w:rPr>
    </w:lvl>
    <w:lvl w:ilvl="1">
      <w:start w:val="2"/>
      <w:numFmt w:val="lowerLetter"/>
      <w:lvlText w:val="(%2)"/>
      <w:lvlJc w:val="left"/>
      <w:pPr>
        <w:tabs>
          <w:tab w:val="num" w:pos="2220"/>
        </w:tabs>
        <w:ind w:hanging="360"/>
      </w:pPr>
      <w:rPr>
        <w:rFonts w:hint="default"/>
      </w:rPr>
    </w:lvl>
    <w:lvl w:ilvl="2">
      <w:start w:val="1"/>
      <w:numFmt w:val="lowerRoman"/>
      <w:lvlText w:val="%3."/>
      <w:lvlJc w:val="right"/>
      <w:pPr>
        <w:tabs>
          <w:tab w:val="num" w:pos="2940"/>
        </w:tabs>
        <w:ind w:hanging="180"/>
      </w:pPr>
    </w:lvl>
    <w:lvl w:ilvl="3">
      <w:start w:val="1"/>
      <w:numFmt w:val="decimal"/>
      <w:lvlText w:val="%4."/>
      <w:lvlJc w:val="left"/>
      <w:pPr>
        <w:tabs>
          <w:tab w:val="num" w:pos="3660"/>
        </w:tabs>
        <w:ind w:hanging="360"/>
      </w:pPr>
    </w:lvl>
    <w:lvl w:ilvl="4">
      <w:start w:val="1"/>
      <w:numFmt w:val="lowerLetter"/>
      <w:lvlText w:val="%5."/>
      <w:lvlJc w:val="left"/>
      <w:pPr>
        <w:tabs>
          <w:tab w:val="num" w:pos="4380"/>
        </w:tabs>
        <w:ind w:hanging="360"/>
      </w:pPr>
    </w:lvl>
    <w:lvl w:ilvl="5">
      <w:start w:val="1"/>
      <w:numFmt w:val="lowerRoman"/>
      <w:lvlText w:val="%6."/>
      <w:lvlJc w:val="right"/>
      <w:pPr>
        <w:tabs>
          <w:tab w:val="num" w:pos="5100"/>
        </w:tabs>
        <w:ind w:hanging="180"/>
      </w:pPr>
    </w:lvl>
    <w:lvl w:ilvl="6">
      <w:start w:val="1"/>
      <w:numFmt w:val="decimal"/>
      <w:lvlText w:val="%7."/>
      <w:lvlJc w:val="left"/>
      <w:pPr>
        <w:tabs>
          <w:tab w:val="num" w:pos="5820"/>
        </w:tabs>
        <w:ind w:hanging="360"/>
      </w:pPr>
    </w:lvl>
    <w:lvl w:ilvl="7">
      <w:start w:val="1"/>
      <w:numFmt w:val="lowerLetter"/>
      <w:lvlText w:val="%8."/>
      <w:lvlJc w:val="left"/>
      <w:pPr>
        <w:tabs>
          <w:tab w:val="num" w:pos="6540"/>
        </w:tabs>
        <w:ind w:hanging="360"/>
      </w:pPr>
    </w:lvl>
    <w:lvl w:ilvl="8">
      <w:start w:val="1"/>
      <w:numFmt w:val="lowerRoman"/>
      <w:lvlText w:val="%9."/>
      <w:lvlJc w:val="right"/>
      <w:pPr>
        <w:tabs>
          <w:tab w:val="num" w:pos="7260"/>
        </w:tabs>
        <w:ind w:hanging="180"/>
      </w:pPr>
    </w:lvl>
  </w:abstractNum>
  <w:abstractNum w:abstractNumId="12">
    <w:nsid w:val="58BC7D06"/>
    <w:multiLevelType w:val="multilevel"/>
    <w:tmpl w:val="B4F8FCB0"/>
    <w:name w:val="NumPar"/>
    <w:lvl w:ilvl="0">
      <w:start w:val="1"/>
      <w:numFmt w:val="decimal"/>
      <w:pStyle w:val="NumPar1"/>
      <w:lvlText w:val="%1."/>
      <w:lvlJc w:val="left"/>
      <w:pPr>
        <w:tabs>
          <w:tab w:val="num" w:pos="850"/>
        </w:tabs>
        <w:ind w:hanging="850"/>
      </w:pPr>
    </w:lvl>
    <w:lvl w:ilvl="1">
      <w:start w:val="1"/>
      <w:numFmt w:val="decimal"/>
      <w:pStyle w:val="NumPar2"/>
      <w:lvlText w:val="%1.%2."/>
      <w:lvlJc w:val="left"/>
      <w:pPr>
        <w:tabs>
          <w:tab w:val="num" w:pos="850"/>
        </w:tabs>
        <w:ind w:hanging="850"/>
      </w:pPr>
    </w:lvl>
    <w:lvl w:ilvl="2">
      <w:start w:val="1"/>
      <w:numFmt w:val="decimal"/>
      <w:pStyle w:val="NumPar3"/>
      <w:lvlText w:val="%1.%2.%3."/>
      <w:lvlJc w:val="left"/>
      <w:pPr>
        <w:tabs>
          <w:tab w:val="num" w:pos="850"/>
        </w:tabs>
        <w:ind w:hanging="850"/>
      </w:pPr>
    </w:lvl>
    <w:lvl w:ilvl="3">
      <w:start w:val="1"/>
      <w:numFmt w:val="decimal"/>
      <w:pStyle w:val="NumPar4"/>
      <w:lvlText w:val="%1.%2.%3.%4."/>
      <w:lvlJc w:val="left"/>
      <w:pPr>
        <w:tabs>
          <w:tab w:val="num" w:pos="850"/>
        </w:tabs>
        <w:ind w:hanging="850"/>
      </w:pPr>
    </w:lvl>
    <w:lvl w:ilvl="4">
      <w:start w:val="1"/>
      <w:numFmt w:val="lowerLetter"/>
      <w:lvlText w:val="(%5)"/>
      <w:lvlJc w:val="left"/>
      <w:pPr>
        <w:tabs>
          <w:tab w:val="num" w:pos="1800"/>
        </w:tabs>
        <w:ind w:hanging="360"/>
      </w:pPr>
    </w:lvl>
    <w:lvl w:ilvl="5">
      <w:start w:val="1"/>
      <w:numFmt w:val="lowerRoman"/>
      <w:lvlText w:val="(%6)"/>
      <w:lvlJc w:val="left"/>
      <w:pPr>
        <w:tabs>
          <w:tab w:val="num" w:pos="2160"/>
        </w:tabs>
        <w:ind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hanging="360"/>
      </w:pPr>
    </w:lvl>
    <w:lvl w:ilvl="8">
      <w:start w:val="1"/>
      <w:numFmt w:val="lowerRoman"/>
      <w:lvlText w:val="%9."/>
      <w:lvlJc w:val="left"/>
      <w:pPr>
        <w:tabs>
          <w:tab w:val="num" w:pos="3240"/>
        </w:tabs>
        <w:ind w:hanging="360"/>
      </w:pPr>
    </w:lvl>
  </w:abstractNum>
  <w:abstractNum w:abstractNumId="13">
    <w:nsid w:val="59000DA0"/>
    <w:multiLevelType w:val="multilevel"/>
    <w:tmpl w:val="CFB02E7E"/>
    <w:lvl w:ilvl="0">
      <w:start w:val="1"/>
      <w:numFmt w:val="lowerLetter"/>
      <w:lvlText w:val="%1)"/>
      <w:legacy w:legacy="1" w:legacySpace="0" w:legacyIndent="360"/>
      <w:lvlJc w:val="left"/>
      <w:pPr>
        <w:ind w:hanging="360"/>
      </w:pPr>
    </w:lvl>
    <w:lvl w:ilvl="1">
      <w:start w:val="1"/>
      <w:numFmt w:val="decimal"/>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4">
    <w:nsid w:val="624249CB"/>
    <w:multiLevelType w:val="singleLevel"/>
    <w:tmpl w:val="3094F9DE"/>
    <w:lvl w:ilvl="0">
      <w:start w:val="1"/>
      <w:numFmt w:val="bullet"/>
      <w:lvlText w:val="–"/>
      <w:lvlJc w:val="left"/>
      <w:pPr>
        <w:tabs>
          <w:tab w:val="num" w:pos="1134"/>
        </w:tabs>
        <w:ind w:hanging="283"/>
      </w:pPr>
      <w:rPr>
        <w:rFonts w:ascii="Times New Roman" w:hAnsi="Times New Roman"/>
      </w:rPr>
    </w:lvl>
  </w:abstractNum>
  <w:abstractNum w:abstractNumId="15">
    <w:nsid w:val="6F5B33BA"/>
    <w:multiLevelType w:val="multilevel"/>
    <w:tmpl w:val="C47EB25C"/>
    <w:lvl w:ilvl="0">
      <w:start w:val="1"/>
      <w:numFmt w:val="lowerLetter"/>
      <w:lvlText w:val="%1)"/>
      <w:lvlJc w:val="left"/>
      <w:pPr>
        <w:tabs>
          <w:tab w:val="num" w:pos="1210"/>
        </w:tabs>
        <w:ind w:hanging="360"/>
      </w:pPr>
      <w:rPr>
        <w:rFonts w:hint="default"/>
      </w:rPr>
    </w:lvl>
    <w:lvl w:ilvl="1">
      <w:start w:val="1"/>
      <w:numFmt w:val="lowerLetter"/>
      <w:lvlText w:val="%2."/>
      <w:lvlJc w:val="left"/>
      <w:pPr>
        <w:tabs>
          <w:tab w:val="num" w:pos="1930"/>
        </w:tabs>
        <w:ind w:hanging="360"/>
      </w:pPr>
    </w:lvl>
    <w:lvl w:ilvl="2">
      <w:start w:val="1"/>
      <w:numFmt w:val="lowerRoman"/>
      <w:lvlText w:val="%3."/>
      <w:lvlJc w:val="right"/>
      <w:pPr>
        <w:tabs>
          <w:tab w:val="num" w:pos="2650"/>
        </w:tabs>
        <w:ind w:hanging="180"/>
      </w:pPr>
    </w:lvl>
    <w:lvl w:ilvl="3">
      <w:start w:val="1"/>
      <w:numFmt w:val="decimal"/>
      <w:lvlText w:val="%4."/>
      <w:lvlJc w:val="left"/>
      <w:pPr>
        <w:tabs>
          <w:tab w:val="num" w:pos="3370"/>
        </w:tabs>
        <w:ind w:hanging="360"/>
      </w:pPr>
    </w:lvl>
    <w:lvl w:ilvl="4">
      <w:start w:val="1"/>
      <w:numFmt w:val="lowerLetter"/>
      <w:lvlText w:val="%5."/>
      <w:lvlJc w:val="left"/>
      <w:pPr>
        <w:tabs>
          <w:tab w:val="num" w:pos="4090"/>
        </w:tabs>
        <w:ind w:hanging="360"/>
      </w:pPr>
    </w:lvl>
    <w:lvl w:ilvl="5">
      <w:start w:val="1"/>
      <w:numFmt w:val="lowerRoman"/>
      <w:lvlText w:val="%6."/>
      <w:lvlJc w:val="right"/>
      <w:pPr>
        <w:tabs>
          <w:tab w:val="num" w:pos="4810"/>
        </w:tabs>
        <w:ind w:hanging="180"/>
      </w:pPr>
    </w:lvl>
    <w:lvl w:ilvl="6">
      <w:start w:val="1"/>
      <w:numFmt w:val="decimal"/>
      <w:lvlText w:val="%7."/>
      <w:lvlJc w:val="left"/>
      <w:pPr>
        <w:tabs>
          <w:tab w:val="num" w:pos="5530"/>
        </w:tabs>
        <w:ind w:hanging="360"/>
      </w:pPr>
    </w:lvl>
    <w:lvl w:ilvl="7">
      <w:start w:val="1"/>
      <w:numFmt w:val="lowerLetter"/>
      <w:lvlText w:val="%8."/>
      <w:lvlJc w:val="left"/>
      <w:pPr>
        <w:tabs>
          <w:tab w:val="num" w:pos="6250"/>
        </w:tabs>
        <w:ind w:hanging="360"/>
      </w:pPr>
    </w:lvl>
    <w:lvl w:ilvl="8">
      <w:start w:val="1"/>
      <w:numFmt w:val="lowerRoman"/>
      <w:lvlText w:val="%9."/>
      <w:lvlJc w:val="right"/>
      <w:pPr>
        <w:tabs>
          <w:tab w:val="num" w:pos="6970"/>
        </w:tabs>
        <w:ind w:hanging="180"/>
      </w:pPr>
    </w:lvl>
  </w:abstractNum>
  <w:abstractNum w:abstractNumId="16">
    <w:nsid w:val="72BD0558"/>
    <w:multiLevelType w:val="multilevel"/>
    <w:tmpl w:val="40EC0B6A"/>
    <w:lvl w:ilvl="0">
      <w:start w:val="1"/>
      <w:numFmt w:val="lowerLetter"/>
      <w:lvlText w:val="%1)"/>
      <w:lvlJc w:val="left"/>
      <w:pPr>
        <w:tabs>
          <w:tab w:val="num" w:pos="705"/>
        </w:tabs>
        <w:ind w:hanging="525"/>
      </w:pPr>
      <w:rPr>
        <w:rFonts w:hint="default"/>
      </w:rPr>
    </w:lvl>
    <w:lvl w:ilvl="1">
      <w:start w:val="1"/>
      <w:numFmt w:val="lowerLetter"/>
      <w:lvlText w:val="%2."/>
      <w:lvlJc w:val="left"/>
      <w:pPr>
        <w:tabs>
          <w:tab w:val="num" w:pos="1260"/>
        </w:tabs>
        <w:ind w:hanging="360"/>
      </w:pPr>
    </w:lvl>
    <w:lvl w:ilvl="2">
      <w:start w:val="1"/>
      <w:numFmt w:val="lowerRoman"/>
      <w:lvlText w:val="%3."/>
      <w:lvlJc w:val="right"/>
      <w:pPr>
        <w:tabs>
          <w:tab w:val="num" w:pos="1980"/>
        </w:tabs>
        <w:ind w:hanging="180"/>
      </w:pPr>
    </w:lvl>
    <w:lvl w:ilvl="3">
      <w:start w:val="1"/>
      <w:numFmt w:val="decimal"/>
      <w:lvlText w:val="%4."/>
      <w:lvlJc w:val="left"/>
      <w:pPr>
        <w:tabs>
          <w:tab w:val="num" w:pos="2700"/>
        </w:tabs>
        <w:ind w:hanging="360"/>
      </w:pPr>
    </w:lvl>
    <w:lvl w:ilvl="4">
      <w:start w:val="1"/>
      <w:numFmt w:val="lowerLetter"/>
      <w:lvlText w:val="%5."/>
      <w:lvlJc w:val="left"/>
      <w:pPr>
        <w:tabs>
          <w:tab w:val="num" w:pos="3420"/>
        </w:tabs>
        <w:ind w:hanging="360"/>
      </w:pPr>
    </w:lvl>
    <w:lvl w:ilvl="5">
      <w:start w:val="1"/>
      <w:numFmt w:val="lowerRoman"/>
      <w:lvlText w:val="%6."/>
      <w:lvlJc w:val="right"/>
      <w:pPr>
        <w:tabs>
          <w:tab w:val="num" w:pos="4140"/>
        </w:tabs>
        <w:ind w:hanging="180"/>
      </w:pPr>
    </w:lvl>
    <w:lvl w:ilvl="6">
      <w:start w:val="1"/>
      <w:numFmt w:val="decimal"/>
      <w:lvlText w:val="%7."/>
      <w:lvlJc w:val="left"/>
      <w:pPr>
        <w:tabs>
          <w:tab w:val="num" w:pos="4860"/>
        </w:tabs>
        <w:ind w:hanging="360"/>
      </w:pPr>
    </w:lvl>
    <w:lvl w:ilvl="7">
      <w:start w:val="1"/>
      <w:numFmt w:val="lowerLetter"/>
      <w:lvlText w:val="%8."/>
      <w:lvlJc w:val="left"/>
      <w:pPr>
        <w:tabs>
          <w:tab w:val="num" w:pos="5580"/>
        </w:tabs>
        <w:ind w:hanging="360"/>
      </w:pPr>
    </w:lvl>
    <w:lvl w:ilvl="8">
      <w:start w:val="1"/>
      <w:numFmt w:val="lowerRoman"/>
      <w:lvlText w:val="%9."/>
      <w:lvlJc w:val="right"/>
      <w:pPr>
        <w:tabs>
          <w:tab w:val="num" w:pos="6300"/>
        </w:tabs>
        <w:ind w:hanging="180"/>
      </w:pPr>
    </w:lvl>
  </w:abstractNum>
  <w:num w:numId="1">
    <w:abstractNumId w:val="5"/>
  </w:num>
  <w:num w:numId="2">
    <w:abstractNumId w:val="1"/>
  </w:num>
  <w:num w:numId="3">
    <w:abstractNumId w:val="16"/>
  </w:num>
  <w:num w:numId="4">
    <w:abstractNumId w:val="14"/>
  </w:num>
  <w:num w:numId="5">
    <w:abstractNumId w:val="7"/>
  </w:num>
  <w:num w:numId="6">
    <w:abstractNumId w:val="12"/>
  </w:num>
  <w:num w:numId="7">
    <w:abstractNumId w:val="8"/>
  </w:num>
  <w:num w:numId="8">
    <w:abstractNumId w:val="10"/>
  </w:num>
  <w:num w:numId="9">
    <w:abstractNumId w:val="4"/>
  </w:num>
  <w:num w:numId="10">
    <w:abstractNumId w:val="0"/>
  </w:num>
  <w:num w:numId="11">
    <w:abstractNumId w:val="11"/>
  </w:num>
  <w:num w:numId="12">
    <w:abstractNumId w:val="15"/>
  </w:num>
  <w:num w:numId="13">
    <w:abstractNumId w:val="2"/>
  </w:num>
  <w:num w:numId="14">
    <w:abstractNumId w:val="9"/>
  </w:num>
  <w:num w:numId="15">
    <w:abstractNumId w:val="6"/>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oNotHyphenateCaps/>
  <w:characterSpacingControl w:val="compressPunctuation"/>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pPr>
  </w:style>
  <w:style w:type="paragraph" w:styleId="Heading1">
    <w:name w:val="heading 1"/>
    <w:basedOn w:val="Normal"/>
    <w:next w:val="Normal"/>
    <w:uiPriority w:val="99"/>
    <w:pPr>
      <w:keepNext/>
      <w:outlineLvl w:val="0"/>
    </w:pPr>
    <w:rPr>
      <w:b/>
      <w:lang w:val="sk-SK"/>
    </w:rPr>
  </w:style>
  <w:style w:type="paragraph" w:styleId="Heading2">
    <w:name w:val="heading 2"/>
    <w:basedOn w:val="Normal"/>
    <w:next w:val="Normal"/>
    <w:uiPriority w:val="99"/>
    <w:pPr>
      <w:keepNext/>
      <w:jc w:val="center"/>
      <w:outlineLvl w:val="1"/>
    </w:pPr>
    <w:rPr>
      <w:b/>
      <w:lang w:val="sk-SK"/>
    </w:rPr>
  </w:style>
  <w:style w:type="paragraph" w:styleId="Heading3">
    <w:name w:val="heading 3"/>
    <w:basedOn w:val="Normal"/>
    <w:next w:val="Normal"/>
    <w:uiPriority w:val="99"/>
    <w:pPr>
      <w:keepNext/>
      <w:tabs>
        <w:tab w:val="left" w:pos="360"/>
      </w:tabs>
      <w:ind w:right="-285"/>
      <w:outlineLvl w:val="2"/>
    </w:pPr>
    <w:rPr>
      <w:b/>
      <w:lang w:val="sk-SK"/>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uiPriority w:val="99"/>
    <w:pPr>
      <w:widowControl w:val="0"/>
      <w:spacing w:after="120"/>
    </w:pPr>
    <w:rPr>
      <w:rFonts w:ascii="Arial" w:hAnsi="Arial" w:cs="Arial"/>
      <w:sz w:val="20"/>
      <w:lang w:val="sk-SK"/>
    </w:rPr>
  </w:style>
  <w:style w:type="character" w:styleId="FootnoteReference">
    <w:name w:val="footnote reference"/>
    <w:basedOn w:val="DefaultParagraphFont"/>
    <w:uiPriority w:val="99"/>
    <w:rPr>
      <w:vertAlign w:val="superscript"/>
    </w:rPr>
  </w:style>
  <w:style w:type="paragraph" w:styleId="FootnoteText">
    <w:name w:val="footnote text"/>
    <w:basedOn w:val="Normal"/>
    <w:uiPriority w:val="99"/>
    <w:rPr>
      <w:sz w:val="20"/>
      <w:lang w:val="sk-SK"/>
    </w:rPr>
  </w:style>
  <w:style w:type="paragraph" w:styleId="Footer">
    <w:name w:val="footer"/>
    <w:basedOn w:val="Normal"/>
    <w:uiPriority w:val="99"/>
    <w:pPr>
      <w:tabs>
        <w:tab w:val="center" w:pos="4536"/>
        <w:tab w:val="right" w:pos="9072"/>
      </w:tabs>
    </w:pPr>
  </w:style>
  <w:style w:type="character" w:styleId="PageNumber">
    <w:name w:val="page number"/>
    <w:basedOn w:val="DefaultParagraphFont"/>
    <w:uiPriority w:val="99"/>
  </w:style>
  <w:style w:type="paragraph" w:styleId="BodyText2">
    <w:name w:val="Body Text 2"/>
    <w:basedOn w:val="Normal"/>
    <w:uiPriority w:val="99"/>
    <w:pPr>
      <w:spacing w:line="288" w:lineRule="auto"/>
      <w:jc w:val="both"/>
    </w:pPr>
    <w:rPr>
      <w:lang w:val="sk-SK"/>
    </w:rPr>
  </w:style>
  <w:style w:type="paragraph" w:customStyle="1" w:styleId="Point1">
    <w:name w:val="Point 1"/>
    <w:basedOn w:val="Normal"/>
    <w:uiPriority w:val="99"/>
    <w:pPr>
      <w:spacing w:before="120" w:after="120"/>
      <w:ind w:left="1417" w:hanging="567"/>
      <w:jc w:val="both"/>
    </w:pPr>
    <w:rPr>
      <w:lang w:val="en-GB"/>
    </w:rPr>
  </w:style>
  <w:style w:type="paragraph" w:customStyle="1" w:styleId="ManualNumPar1">
    <w:name w:val="Manual NumPar 1"/>
    <w:basedOn w:val="Normal"/>
    <w:next w:val="Normal"/>
    <w:uiPriority w:val="99"/>
    <w:pPr>
      <w:spacing w:before="120" w:after="120"/>
      <w:ind w:left="850" w:hanging="850"/>
      <w:jc w:val="both"/>
    </w:pPr>
    <w:rPr>
      <w:lang w:val="en-GB"/>
    </w:rPr>
  </w:style>
  <w:style w:type="paragraph" w:customStyle="1" w:styleId="Titrearticle">
    <w:name w:val="Titre article"/>
    <w:basedOn w:val="Normal"/>
    <w:next w:val="Normal"/>
    <w:uiPriority w:val="99"/>
    <w:pPr>
      <w:keepNext/>
      <w:spacing w:before="360" w:after="120"/>
      <w:jc w:val="center"/>
    </w:pPr>
    <w:rPr>
      <w:i/>
      <w:lang w:val="en-GB"/>
    </w:rPr>
  </w:style>
  <w:style w:type="character" w:customStyle="1" w:styleId="ManualNumPar1Char">
    <w:name w:val="Manual NumPar 1 Char"/>
    <w:basedOn w:val="DefaultParagraphFont"/>
    <w:uiPriority w:val="99"/>
    <w:rPr>
      <w:sz w:val="24"/>
      <w:lang w:val="en-GB"/>
    </w:rPr>
  </w:style>
  <w:style w:type="paragraph" w:customStyle="1" w:styleId="Text1">
    <w:name w:val="Text 1"/>
    <w:basedOn w:val="Normal"/>
    <w:uiPriority w:val="99"/>
    <w:pPr>
      <w:spacing w:before="120" w:after="120"/>
      <w:ind w:left="850"/>
      <w:jc w:val="both"/>
    </w:pPr>
    <w:rPr>
      <w:lang w:val="en-GB"/>
    </w:rPr>
  </w:style>
  <w:style w:type="paragraph" w:customStyle="1" w:styleId="Text2">
    <w:name w:val="Text 2"/>
    <w:basedOn w:val="Normal"/>
    <w:uiPriority w:val="99"/>
    <w:pPr>
      <w:spacing w:before="120" w:after="120"/>
      <w:ind w:left="850"/>
      <w:jc w:val="both"/>
    </w:pPr>
    <w:rPr>
      <w:lang w:val="en-GB"/>
    </w:rPr>
  </w:style>
  <w:style w:type="paragraph" w:customStyle="1" w:styleId="ListDash1">
    <w:name w:val="List Dash 1"/>
    <w:basedOn w:val="Normal"/>
    <w:uiPriority w:val="99"/>
    <w:pPr>
      <w:numPr>
        <w:numId w:val="5"/>
      </w:numPr>
      <w:tabs>
        <w:tab w:val="num" w:pos="1134"/>
      </w:tabs>
      <w:spacing w:before="120" w:after="120"/>
      <w:ind w:left="1134" w:hanging="283"/>
      <w:jc w:val="both"/>
    </w:pPr>
    <w:rPr>
      <w:lang w:val="en-GB"/>
    </w:rPr>
  </w:style>
  <w:style w:type="paragraph" w:customStyle="1" w:styleId="Point0">
    <w:name w:val="Point 0"/>
    <w:basedOn w:val="Normal"/>
    <w:uiPriority w:val="99"/>
    <w:pPr>
      <w:spacing w:before="120" w:after="120"/>
      <w:ind w:left="850" w:hanging="850"/>
      <w:jc w:val="both"/>
    </w:pPr>
    <w:rPr>
      <w:lang w:val="en-GB"/>
    </w:rPr>
  </w:style>
  <w:style w:type="paragraph" w:customStyle="1" w:styleId="NumPar1">
    <w:name w:val="NumPar 1"/>
    <w:basedOn w:val="Normal"/>
    <w:next w:val="Text1"/>
    <w:uiPriority w:val="99"/>
    <w:pPr>
      <w:numPr>
        <w:numId w:val="6"/>
      </w:numPr>
      <w:tabs>
        <w:tab w:val="num" w:pos="850"/>
      </w:tabs>
      <w:spacing w:before="120" w:after="120"/>
      <w:ind w:left="850" w:hanging="850"/>
      <w:jc w:val="both"/>
    </w:pPr>
    <w:rPr>
      <w:lang w:val="en-GB"/>
    </w:rPr>
  </w:style>
  <w:style w:type="paragraph" w:customStyle="1" w:styleId="NumPar2">
    <w:name w:val="NumPar 2"/>
    <w:basedOn w:val="Normal"/>
    <w:next w:val="Text2"/>
    <w:uiPriority w:val="99"/>
    <w:pPr>
      <w:numPr>
        <w:ilvl w:val="1"/>
        <w:numId w:val="6"/>
      </w:numPr>
      <w:tabs>
        <w:tab w:val="num" w:pos="850"/>
      </w:tabs>
      <w:spacing w:before="120" w:after="120"/>
      <w:ind w:left="850" w:hanging="850"/>
      <w:jc w:val="both"/>
    </w:pPr>
    <w:rPr>
      <w:lang w:val="en-GB"/>
    </w:rPr>
  </w:style>
  <w:style w:type="paragraph" w:customStyle="1" w:styleId="NumPar3">
    <w:name w:val="NumPar 3"/>
    <w:basedOn w:val="Normal"/>
    <w:next w:val="Normal"/>
    <w:uiPriority w:val="99"/>
    <w:pPr>
      <w:numPr>
        <w:ilvl w:val="2"/>
        <w:numId w:val="6"/>
      </w:numPr>
      <w:tabs>
        <w:tab w:val="num" w:pos="850"/>
      </w:tabs>
      <w:spacing w:before="120" w:after="120"/>
      <w:ind w:left="850" w:hanging="850"/>
      <w:jc w:val="both"/>
    </w:pPr>
    <w:rPr>
      <w:lang w:val="en-GB"/>
    </w:rPr>
  </w:style>
  <w:style w:type="paragraph" w:customStyle="1" w:styleId="NumPar4">
    <w:name w:val="NumPar 4"/>
    <w:basedOn w:val="Normal"/>
    <w:next w:val="Normal"/>
    <w:uiPriority w:val="99"/>
    <w:pPr>
      <w:numPr>
        <w:ilvl w:val="3"/>
        <w:numId w:val="6"/>
      </w:numPr>
      <w:tabs>
        <w:tab w:val="num" w:pos="850"/>
      </w:tabs>
      <w:spacing w:before="120" w:after="120"/>
      <w:ind w:left="850" w:hanging="850"/>
      <w:jc w:val="both"/>
    </w:pPr>
    <w:rPr>
      <w:lang w:val="en-GB"/>
    </w:rPr>
  </w:style>
  <w:style w:type="paragraph" w:styleId="BodyText3">
    <w:name w:val="Body Text 3"/>
    <w:basedOn w:val="Normal"/>
    <w:uiPriority w:val="99"/>
    <w:pPr>
      <w:jc w:val="both"/>
    </w:pPr>
    <w:rPr>
      <w:lang w:val="sk-SK"/>
    </w:rPr>
  </w:style>
  <w:style w:type="paragraph" w:customStyle="1" w:styleId="N-textsodrkami">
    <w:name w:val="N-text s odrážkami"/>
    <w:basedOn w:val="Normal"/>
    <w:uiPriority w:val="99"/>
    <w:pPr>
      <w:tabs>
        <w:tab w:val="left" w:pos="284"/>
      </w:tabs>
      <w:spacing w:after="120"/>
      <w:ind w:left="284"/>
      <w:jc w:val="both"/>
    </w:pPr>
    <w:rPr>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5282</Words>
  <Characters>30111</Characters>
  <Application>Microsoft Office Word</Application>
  <DocSecurity>0</DocSecurity>
  <Lines>0</Lines>
  <Paragraphs>0</Paragraphs>
  <ScaleCrop>false</ScaleCrop>
  <Company>Ministry of Finance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Cerna Veronika</dc:creator>
  <cp:lastModifiedBy>mf_sr</cp:lastModifiedBy>
  <cp:revision>2</cp:revision>
  <cp:lastPrinted>2000-06-12T10:21:00Z</cp:lastPrinted>
  <dcterms:created xsi:type="dcterms:W3CDTF">2004-06-24T10:59:00Z</dcterms:created>
  <dcterms:modified xsi:type="dcterms:W3CDTF">2004-06-24T10:59:00Z</dcterms:modified>
</cp:coreProperties>
</file>