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DOLOŽKA  ZLUČlTEĽNOSTI</w:t>
      </w:r>
    </w:p>
    <w:p>
      <w:pPr>
        <w:pStyle w:val="BodyText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návrhu zákona, ktorým sa mení a dopĺňa zákon č. 566/2001 Z. z. o cenných papieroch a investičných službách a o zmene a doplnení niektorých zákonov (zákon o cenných papieroch) v znení neskorších predpisov a o zmene a doplnení niektorých zákonov s právom Európskych spoločenstiev a právom Európskej únie</w:t>
      </w:r>
    </w:p>
    <w:p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tlNadpisbodov11p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Navrhovateľ zákona:</w:t>
      </w:r>
    </w:p>
    <w:p>
      <w:pPr>
        <w:pStyle w:val="N-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Vláda Slovenskej republiky</w:t>
      </w:r>
    </w:p>
    <w:p>
      <w:pPr>
        <w:pStyle w:val="N-text"/>
        <w:rPr>
          <w:rFonts w:ascii="Times New Roman" w:hAnsi="Times New Roman" w:cs="Times New Roman"/>
          <w:sz w:val="22"/>
          <w:szCs w:val="22"/>
        </w:rPr>
      </w:pPr>
    </w:p>
    <w:p>
      <w:pPr>
        <w:pStyle w:val="tlNadpisbodov11p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návrhu zákona:</w:t>
      </w:r>
    </w:p>
    <w:p>
      <w:pPr>
        <w:pStyle w:val="N-text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Cs w:val="22"/>
        </w:rPr>
        <w:t>Návrh zákona, ktorým sa mení a dopĺňa zákon č. 566/2001 Z. z. o cenných papieroch a investičných službách a o zmene</w:t>
      </w:r>
      <w:r>
        <w:rPr>
          <w:rFonts w:ascii="Times New Roman" w:hAnsi="Times New Roman" w:cs="Times New Roman"/>
          <w:szCs w:val="22"/>
        </w:rPr>
        <w:t xml:space="preserve"> a doplnení niektorých zákonov (zákon o cenných papieroch) </w:t>
      </w:r>
      <w:r>
        <w:rPr>
          <w:rFonts w:ascii="Times New Roman" w:hAnsi="Times New Roman" w:cs="Times New Roman"/>
        </w:rPr>
        <w:t>v znení neskorších predpisov a o zmene a doplnení niektorých zákonov.</w:t>
      </w:r>
    </w:p>
    <w:p>
      <w:pPr>
        <w:pStyle w:val="N-text"/>
        <w:rPr>
          <w:rFonts w:ascii="Times New Roman" w:hAnsi="Times New Roman" w:cs="Times New Roman"/>
          <w:sz w:val="22"/>
          <w:szCs w:val="22"/>
        </w:rPr>
      </w:pPr>
    </w:p>
    <w:p>
      <w:pPr>
        <w:pStyle w:val="tlNadpisbodov11p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Záväzky Slovenskej republiky vo vzťahu k Európskym spoločenstvám a k Európskej únii:</w:t>
      </w:r>
    </w:p>
    <w:p>
      <w:pPr>
        <w:ind w:left="360" w:hanging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a)</w:t>
        <w:tab/>
        <w:t>Problematika návrhu zákona patrí medzi prioritné oblasti aproximácie práva uvedené v článku 70 Európskej dohody o pridružení - finančné služby. Táto problematika je upravená aj v čl.60 až 63 a v Prílohe XVIa Európskej dohody o pridružení.</w:t>
      </w:r>
    </w:p>
    <w:p>
      <w:pPr>
        <w:pStyle w:val="Zkladntext"/>
        <w:ind w:left="284"/>
        <w:jc w:val="both"/>
        <w:rPr>
          <w:rFonts w:ascii="Times New Roman" w:hAnsi="Times New Roman" w:cs="Times New Roman"/>
          <w:szCs w:val="22"/>
        </w:rPr>
      </w:pPr>
    </w:p>
    <w:p>
      <w:pPr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 hľadiska Národného programu pre prijatie acquis communautaire predkladaný návrh zákona patrí medzi prioritné oblasti aproximácie práva – Kapitola 4 – Slobodný pohyb kapitálu a Kapitola 3 – Slobodné poskytovanie služieb a taktiež je prioritou podľa Partnerstva pre vstup.</w:t>
      </w:r>
    </w:p>
    <w:p>
      <w:pPr>
        <w:pStyle w:val="Zkladntext"/>
        <w:ind w:left="360"/>
        <w:jc w:val="both"/>
        <w:rPr>
          <w:rFonts w:ascii="Times New Roman" w:hAnsi="Times New Roman" w:cs="Times New Roman"/>
          <w:szCs w:val="22"/>
        </w:rPr>
      </w:pPr>
    </w:p>
    <w:p>
      <w:pPr>
        <w:pStyle w:val="Zkladntext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Návrh zákona patrí medzi priority odporúčané v Príprave asociovaných krajín strednej a východnej Európy na integráciu do vnútorného trhu Európskej únie -Biela kniha -kapitola 1 - Voľný pohyb kapitálu a kapitola 13 - Finančné služby.</w:t>
      </w:r>
    </w:p>
    <w:p>
      <w:pPr>
        <w:pStyle w:val="Zkladntex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Zkladntext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Problematika návrhu zákona je obsiahnutá v screeningovej kapitole 4 - Voľný pohyb kapitálu a v kapitole 3 – Slobodné poskytovanie služieb.</w:t>
      </w:r>
    </w:p>
    <w:p>
      <w:pPr>
        <w:pStyle w:val="Zkladntext"/>
        <w:ind w:left="360"/>
        <w:jc w:val="both"/>
        <w:rPr>
          <w:rFonts w:ascii="Times New Roman" w:hAnsi="Times New Roman" w:cs="Times New Roman"/>
          <w:szCs w:val="22"/>
        </w:rPr>
      </w:pPr>
    </w:p>
    <w:p>
      <w:pPr>
        <w:pStyle w:val="Zkladntext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Návrh zákona je prioritou podľa Plánu legislatívnych úloh vlády SR na rok 2004 s termínom predloženia apríl 2004.</w:t>
      </w:r>
    </w:p>
    <w:p>
      <w:pPr>
        <w:pStyle w:val="Zkladntext"/>
        <w:ind w:left="300"/>
        <w:jc w:val="both"/>
        <w:rPr>
          <w:rFonts w:ascii="Times New Roman" w:hAnsi="Times New Roman" w:cs="Times New Roman"/>
          <w:szCs w:val="22"/>
        </w:rPr>
      </w:pPr>
    </w:p>
    <w:p>
      <w:pPr>
        <w:pStyle w:val="Zkladntext"/>
        <w:ind w:left="360" w:hanging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b)</w:t>
        <w:tab/>
        <w:t xml:space="preserve">Kapitola 3 – Slobodné poskytovanie služieb bola predbežne uzatvorená v máji 2001 a kapitola 4 – Slobodný pohyb kapitálu bola predbežne uzatvorená v júni 2001. SR akceptuje </w:t>
      </w:r>
      <w:r>
        <w:rPr>
          <w:rFonts w:ascii="Times New Roman" w:hAnsi="Times New Roman" w:cs="Times New Roman"/>
        </w:rPr>
        <w:t>Z negociačnej pozície vyplýva pre SR povinnosť zosúladiť právnu úpravu v oblasti cenných papierov s acquis communautaire. Slovenská republika si dojednala pre oblasť cenných papierov jedno prechodné obdobie.</w:t>
      </w:r>
      <w:r>
        <w:rPr>
          <w:rFonts w:ascii="Times New Roman" w:hAnsi="Times New Roman" w:cs="Times New Roman"/>
          <w:szCs w:val="22"/>
        </w:rPr>
        <w:t xml:space="preserve"> </w:t>
      </w:r>
    </w:p>
    <w:p>
      <w:pPr>
        <w:pStyle w:val="Zkladntext"/>
        <w:ind w:left="300"/>
        <w:rPr>
          <w:rFonts w:ascii="Times New Roman" w:hAnsi="Times New Roman" w:cs="Times New Roman"/>
          <w:sz w:val="22"/>
          <w:szCs w:val="22"/>
        </w:rPr>
      </w:pPr>
    </w:p>
    <w:p>
      <w:pPr>
        <w:pStyle w:val="tlNadpisbodov11p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zákona:</w:t>
      </w:r>
    </w:p>
    <w:p>
      <w:pPr>
        <w:pStyle w:val="N-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>a)</w:t>
        <w:tab/>
        <w:t>je upravená v práve Európskych spoločenstiev</w:t>
      </w:r>
      <w:r>
        <w:rPr>
          <w:rFonts w:ascii="Times New Roman" w:hAnsi="Times New Roman" w:cs="Times New Roman"/>
          <w:sz w:val="22"/>
          <w:szCs w:val="22"/>
        </w:rPr>
        <w:t>:</w:t>
      </w:r>
    </w:p>
    <w:p>
      <w:pPr>
        <w:pStyle w:val="N-textsodrkami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-</w:t>
        <w:tab/>
      </w:r>
      <w:r>
        <w:rPr>
          <w:rFonts w:ascii="Times New Roman" w:hAnsi="Times New Roman" w:cs="Times New Roman"/>
          <w:szCs w:val="24"/>
        </w:rPr>
        <w:t>v článkoch 14, 56 až 60 Zmluvy o založení o ES,</w:t>
      </w:r>
    </w:p>
    <w:p>
      <w:pPr>
        <w:pStyle w:val="N-textsodrkami"/>
        <w:rPr>
          <w:rStyle w:val="ZkladntextChar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-</w:t>
        <w:tab/>
        <w:t>v s</w:t>
      </w:r>
      <w:r>
        <w:rPr>
          <w:rFonts w:ascii="Times New Roman" w:hAnsi="Times New Roman" w:cs="Times New Roman"/>
        </w:rPr>
        <w:t>mernici Rady 1989/298/EHS</w:t>
      </w:r>
      <w:r>
        <w:rPr>
          <w:rStyle w:val="ZkladntextChar"/>
          <w:rFonts w:ascii="Times New Roman" w:hAnsi="Times New Roman" w:cs="Times New Roman"/>
        </w:rPr>
        <w:t xml:space="preserve"> zo 17. apríla 1989 o koordinácii požiadaviek na vypracovanie, kontrolu a distribúciu prospektu, ktorý má byť uverejnený v prípade ponuky prevoditeľných cenných papierov verejnosti,</w:t>
      </w:r>
    </w:p>
    <w:p>
      <w:pPr>
        <w:pStyle w:val="N-textsodrkami"/>
        <w:rPr>
          <w:rStyle w:val="ZkladntextChar"/>
          <w:rFonts w:ascii="Times New Roman" w:hAnsi="Times New Roman" w:cs="Times New Roman"/>
        </w:rPr>
      </w:pPr>
      <w:r>
        <w:rPr>
          <w:rStyle w:val="ZkladntextChar"/>
          <w:rFonts w:ascii="Times New Roman" w:hAnsi="Times New Roman" w:cs="Times New Roman"/>
        </w:rPr>
        <w:t>-</w:t>
        <w:tab/>
        <w:t xml:space="preserve">v </w:t>
      </w:r>
      <w:r>
        <w:rPr>
          <w:rFonts w:ascii="Times New Roman" w:hAnsi="Times New Roman" w:cs="Times New Roman"/>
          <w:szCs w:val="22"/>
        </w:rPr>
        <w:t>smernici Európskeho parlamentu a Rady 1997/9/</w:t>
      </w:r>
      <w:r>
        <w:rPr>
          <w:rStyle w:val="ZkladntextChar"/>
          <w:rFonts w:ascii="Times New Roman" w:hAnsi="Times New Roman" w:cs="Times New Roman"/>
        </w:rPr>
        <w:t>ES  z 3. marca 1997 o systémoch náhrad pre investorov,</w:t>
      </w:r>
    </w:p>
    <w:p>
      <w:pPr>
        <w:pStyle w:val="N-textsodrkami"/>
        <w:rPr>
          <w:rStyle w:val="ZkladntextChar"/>
          <w:rFonts w:ascii="Times New Roman" w:hAnsi="Times New Roman" w:cs="Times New Roman"/>
        </w:rPr>
      </w:pPr>
      <w:r>
        <w:rPr>
          <w:rStyle w:val="ZkladntextChar"/>
          <w:rFonts w:ascii="Times New Roman" w:hAnsi="Times New Roman" w:cs="Times New Roman"/>
        </w:rPr>
        <w:t>-</w:t>
        <w:tab/>
        <w:t>v smernici Rady 1993/22/EHS z 10.mája 1993 o investičných službách v oblasti cenných papierov,</w:t>
      </w:r>
    </w:p>
    <w:p>
      <w:pPr>
        <w:pStyle w:val="N-textsodrkami"/>
        <w:rPr>
          <w:rStyle w:val="ZkladntextChar"/>
          <w:rFonts w:ascii="Times New Roman" w:hAnsi="Times New Roman" w:cs="Times New Roman"/>
        </w:rPr>
      </w:pPr>
      <w:r>
        <w:rPr>
          <w:rStyle w:val="ZkladntextChar"/>
          <w:rFonts w:ascii="Times New Roman" w:hAnsi="Times New Roman" w:cs="Times New Roman"/>
        </w:rPr>
        <w:t>-</w:t>
        <w:tab/>
        <w:t>v smernici Rady 1993/6/EHS z 15. marca 1993 o kapitálovej primeranosti investičných spoločností a úverových inštitúcií,</w:t>
      </w:r>
    </w:p>
    <w:p>
      <w:pPr>
        <w:pStyle w:val="N-textsodrkami"/>
        <w:rPr>
          <w:rStyle w:val="ZkladntextChar"/>
          <w:rFonts w:ascii="Times New Roman" w:hAnsi="Times New Roman" w:cs="Times New Roman"/>
        </w:rPr>
      </w:pPr>
      <w:r>
        <w:rPr>
          <w:rStyle w:val="ZkladntextChar"/>
          <w:rFonts w:ascii="Times New Roman" w:hAnsi="Times New Roman" w:cs="Times New Roman"/>
        </w:rPr>
        <w:t>-</w:t>
        <w:tab/>
      </w:r>
      <w:r>
        <w:rPr>
          <w:rFonts w:ascii="Times New Roman" w:hAnsi="Times New Roman" w:cs="Times New Roman"/>
          <w:szCs w:val="22"/>
        </w:rPr>
        <w:t>v smernici Európskeho parlamentu a</w:t>
      </w:r>
      <w:r>
        <w:rPr>
          <w:rFonts w:ascii="Times New Roman" w:hAnsi="Times New Roman" w:cs="Times New Roman"/>
          <w:szCs w:val="22"/>
        </w:rPr>
        <w:t xml:space="preserve"> Rady 2001/34/ES </w:t>
      </w:r>
      <w:r>
        <w:rPr>
          <w:rStyle w:val="ZkladntextChar"/>
          <w:rFonts w:ascii="Times New Roman" w:hAnsi="Times New Roman" w:cs="Times New Roman"/>
        </w:rPr>
        <w:t>z 28. mája 2001 o prijímaní cenných papierov na kótovanie na burze cenných papierov a o informáciách, ktoré sa o týchto cenných papieroch musia zverejňovať,</w:t>
      </w:r>
    </w:p>
    <w:p>
      <w:pPr>
        <w:spacing w:after="120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Cs w:val="22"/>
        </w:rPr>
        <w:tab/>
        <w:t>v smernici Európskeho parlamentu a Rady 2002/87/ES zo 16.decembra 2002 o doplňujúcom dohľade nad úverovými ústavmi, poisťovňami a investičnými firmami vo finančnom konglomeráte, ktorou sa menia a dopĺňajú smernice Rady 73/239/EHS, 79/267/EHS, 92/49/EHS, 92/96/EHS, 93/6/EHS a 93/22/EHS a smernice 98/78/ES a 2000/12/ES Európskeho parlam</w:t>
      </w:r>
      <w:r>
        <w:rPr>
          <w:rFonts w:ascii="Times New Roman" w:hAnsi="Times New Roman" w:cs="Times New Roman"/>
          <w:szCs w:val="22"/>
        </w:rPr>
        <w:t>entu a Rady,</w:t>
      </w:r>
    </w:p>
    <w:p>
      <w:pPr>
        <w:pStyle w:val="N-textsodrkami"/>
        <w:tabs>
          <w:tab w:val="clear" w:pos="284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  <w:tab/>
        <w:t>v smernici Európskeho parlamentu a Rady 2003/6/ES z 28. januára 2003 o obchodovaní s využitím dôverných informácií a o manipulácii s trhom (zneužívanie trhu),</w:t>
      </w:r>
    </w:p>
    <w:p>
      <w:pPr>
        <w:pStyle w:val="N-textsodrkami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  <w:tab/>
        <w:t>v smernici Komisie 2003/124/ES z 22.decembra 2003 implementujúcej smernicu 2003/6/ES Európskeho parlamentu a Rady o definovaní a zverejňovaní dôverných informácií a o definovaní manipulácie s trhom,</w:t>
      </w:r>
    </w:p>
    <w:p>
      <w:pPr>
        <w:pStyle w:val="N-textsodrkami"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 v smernici Komisie 2003/125/ES z 22.decembra 2003 implementujúcej smernicu 2003/6/ES Európskeho parlamentu a Rady o objektívnom prezentovaní investičných odporúčaní a o zverejňovaní konfliktov záujmov,</w:t>
      </w:r>
    </w:p>
    <w:p>
      <w:pPr>
        <w:pStyle w:val="N-textsodrkami"/>
        <w:tabs>
          <w:tab w:val="clear" w:pos="284"/>
          <w:tab w:val="left" w:pos="360"/>
        </w:tabs>
        <w:ind w:left="360" w:hanging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- v smernici </w:t>
      </w:r>
      <w:r>
        <w:rPr>
          <w:rFonts w:ascii="Times New Roman" w:hAnsi="Times New Roman" w:cs="Times New Roman"/>
        </w:rPr>
        <w:t xml:space="preserve">Európskeho parlamentu a Rady 2002/47/ES zo 6. júna 2002 o dohodách o finančných zárukách </w:t>
      </w:r>
    </w:p>
    <w:p>
      <w:pPr>
        <w:pStyle w:val="N-textsodrkami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  <w:tab/>
        <w:t>v nariadení Komisie (ES) č. 2273/2003 z 22.decembra 2003 implementujúceho smernicu 2003/6/ES Európskeho parlamentu a Rady o výnimkách pre programy spätného výkupu a pre stabilizáciu finančných nástrojov.</w:t>
      </w:r>
    </w:p>
    <w:p>
      <w:pPr>
        <w:ind w:left="283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spacing w:after="120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Na základe článku 14 Zmluvy o založení ES prijalo Spoločenstvo opatrenia, ktorých cieľom bolo vytvorenie vnútorného trhu. Vnútorný trh sa chápe ako oblasť bez vnútorných hraníc, v ktorej je zaručený voľný pohyb tovaru, osôb, služieb a kapitálu v súlade s ustanoveniami uvedenej zmluvy.</w:t>
      </w:r>
    </w:p>
    <w:p>
      <w:pPr>
        <w:pStyle w:val="N-textsodrkami"/>
        <w:tabs>
          <w:tab w:val="clear" w:pos="284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Ustanovenia článkov 56 až 60 Zmluvy o založení ES vytvárajú esenciálne princípy voľného pohybu kapit</w:t>
      </w:r>
      <w:r>
        <w:rPr>
          <w:rFonts w:ascii="Times New Roman" w:hAnsi="Times New Roman" w:cs="Times New Roman"/>
          <w:szCs w:val="22"/>
        </w:rPr>
        <w:t>álu a platieb.</w:t>
      </w:r>
    </w:p>
    <w:p>
      <w:pPr>
        <w:pStyle w:val="Zkladntext"/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1989/298/EHS upravuje cenné papiere, ktoré už boli prijaté alebo prechádzajú prijímacím konaním pre kotáciu na burze. Tieto cenné papiere musia zodpovedať podmienkam a splniť povinnosti stanovené v prílohe k tejto smernici.</w:t>
      </w:r>
    </w:p>
    <w:p>
      <w:pPr>
        <w:pStyle w:val="Zkladntext"/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1997/9/ES požaduje, aby každý členský štát zabezpečil, že na jeho území sa zriadi a oficiálne uzná jedna alebo viac systémov náhrad pre investorov, ktoré im poskytnú ochranu.</w:t>
      </w:r>
    </w:p>
    <w:p>
      <w:pPr>
        <w:pStyle w:val="Zkladntext"/>
        <w:spacing w:after="120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Smernica Rady 1993/22/EHS sa dotýka investičných spoločností. Od členských štátov požaduje zriadiť kompetentné orgány, ktoré budú udeľovať a odoberať povolenia investičným spoločnostiam a vykonávať dozor nad ich činnosťou.</w:t>
      </w:r>
    </w:p>
    <w:p>
      <w:pPr>
        <w:spacing w:after="120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Smernica Rady 1993/6/ES okrem iného obsahuje niektoré špecifické ustanovenia o investičných spoločnostiach, stanovuje minimálny počiatočný kapitál potrebný pre zriadenie investičnej spoločnosti, ktorého výška je determinovaná typom činnosti a operácií spoločnosti a pohybuje sa od 125 000 ECU po 730 000 ECU.</w:t>
      </w:r>
    </w:p>
    <w:p>
      <w:pPr>
        <w:autoSpaceDE/>
        <w:autoSpaceDN/>
        <w:ind w:left="360"/>
        <w:rPr>
          <w:rFonts w:ascii="Times New Roman" w:hAnsi="Times New Roman" w:cs="Times New Roman"/>
          <w:color w:val="000000"/>
        </w:rPr>
      </w:pPr>
    </w:p>
    <w:p>
      <w:pPr>
        <w:pStyle w:val="BodyTextIndent"/>
        <w:ind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Smernica Rady 34/2001/ES sa vzťahuje na cenné papiere, ktoré sú predmetom žiadosti o prijatie alebo ktoré boli prijaté na trh kótovaných cenných papierov burzy a na emitentov týchto cenných papierov. </w:t>
      </w:r>
    </w:p>
    <w:p>
      <w:pPr>
        <w:spacing w:after="120"/>
        <w:ind w:left="284"/>
        <w:jc w:val="both"/>
        <w:rPr>
          <w:rFonts w:ascii="Times New Roman" w:hAnsi="Times New Roman" w:cs="Times New Roman"/>
          <w:szCs w:val="22"/>
        </w:rPr>
      </w:pPr>
    </w:p>
    <w:p>
      <w:pPr>
        <w:spacing w:after="120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Smernica 2002/87/ES definuje minimálne normy týkajúce sa doplňujúceho dohľadu nad úverovými ústavmi, poisťovňami a investičnými spoločnosťami vo finančnom konglomeráte. Taktiež mení príslušné sektorové predpisy platné pre subjekty, ktorých činnosť upravujú smernice, ktoré dopĺňa.</w:t>
      </w:r>
    </w:p>
    <w:p>
      <w:pPr>
        <w:spacing w:after="120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Smernica 2003/6/ES má zabrániť manipulácii s trhom, keďže hladké fungovanie trhov s cennými papiermi a dôvera verejnosti v trhy sú nevyhnutnou podmienkou hospodárskeho rastu a blahobytu. Cieľom tejto smernice je zabezpečiť integritu finančných trhov spoločenstva a zvýšiť dôveru investorov v tieto trhy.</w:t>
      </w:r>
    </w:p>
    <w:p>
      <w:pPr>
        <w:spacing w:after="120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Smernica 2003/124/ES implementujúca smernicu 2003/6/ES vymedzuje včasné zverejňovanie dôverných informácií emitentmi, ale aj to, aby takéto zverejnenie bolo čo najrýchlejšie a čo možno najviac zosynchronizované u všetkých kategórií investorov vo všetkých členských štátoch.</w:t>
      </w:r>
    </w:p>
    <w:p>
      <w:pPr>
        <w:pStyle w:val="Considrant"/>
        <w:numPr>
          <w:numId w:val="0"/>
        </w:numPr>
        <w:spacing w:before="0"/>
        <w:rPr>
          <w:rFonts w:ascii="Times New Roman" w:hAnsi="Times New Roman" w:cs="Times New Roman"/>
          <w:szCs w:val="22"/>
          <w:lang w:val="sk-SK"/>
        </w:rPr>
      </w:pPr>
      <w:r>
        <w:rPr>
          <w:rFonts w:ascii="Times New Roman" w:hAnsi="Times New Roman" w:cs="Times New Roman"/>
          <w:szCs w:val="22"/>
          <w:lang w:val="sk-SK"/>
        </w:rPr>
        <w:t>Smernica 2003/125/ES implementujúca smernicu 2003/6/ES upravuje objektívnu, jasnú a primeranú prezentáciu informácií. Integrita trhu vyžaduje vysoký štandard objektivity, bezúhonnosti a transparentnosti pri prezentovaní informácií odporúčajúcich alebo navrhujúcich investičnú stratégiu.</w:t>
      </w:r>
    </w:p>
    <w:p>
      <w:pPr>
        <w:pStyle w:val="N-textsodrkami"/>
        <w:tabs>
          <w:tab w:val="clear" w:pos="284"/>
          <w:tab w:val="left" w:pos="360"/>
        </w:tabs>
        <w:ind w:left="360" w:hanging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Smernica </w:t>
      </w:r>
      <w:r>
        <w:rPr>
          <w:rFonts w:ascii="Times New Roman" w:hAnsi="Times New Roman" w:cs="Times New Roman"/>
        </w:rPr>
        <w:t>Európskeho parlamentu a Rady 2002/47/ES zo 6. júna 2002 o dohodách o finančných zárukách upravuje finančné záruky k finančným službám. Finančné záruky predstavujú zabezpečovací právny úkon pre prípad nesplnenia záväzku.</w:t>
      </w:r>
    </w:p>
    <w:p>
      <w:pPr>
        <w:pStyle w:val="N-textsodrkami"/>
        <w:tabs>
          <w:tab w:val="clear" w:pos="284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Nariadenie (ES) č. 2273/2003 implementujúce smernicu 2003/6/ES ustanovuje podmienky, ktoré majú byť splnené programami spätného výkupu a stabilizáciou finančných nástrojov, aby mali výhodu z vyňatia ustanoveného v článku 8 smernice 2003/6/ES.</w:t>
      </w:r>
    </w:p>
    <w:p>
      <w:pPr>
        <w:spacing w:after="120"/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Zrevidované preklady uvedených právnych predpisov EÚ sa nachádzajú v databáze Centrálnej prekladateľskej jednotky Sekcie Úradu vlády SR Inštitútu pre aproximáciu práva a v elektronickej podobe je možné si ich vyhľadať na internetovej stránke www.aprox.government.gov.sk.</w:t>
      </w:r>
      <w:r>
        <w:rPr>
          <w:rFonts w:ascii="Times New Roman" w:hAnsi="Times New Roman" w:cs="Times New Roman"/>
          <w:szCs w:val="22"/>
        </w:rPr>
        <w:t xml:space="preserve"> </w:t>
      </w:r>
    </w:p>
    <w:p>
      <w:pPr>
        <w:pStyle w:val="N-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>b)</w:t>
        <w:tab/>
        <w:t>nie je upravená v práve Európskej únie</w:t>
      </w:r>
    </w:p>
    <w:p>
      <w:pPr>
        <w:ind w:left="283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tlNadpisbodov11p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Stupeň zlučiteľnosti návrhu zákona s právom Európskych spoločenstiev a právom Európskej únie:</w:t>
      </w:r>
    </w:p>
    <w:p>
      <w:pPr>
        <w:pStyle w:val="N-text"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Návrh zákona je úplne zlučiteľný so smernicami 2002/87/ES, 2003/6/ES, 2003/124/ES a 2003/125/ES.</w:t>
      </w:r>
    </w:p>
    <w:p>
      <w:pPr>
        <w:pStyle w:val="N-text"/>
        <w:ind w:left="360"/>
        <w:rPr>
          <w:rFonts w:ascii="Times New Roman" w:hAnsi="Times New Roman" w:cs="Times New Roman"/>
          <w:szCs w:val="22"/>
        </w:rPr>
      </w:pPr>
    </w:p>
    <w:p>
      <w:pPr>
        <w:pStyle w:val="N-textsodrkami"/>
        <w:tabs>
          <w:tab w:val="clear" w:pos="284"/>
          <w:tab w:val="left" w:pos="360"/>
        </w:tabs>
        <w:ind w:left="360" w:hanging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Návrh zákona je čiastočne zlučiteľný so smernicou </w:t>
      </w:r>
      <w:r>
        <w:rPr>
          <w:rFonts w:ascii="Times New Roman" w:hAnsi="Times New Roman" w:cs="Times New Roman"/>
        </w:rPr>
        <w:t xml:space="preserve">2002/47/ES. </w:t>
      </w:r>
    </w:p>
    <w:p>
      <w:pPr>
        <w:pStyle w:val="N-text"/>
        <w:ind w:left="360"/>
        <w:rPr>
          <w:rFonts w:ascii="Times New Roman" w:hAnsi="Times New Roman" w:cs="Times New Roman"/>
          <w:szCs w:val="22"/>
        </w:rPr>
      </w:pPr>
    </w:p>
    <w:p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tlNadpisbodov11p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Gestor:</w:t>
      </w:r>
    </w:p>
    <w:p>
      <w:pPr>
        <w:pStyle w:val="N-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>Ministerstvo financií Slovenskej republiky.</w:t>
      </w:r>
    </w:p>
    <w:p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tlNadpisbodov11p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Účasť expertov pri príprave návrhu zákona a ich stanovisko k zlučiteľnosti návrhu zákona s právom Európskych spoločenstiev a právom Európskej únie:</w:t>
      </w:r>
    </w:p>
    <w:p>
      <w:pPr>
        <w:pStyle w:val="N-text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szCs w:val="22"/>
        </w:rPr>
        <w:tab/>
        <w:t>Na príprave návrhu zákona sa nezúčastnili experti.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>
      <w:pPr>
        <w:pStyle w:val="BodyText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>
      <w:pPr>
        <w:pStyle w:val="BodyText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7427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">
    <w:nsid w:val="48B63449"/>
    <w:multiLevelType w:val="multilevel"/>
    <w:tmpl w:val="9B9C1872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autoSpaceDE/>
      <w:autoSpaceDN/>
      <w:jc w:val="center"/>
    </w:pPr>
    <w:rPr>
      <w:rFonts w:ascii="Arial" w:hAnsi="Arial"/>
    </w:rPr>
  </w:style>
  <w:style w:type="paragraph" w:customStyle="1" w:styleId="tlNadpisbodov11pt">
    <w:name w:val="Štýl Nadpis bodov + 11 pt"/>
    <w:basedOn w:val="Normal"/>
    <w:pPr>
      <w:numPr>
        <w:ilvl w:val="0"/>
        <w:numId w:val="1"/>
      </w:numPr>
      <w:tabs>
        <w:tab w:val="left" w:pos="360"/>
      </w:tabs>
      <w:spacing w:after="120"/>
      <w:ind w:left="360" w:hanging="360"/>
      <w:jc w:val="both"/>
    </w:pPr>
    <w:rPr>
      <w:b/>
      <w:bCs/>
      <w:iCs/>
      <w:szCs w:val="20"/>
    </w:rPr>
  </w:style>
  <w:style w:type="paragraph" w:customStyle="1" w:styleId="N-text">
    <w:name w:val="N-text"/>
    <w:basedOn w:val="Normal"/>
    <w:pPr>
      <w:tabs>
        <w:tab w:val="left" w:pos="284"/>
      </w:tabs>
      <w:jc w:val="both"/>
    </w:pPr>
    <w:rPr>
      <w:szCs w:val="20"/>
    </w:rPr>
  </w:style>
  <w:style w:type="paragraph" w:customStyle="1" w:styleId="Zkladntext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N-textsodrkami">
    <w:name w:val="N-text s odrážkami"/>
    <w:basedOn w:val="N-text"/>
    <w:pPr>
      <w:spacing w:after="120"/>
      <w:ind w:left="284"/>
      <w:jc w:val="both"/>
    </w:pPr>
  </w:style>
  <w:style w:type="paragraph" w:customStyle="1" w:styleId="Considrant">
    <w:name w:val="Considérant"/>
    <w:basedOn w:val="Normal"/>
    <w:pPr>
      <w:numPr>
        <w:ilvl w:val="0"/>
        <w:numId w:val="2"/>
      </w:numPr>
      <w:tabs>
        <w:tab w:val="left" w:pos="360"/>
      </w:tabs>
      <w:spacing w:before="120" w:after="120"/>
      <w:ind w:left="360" w:hanging="360"/>
      <w:jc w:val="both"/>
    </w:pPr>
    <w:rPr>
      <w:lang w:val="en-GB" w:eastAsia="ko-KR"/>
    </w:rPr>
  </w:style>
  <w:style w:type="character" w:customStyle="1" w:styleId="ZkladntextChar">
    <w:name w:val="Základní text Char"/>
    <w:basedOn w:val="DefaultParagraphFont"/>
    <w:rPr>
      <w:color w:val="000000"/>
      <w:sz w:val="24"/>
      <w:rtl w:val="0"/>
      <w:lang w:val="sk-SK" w:bidi="ar-SA"/>
    </w:rPr>
  </w:style>
  <w:style w:type="paragraph" w:styleId="BodyTextIndent">
    <w:name w:val="Body Text Indent"/>
    <w:basedOn w:val="Normal"/>
    <w:pPr>
      <w:jc w:val="both"/>
    </w:pPr>
  </w:style>
  <w:style w:type="paragraph" w:styleId="BodyText">
    <w:name w:val="Body Text"/>
    <w:basedOn w:val="Normal"/>
    <w:pPr>
      <w:autoSpaceDE/>
      <w:autoSpaceDN/>
      <w:jc w:val="left"/>
    </w:pPr>
    <w:rPr>
      <w:color w:val="000000"/>
      <w:sz w:val="20"/>
      <w:szCs w:val="20"/>
      <w:lang w:val="cs-CZ"/>
    </w:rPr>
  </w:style>
  <w:style w:type="paragraph" w:styleId="BodyText3">
    <w:name w:val="Body Text 3"/>
    <w:basedOn w:val="Normal"/>
    <w:pPr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1193</Words>
  <Characters>6801</Characters>
  <Application>Microsoft Office Word</Application>
  <DocSecurity>0</DocSecurity>
  <Lines>0</Lines>
  <Paragraphs>0</Paragraphs>
  <ScaleCrop>false</ScaleCrop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ZLUČlTEĽNOSTI</dc:title>
  <dc:creator>Marta Gulárová</dc:creator>
  <cp:lastModifiedBy>Marta Gulárová</cp:lastModifiedBy>
  <cp:revision>3</cp:revision>
  <cp:lastPrinted>2004-06-24T08:51:00Z</cp:lastPrinted>
  <dcterms:created xsi:type="dcterms:W3CDTF">2004-06-24T08:50:00Z</dcterms:created>
  <dcterms:modified xsi:type="dcterms:W3CDTF">2004-06-24T08:52:00Z</dcterms:modified>
</cp:coreProperties>
</file>