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spacing w:before="120"/>
        <w:jc w:val="both"/>
        <w:rPr>
          <w:rFonts w:ascii="Times New Roman" w:hAnsi="Times New Roman" w:cs="Times New Roman"/>
          <w:b/>
          <w:bCs/>
          <w:sz w:val="28"/>
          <w:szCs w:val="28"/>
          <w:u w:val="single"/>
          <w:lang w:val="sk-SK"/>
        </w:rPr>
      </w:pPr>
      <w:r>
        <w:rPr>
          <w:rFonts w:ascii="Times New Roman" w:hAnsi="Times New Roman" w:cs="Times New Roman"/>
          <w:b/>
          <w:bCs/>
          <w:sz w:val="28"/>
          <w:szCs w:val="28"/>
          <w:lang w:val="sk-SK"/>
        </w:rPr>
        <w:t>B. Osobitná časť</w:t>
      </w:r>
      <w:r>
        <w:rPr>
          <w:rFonts w:ascii="Times New Roman" w:hAnsi="Times New Roman" w:cs="Times New Roman"/>
          <w:b/>
          <w:bCs/>
          <w:sz w:val="28"/>
          <w:szCs w:val="28"/>
          <w:u w:val="single"/>
          <w:lang w:val="sk-SK"/>
        </w:rPr>
        <w:t xml:space="preserve"> </w:t>
      </w:r>
    </w:p>
    <w:p>
      <w:pPr>
        <w:pStyle w:val="Heading2"/>
        <w:rPr>
          <w:rFonts w:ascii="Times New Roman" w:hAnsi="Times New Roman" w:cs="Times New Roman"/>
        </w:rPr>
      </w:pPr>
    </w:p>
    <w:p>
      <w:pPr>
        <w:pStyle w:val="Heading2"/>
        <w:rPr>
          <w:rFonts w:ascii="Times New Roman" w:hAnsi="Times New Roman" w:cs="Times New Roman"/>
        </w:rPr>
      </w:pPr>
    </w:p>
    <w:p>
      <w:pPr>
        <w:pStyle w:val="Heading2"/>
        <w:rPr>
          <w:rFonts w:ascii="Times New Roman" w:hAnsi="Times New Roman" w:cs="Times New Roman"/>
          <w:b w:val="0"/>
          <w:bCs w:val="0"/>
          <w:u w:val="single"/>
        </w:rPr>
      </w:pPr>
      <w:r>
        <w:rPr>
          <w:rFonts w:ascii="Times New Roman" w:hAnsi="Times New Roman" w:cs="Times New Roman"/>
          <w:u w:val="single"/>
        </w:rPr>
        <w:t>K Čl. I</w:t>
      </w:r>
    </w:p>
    <w:p>
      <w:pPr>
        <w:pStyle w:val="BodyText"/>
        <w:jc w:val="both"/>
        <w:rPr>
          <w:rFonts w:ascii="Times New Roman" w:hAnsi="Times New Roman" w:cs="Times New Roman"/>
          <w:b/>
          <w:bCs/>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ab/>
      </w:r>
      <w:r>
        <w:rPr>
          <w:rFonts w:ascii="Times New Roman" w:hAnsi="Times New Roman" w:cs="Times New Roman"/>
          <w:sz w:val="24"/>
          <w:szCs w:val="24"/>
          <w:lang w:val="sk-SK"/>
        </w:rPr>
        <w:t xml:space="preserve">Legislatívno – technická úprava poznámky pod čiarou.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2 </w:t>
      </w:r>
    </w:p>
    <w:p>
      <w:pPr>
        <w:pStyle w:val="BodyText"/>
        <w:ind w:firstLine="708"/>
        <w:jc w:val="both"/>
        <w:rPr>
          <w:rFonts w:ascii="Times New Roman" w:hAnsi="Times New Roman" w:cs="Times New Roman"/>
          <w:lang w:val="sk-SK"/>
        </w:rPr>
      </w:pPr>
    </w:p>
    <w:p>
      <w:pPr>
        <w:pStyle w:val="BodyText"/>
        <w:ind w:firstLine="708"/>
        <w:jc w:val="both"/>
        <w:rPr>
          <w:rFonts w:ascii="Times New Roman" w:hAnsi="Times New Roman" w:cs="Times New Roman"/>
          <w:lang w:val="sk-SK"/>
        </w:rPr>
      </w:pPr>
    </w:p>
    <w:p>
      <w:pPr>
        <w:pStyle w:val="BodyText"/>
        <w:ind w:firstLine="708"/>
        <w:jc w:val="both"/>
        <w:rPr>
          <w:rFonts w:ascii="Times New Roman" w:hAnsi="Times New Roman" w:cs="Times New Roman"/>
          <w:lang w:val="sk-SK"/>
        </w:rPr>
      </w:pPr>
      <w:r>
        <w:rPr>
          <w:rFonts w:ascii="Times New Roman" w:hAnsi="Times New Roman" w:cs="Times New Roman"/>
          <w:sz w:val="24"/>
          <w:szCs w:val="24"/>
          <w:lang w:val="sk-SK"/>
        </w:rPr>
        <w:t xml:space="preserve">Legislatívno – technická úprava definície majiteľa zaknihovaného cenného papiera. V záujme odstránenia možných výkladových problémov sa dopĺňa odkaz na všetky typy evidencie, vrátane účtov zriedených podľa zákona č.600/1992 Zb.  </w:t>
      </w:r>
    </w:p>
    <w:p>
      <w:pPr>
        <w:pStyle w:val="BodyText"/>
        <w:ind w:firstLine="708"/>
        <w:jc w:val="both"/>
        <w:rPr>
          <w:rFonts w:ascii="Times New Roman" w:hAnsi="Times New Roman" w:cs="Times New Roman"/>
          <w:lang w:val="sk-SK"/>
        </w:rPr>
      </w:pPr>
    </w:p>
    <w:p>
      <w:pPr>
        <w:pStyle w:val="BodyText"/>
        <w:ind w:firstLine="708"/>
        <w:jc w:val="both"/>
        <w:rPr>
          <w:rFonts w:ascii="Times New Roman" w:hAnsi="Times New Roman" w:cs="Times New Roman"/>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3 </w:t>
      </w:r>
    </w:p>
    <w:p>
      <w:pPr>
        <w:pStyle w:val="BodyText"/>
        <w:ind w:firstLine="708"/>
        <w:jc w:val="both"/>
        <w:rPr>
          <w:rFonts w:ascii="Times New Roman" w:hAnsi="Times New Roman" w:cs="Times New Roman"/>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lang w:val="sk-SK"/>
        </w:rPr>
        <w:tab/>
      </w:r>
      <w:r>
        <w:rPr>
          <w:rFonts w:ascii="Times New Roman" w:hAnsi="Times New Roman" w:cs="Times New Roman"/>
          <w:sz w:val="24"/>
          <w:szCs w:val="24"/>
          <w:lang w:val="sk-SK"/>
        </w:rPr>
        <w:t xml:space="preserve">Legislatívno – technická úprava úprava poznámky pod čiarou.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4 a 5  </w:t>
      </w:r>
    </w:p>
    <w:p>
      <w:pPr>
        <w:pStyle w:val="BodyText"/>
        <w:tabs>
          <w:tab w:val="left" w:pos="-1418"/>
        </w:tabs>
        <w:ind w:firstLine="720"/>
        <w:jc w:val="both"/>
        <w:rPr>
          <w:rFonts w:ascii="Times New Roman" w:hAnsi="Times New Roman" w:cs="Times New Roman"/>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lang w:val="sk-SK"/>
        </w:rPr>
        <w:tab/>
      </w:r>
      <w:r>
        <w:rPr>
          <w:rFonts w:ascii="Times New Roman" w:hAnsi="Times New Roman" w:cs="Times New Roman"/>
          <w:sz w:val="24"/>
          <w:lang w:val="sk-SK"/>
        </w:rPr>
        <w:t>Zmena definície kontroly a d</w:t>
      </w:r>
      <w:r>
        <w:rPr>
          <w:rFonts w:ascii="Times New Roman" w:hAnsi="Times New Roman" w:cs="Times New Roman"/>
          <w:sz w:val="24"/>
          <w:szCs w:val="24"/>
          <w:lang w:val="sk-SK"/>
        </w:rPr>
        <w:t xml:space="preserve">efinícia majetkovej  účasti sa zavádza za účelom vymedzenia skupín, ktoré sú finančnými konglomerátmi podľa direktívy č.2002/87/ES.  Pojem finančný nástroj a regulovaný trh sa zavádza podľa čl. 1 direktívy č.2003/6/ES. </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6 a 7</w:t>
      </w:r>
    </w:p>
    <w:p>
      <w:pPr>
        <w:pStyle w:val="BodyText"/>
        <w:tabs>
          <w:tab w:val="left" w:pos="-1418"/>
        </w:tabs>
        <w:ind w:firstLine="720"/>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sz w:val="24"/>
          <w:szCs w:val="24"/>
          <w:lang w:val="sk-SK"/>
        </w:rPr>
        <w:t xml:space="preserve">Legislatívno – technická úprava poznámky pod čiarou. </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8</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r>
        <w:rPr>
          <w:rFonts w:ascii="Times New Roman" w:hAnsi="Times New Roman" w:cs="Times New Roman"/>
          <w:sz w:val="24"/>
          <w:szCs w:val="24"/>
          <w:lang w:val="sk-SK"/>
        </w:rPr>
        <w:t>Le</w:t>
      </w:r>
      <w:r>
        <w:rPr>
          <w:rFonts w:ascii="Times New Roman" w:hAnsi="Times New Roman" w:cs="Times New Roman"/>
          <w:sz w:val="24"/>
          <w:szCs w:val="24"/>
          <w:lang w:val="sk-SK"/>
        </w:rPr>
        <w:t xml:space="preserve">gislatívno – technická úprava. Zosúladenie s terminológiou týkajúcou sa zmlúv  o prevodoch cenných papierov.  </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sz w:val="24"/>
          <w:szCs w:val="24"/>
          <w:lang w:val="sk-SK"/>
        </w:rPr>
        <w:tab/>
        <w:t xml:space="preserve">Vzhľadom na to, že podľa § 10 ods. 4 sú v SR zavedené </w:t>
      </w:r>
      <w:r>
        <w:rPr>
          <w:rFonts w:ascii="Times New Roman" w:hAnsi="Times New Roman" w:cs="Times New Roman"/>
          <w:sz w:val="24"/>
          <w:lang w:val="sk-SK"/>
        </w:rPr>
        <w:t>ďalšiej možnosti evidencie zaknihovaných cenných papierov v Centrálnom registri NBS (štátne pokladničné poukážky)  a u depozitára podielových fondov (zaknihované podielové listy)  je potrebné doriešiť úpravu systému zúčtovania týchto cenných papierov, ako aj  problematiku vedenia registra záložných prááv v prípade, ak je  evidencia c</w:t>
      </w:r>
      <w:r>
        <w:rPr>
          <w:rFonts w:ascii="Times New Roman" w:hAnsi="Times New Roman" w:cs="Times New Roman"/>
          <w:sz w:val="24"/>
          <w:lang w:val="sk-SK"/>
        </w:rPr>
        <w:t xml:space="preserve">enných papierov  zverená týmto subjektom.  </w:t>
      </w:r>
    </w:p>
    <w:p>
      <w:pPr>
        <w:pStyle w:val="BodyText"/>
        <w:tabs>
          <w:tab w:val="left" w:pos="-1418"/>
        </w:tabs>
        <w:jc w:val="both"/>
        <w:rPr>
          <w:rFonts w:ascii="Times New Roman" w:hAnsi="Times New Roman" w:cs="Times New Roman"/>
          <w:b/>
          <w:bCs/>
          <w:sz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Na základe poznatkov získaných pri výkone dohľadu sa rozširuje úprava niektorých typov zmlúv (komisionárska zmluva, mandátna zmluva a zmluva o sprostredkovaní) tak, aby sa vzťahovala nielen na cenné papiere, ale aj na iné investičné nástroje.</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technická úprava,  </w:t>
      </w:r>
      <w:r>
        <w:rPr>
          <w:rFonts w:ascii="Times New Roman" w:hAnsi="Times New Roman" w:cs="Times New Roman"/>
          <w:sz w:val="24"/>
          <w:lang w:val="sk-SK"/>
        </w:rPr>
        <w:t>aby sa zvýraznila skutočnosť, že záložný rubopis je podmienkou na vznik zmluvného záložného práva.</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12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Upravuje sa osobitný režim záložného práva k cenným papierom pre vymedzený okruh záložcov a záložných veriteľov (predovšetkým finančné inštitúcie, podnikateľov a verejných orgánov) za účelom harmonizácie s direktívou č.2002/47/ES  o finančných zárukách.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Ide predovšetkým o zrušenie konštitutívneho charakteru zápisu do registra záložných práv vedeného centrálnym depozitárom. Podľa čl. 3 direktívou č.2002/47/ES takáto registrácia nesmie mať vplyv na zriadenie, platnosť, bezchybnosť, vymáhateľnosť a dôkaznú príslušnosť  záložnej zmluvy.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Rovnako z dôvodu nesúladu s direktívou č.2002/47/ES je potrebné upraviť pre tento okruh osôb niektoré ustanovenia týkajúce sa postupov realizácie  záložného práva k cenným papierom (ide o úpravu niektorých postupov pri výkone záložného práva podľa § 51 ods. 4 až 7, pre ich nesúlad s čl. 4 ods.4, ktorý zakazuje viazať realizáciu finančnej záruky na podanie predchádzajúceho oznámenia o zámere realizácie, uplynutia dodatočnej lehoty alebo na predpísaný spôsob realizácie, napr. formou dražby). Nakoľko ide o voľnejší režim, pre fyzické osoby nepodnikateľov smernica nepožaduje zavedenie takého režimu a členskému štátu umožňuje ponechať prísnejšie pravidlá týkajúce sa registrácie, ako aj výkonu záložných práv. Z uvedeného dôvodu bola ponechaná  pre fyzické osoby nepodnikateľov  v platnosti doterajšia úprava záložného práva k cenným papierom tak, ako to urobila väčšina členských štátov.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Oddobná úpraqva bola vykonaná aj v ustanoveniach týkajúcich sa zabezpečovacích prevodov cenných papierov zaúčelom ich harmonizácie s direktívou č.2002/47/ES  o finančných zárukách.  Rovnako ako v prípade zmluvného záložného práva ide predovšetkým o zrušenie konštitutívneho charakteru zápisu do registra zabezpečovacích prevodov.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13</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technická úprava v nadväznosti na bod 4 (skoršie zavedenie skratky „členský štát“).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14 a 15</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Legislatívno – technické úpravy za účelom odstránenia možných výkladových problémov vo vzťahu k úprave slobodného poskytovania  služieb ( § 65 a 66), výkonu činnosti člena centrálneho depozitára a k tvorbe a rozširovaniu investičných odporúčaní obchodníkom s cennými papiermi.</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16</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Doplnenie novej podmienky na udelenie povolenia na poskytovanie investičných služieb o vhodnosť a odbornú spôsobilosť osôb riadicich finančnú holdingovú spoločnosť alebo zmiešanú finančnú holdingovú spoločnosť, ktorá kontroluje finančný konglomerát, ktorého súčasťou je aj obchodník s cennými papiermi si vyžiadal čl. 13 direktívy č.2002/87/ES.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17 a 18</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technická úprava - zosúladenie pojmov týkajúcich sa vzdelania so školským zákonom a doplnenie ustanovenia o to, čo sa rozumie odbornou spôsobilosťou pri </w:t>
      </w:r>
      <w:r>
        <w:rPr>
          <w:rFonts w:ascii="Times New Roman" w:hAnsi="Times New Roman" w:cs="Times New Roman"/>
          <w:color w:val="auto"/>
          <w:sz w:val="24"/>
          <w:szCs w:val="24"/>
          <w:lang w:val="sk-SK"/>
        </w:rPr>
        <w:t xml:space="preserve">členoch štatutárneho orgánu finančnej holdingovej inštitúcie kontrolujúcej konsolidovaný celok a </w:t>
      </w:r>
      <w:r>
        <w:rPr>
          <w:rFonts w:ascii="Times New Roman" w:hAnsi="Times New Roman" w:cs="Times New Roman"/>
          <w:sz w:val="24"/>
          <w:szCs w:val="24"/>
          <w:lang w:val="sk-SK"/>
        </w:rPr>
        <w:t xml:space="preserve">pri </w:t>
      </w:r>
      <w:r>
        <w:rPr>
          <w:rFonts w:ascii="Times New Roman" w:hAnsi="Times New Roman" w:cs="Times New Roman"/>
          <w:color w:val="auto"/>
          <w:sz w:val="24"/>
          <w:szCs w:val="24"/>
          <w:lang w:val="sk-SK"/>
        </w:rPr>
        <w:t xml:space="preserve">členoch štatutárneho orgánu zmiešanej finančnej holdingovej spoločnosti kontrolujúcej finančný konglomerát, ako aj vymedzenie vhodnosti akcionárov </w:t>
      </w:r>
      <w:r>
        <w:rPr>
          <w:rFonts w:ascii="Times New Roman" w:hAnsi="Times New Roman" w:cs="Times New Roman"/>
          <w:sz w:val="24"/>
          <w:szCs w:val="24"/>
          <w:lang w:val="sk-SK"/>
        </w:rPr>
        <w:t xml:space="preserve">kontrolujúcich finančnú holdingovú inštitúciu  alebo zmiešanú finančnú holdingovú spoločnosť.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19</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Zjednotenie kritérií na odbornú spôsobilosť vedúcich pobočiek zahraničných obchodníkov s cennými papiermi s kritériami platnými pre štatutárov a vedúcich pracovníkov tuzemských obchodníkov s cennými papiermi.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20 až 22</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súlade s čl. 27 direktívy č.2002/87/ES sa rozširuje povinnosť Úradu pre finančný trh (ďalej len „úrad“) vykonať konzultácie s príslušnými orgánmi členských štátov pri udeľovaní povolenia na poskytovanie investičných služieb (ide najmä o situácie, ak by mal byť budúci obchodník s cennými papiermi majetkovo prepojený s finančnými inštitúciami z členských štátov EÚ).   Novým odsekom 2 sa dopĺňa sa aj rozsah týchto konzultácií, ktorý však v zmysle direktívy č.2002/87/ES nie je vyčerpávajúci.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23 a 24</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Upresňujú sa niektoré ustanovenia týkajúce sa žiadosti a podmienok udeľovania povolení sprostredkovateľom investičných služieb. </w:t>
      </w:r>
    </w:p>
    <w:p>
      <w:pPr>
        <w:pStyle w:val="BodyText"/>
        <w:tabs>
          <w:tab w:val="left" w:pos="-1418"/>
        </w:tabs>
        <w:jc w:val="both"/>
        <w:rPr>
          <w:rFonts w:ascii="Times New Roman" w:hAnsi="Times New Roman" w:cs="Times New Roman"/>
          <w:lang w:val="sk-SK"/>
        </w:rPr>
      </w:pPr>
      <w:r>
        <w:rPr>
          <w:rFonts w:ascii="Times New Roman" w:hAnsi="Times New Roman" w:cs="Times New Roman"/>
          <w:lang w:val="sk-SK"/>
        </w:rPr>
        <w:tab/>
      </w:r>
    </w:p>
    <w:p>
      <w:pPr>
        <w:pStyle w:val="BodyText"/>
        <w:tabs>
          <w:tab w:val="left" w:pos="-1418"/>
        </w:tabs>
        <w:jc w:val="both"/>
        <w:rPr>
          <w:rFonts w:ascii="Times New Roman" w:hAnsi="Times New Roman" w:cs="Times New Roman"/>
          <w:sz w:val="24"/>
          <w:lang w:val="sk-SK"/>
        </w:rPr>
      </w:pPr>
      <w:r>
        <w:rPr>
          <w:rFonts w:ascii="Times New Roman" w:hAnsi="Times New Roman" w:cs="Times New Roman"/>
          <w:lang w:val="sk-SK"/>
        </w:rPr>
        <w:tab/>
      </w:r>
      <w:r>
        <w:rPr>
          <w:rFonts w:ascii="Times New Roman" w:hAnsi="Times New Roman" w:cs="Times New Roman"/>
          <w:sz w:val="24"/>
          <w:lang w:val="sk-SK"/>
        </w:rPr>
        <w:t xml:space="preserve">Odstraňuje sa určitá nejednoznačnosť doterajšej úpravy poskytovania rovnakých služieb obchodníkmi s cennými papiermi a sprostredkovateľmi investičných služieb, najmä či je obchodník s cennými papiermi  oprávnený poskytovať tieto služby aj prostredníctvom fyzických osôb tak, ako je to umožnené   sprostredkovateľom – právnickým osobám po splnení podmienok podľa 61 ods. 5 písm. b). </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25</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Rieši sa situácia, ak sprostredkovateľ investičných služieb nie je schopný získať požadované poistenie z objektívnych príčin, napríklad ak poisťovne neposkytujú daný poisťovací produkt všobec alebo určitému okruhu osôb. V takom prípade je alternatívou navýšenie minimálneho základného imania, tak ako sato navrhuje v pripravovanej direktíve o finančných službách.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26</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Upresnenie postupov pri oznamovacej povinnosti pobočiek zahraničných obchodníkov s cennými papiermi, podnikajúcim v SR na základe práva slobodného poskytovania služieb.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27, 30 a 31</w:t>
      </w:r>
    </w:p>
    <w:p>
      <w:pPr>
        <w:pStyle w:val="BodyTextIndent"/>
        <w:ind w:firstLine="567"/>
        <w:rPr>
          <w:rFonts w:ascii="Times New Roman" w:hAnsi="Times New Roman" w:cs="Times New Roman"/>
        </w:rPr>
      </w:pPr>
    </w:p>
    <w:p>
      <w:pPr>
        <w:pStyle w:val="BodyTextIndent"/>
        <w:ind w:firstLine="567"/>
        <w:rPr>
          <w:rFonts w:ascii="Times New Roman" w:hAnsi="Times New Roman" w:cs="Times New Roman"/>
          <w:u w:val="single"/>
        </w:rPr>
      </w:pPr>
      <w:r>
        <w:rPr>
          <w:rFonts w:ascii="Times New Roman" w:hAnsi="Times New Roman" w:cs="Times New Roman"/>
        </w:rPr>
        <w:t xml:space="preserve">Legislatívno – technická úpravy. Upresnenie vo vzťahu k pobočkám zahraničných bánk resp. obchodníkov s cennými papiermi, nakoľko z doterajšieho znenia nebolo jasné, či sa tieto ustanovenia na ne vzťahujú.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28 a</w:t>
      </w:r>
      <w:r>
        <w:rPr>
          <w:rFonts w:ascii="Times New Roman" w:hAnsi="Times New Roman" w:cs="Times New Roman"/>
          <w:b/>
          <w:bCs/>
          <w:sz w:val="24"/>
          <w:szCs w:val="24"/>
          <w:lang w:val="sk-SK"/>
        </w:rPr>
        <w:t xml:space="preserve"> 29</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Úpravu postupov pri predchádzajúcom súhlase na nadobudnutie kvalifikovaných podielov na obchodníkovi s cennými papiermi si vyžiadal čl. 27 direktívy č.2002/87/ES.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bodom 32 až 34</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Úpresnenie pravidiel činnosti obchodníka s cennými papiermi vo vzťahu ku klientom si vyžiadali skúsenosti Úradu pre finančný trh  pri výkone dohľadu. Posilňuje sa zodpovednosť obchodníka s cennými papiermi voči klientovi (povinnosť vydať mu potvrdenie o udelenom pokyne) ako aj jeho celková zodpovednosť za stabilitu finančného trhu tak, aby obchodník  s cennými papiermi nesmel vykonať pokyn klienta smerujúci k manipulácií kurzu cenného papiera a aby bol oprávnený takýto pokyn odmietnuť vykonať aj v prípade, ak by jeho vykonanie bolo  v záujme klienta.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u w:val="single"/>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35 </w:t>
      </w:r>
    </w:p>
    <w:p>
      <w:pPr>
        <w:pStyle w:val="BodyText"/>
        <w:tabs>
          <w:tab w:val="left" w:pos="-1418"/>
        </w:tabs>
        <w:jc w:val="both"/>
        <w:rPr>
          <w:rFonts w:ascii="Times New Roman" w:hAnsi="Times New Roman" w:cs="Times New Roman"/>
          <w:b/>
          <w:bCs/>
          <w:sz w:val="24"/>
          <w:szCs w:val="24"/>
          <w:lang w:val="sk-SK"/>
        </w:rPr>
      </w:pPr>
    </w:p>
    <w:p>
      <w:pPr>
        <w:pStyle w:val="a"/>
        <w:spacing w:before="0" w:after="0" w:line="240" w:lineRule="auto"/>
        <w:rPr>
          <w:rFonts w:ascii="Times New Roman" w:hAnsi="Times New Roman" w:cs="Times New Roman"/>
          <w:lang w:val="sk-SK"/>
        </w:rPr>
      </w:pPr>
      <w:r>
        <w:rPr>
          <w:rFonts w:ascii="Times New Roman" w:hAnsi="Times New Roman" w:cs="Times New Roman"/>
          <w:b/>
          <w:bCs/>
          <w:lang w:val="sk-SK"/>
        </w:rPr>
        <w:tab/>
      </w:r>
      <w:r>
        <w:rPr>
          <w:rFonts w:ascii="Times New Roman" w:hAnsi="Times New Roman" w:cs="Times New Roman"/>
          <w:lang w:val="sk-SK"/>
        </w:rPr>
        <w:t xml:space="preserve">Spresňuje znenie v záujme zrozumiteľnosti a predídenia výkladovým problémom aj vzhľadom na úpravu vykonanú v novele zákona č. 483/2001 Z.z. o bankách, na ktorú sa úprava majetkovej angažovanosti podľa tohoto zákona odvoláva. </w:t>
      </w:r>
    </w:p>
    <w:p>
      <w:pPr>
        <w:jc w:val="both"/>
        <w:rPr>
          <w:rFonts w:ascii="Times New Roman" w:hAnsi="Times New Roman" w:cs="Times New Roman"/>
        </w:rPr>
      </w:pP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36</w:t>
      </w:r>
    </w:p>
    <w:p>
      <w:pPr>
        <w:pStyle w:val="BodyText"/>
        <w:tabs>
          <w:tab w:val="left" w:pos="-1418"/>
        </w:tabs>
        <w:jc w:val="both"/>
        <w:rPr>
          <w:rFonts w:ascii="Times New Roman" w:hAnsi="Times New Roman" w:cs="Times New Roman"/>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sz w:val="24"/>
          <w:szCs w:val="24"/>
          <w:lang w:val="sk-SK"/>
        </w:rPr>
        <w:tab/>
        <w:t>Legislatívno – technická úprava – oprava zrejmej chyby – splnenie podmienky sa má viazať na neprekročenie limitov majetkovej angažovanosti, ktoré sú v odseku 7.</w:t>
      </w: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37</w:t>
      </w:r>
    </w:p>
    <w:p>
      <w:pPr>
        <w:pStyle w:val="a"/>
        <w:spacing w:before="0" w:after="0" w:line="240" w:lineRule="auto"/>
        <w:ind w:firstLine="708"/>
        <w:rPr>
          <w:rFonts w:ascii="Times New Roman" w:hAnsi="Times New Roman" w:cs="Times New Roman"/>
          <w:lang w:val="sk-SK"/>
        </w:rPr>
      </w:pPr>
    </w:p>
    <w:p>
      <w:pPr>
        <w:pStyle w:val="a"/>
        <w:spacing w:before="0" w:after="0" w:line="240" w:lineRule="auto"/>
        <w:ind w:firstLine="708"/>
        <w:rPr>
          <w:rFonts w:ascii="Times New Roman" w:hAnsi="Times New Roman" w:cs="Times New Roman"/>
          <w:lang w:val="sk-SK"/>
        </w:rPr>
      </w:pPr>
      <w:r>
        <w:rPr>
          <w:rFonts w:ascii="Times New Roman" w:hAnsi="Times New Roman" w:cs="Times New Roman"/>
          <w:lang w:val="sk-SK"/>
        </w:rPr>
        <w:t xml:space="preserve">Na základe poznatkov získaných pri výkone dohľadu sa zavádza sa povinnosť obchodníka s cennými papiermi denne preceňovať pozície v obchodnej knihe tak, ako to už bolo zavedené v bankovom sektore.   Táto povinnosť vyplývala podľa doterajšej úpravy len nepriamo z § 74 a súvisiaceho vykonávacieho predpisu MF SR.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b/>
          <w:bCs/>
          <w:sz w:val="24"/>
          <w:szCs w:val="24"/>
          <w:lang w:val="sk-SK"/>
        </w:rPr>
        <w:t>K bodom 38 a 39</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 75 ods. 1  sa presne špecifikuje, že denník musí vždy obsahovať cenu, ktorú uviedol klient v pokyne.  Úpravou odseku 2 sa rozširujú povinné náležitosti denníka o prijatých pokynov klientov o záznamy týkajúce  všetkých druhov investičných služieb, nielen služieb týkajúcich sa kúpy apredaja investičných nástrojov.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40 a 41</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v záujme jednoznačnosti výkladu sa dopĺňa, že sa jedná o priebežnú účtovnú závierku a v nadväznosti na nový zákon o účtovníctve sa aktualizuje poznámka pod čiarou.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42</w:t>
      </w:r>
    </w:p>
    <w:p>
      <w:pPr>
        <w:pStyle w:val="BodyTextIndent"/>
        <w:ind w:firstLine="567"/>
        <w:rPr>
          <w:rFonts w:ascii="Times New Roman" w:hAnsi="Times New Roman" w:cs="Times New Roman"/>
        </w:rPr>
      </w:pPr>
    </w:p>
    <w:p>
      <w:pPr>
        <w:pStyle w:val="BodyTextIndent"/>
        <w:ind w:firstLine="567"/>
        <w:rPr>
          <w:rFonts w:ascii="Times New Roman" w:hAnsi="Times New Roman" w:cs="Times New Roman"/>
        </w:rPr>
      </w:pPr>
      <w:r>
        <w:rPr>
          <w:rFonts w:ascii="Times New Roman" w:hAnsi="Times New Roman" w:cs="Times New Roman"/>
        </w:rPr>
        <w:t xml:space="preserve">Na základe poznatkov získaných pri výkone dohľadu sa sprísňujú podmienky výberu audítorov pre obchodníkov s cennými papiermi.  Úradu pre finančný trh sa udeľuje právomoc odmietnuť obchodníkom s cennými papiermi navrhovaného audítora. Pretože v prípade bánk má rovnakú právomoc Národná banka Slovenska, ide o zjednotenie podmienok pre bankových a nebankových obchodníkov s cennými papiermi.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43 až 45</w:t>
      </w:r>
    </w:p>
    <w:p>
      <w:pPr>
        <w:pStyle w:val="BodyTextIndent"/>
        <w:ind w:firstLine="567"/>
        <w:rPr>
          <w:rFonts w:ascii="Times New Roman" w:hAnsi="Times New Roman" w:cs="Times New Roman"/>
        </w:rPr>
      </w:pPr>
    </w:p>
    <w:p>
      <w:pPr>
        <w:pStyle w:val="BodyTextIndent"/>
        <w:ind w:firstLine="567"/>
        <w:rPr>
          <w:rFonts w:ascii="Times New Roman" w:hAnsi="Times New Roman" w:cs="Times New Roman"/>
        </w:rPr>
      </w:pPr>
      <w:r>
        <w:rPr>
          <w:rFonts w:ascii="Times New Roman" w:hAnsi="Times New Roman" w:cs="Times New Roman"/>
        </w:rPr>
        <w:t xml:space="preserve">Upresňujú sa náležitosti ročných a polročných správ obchodníkov s cennými papiermi, najmä previazanosť správy o finančnej situácii na  § 123 ods. 1 písm. c) a odstránenie určitých duplicít vykazovaných údajov v týchto správach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46</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b/>
          <w:bCs/>
          <w:sz w:val="24"/>
          <w:szCs w:val="24"/>
          <w:lang w:val="sk-SK"/>
        </w:rPr>
        <w:tab/>
      </w:r>
      <w:r>
        <w:rPr>
          <w:rFonts w:ascii="Times New Roman" w:hAnsi="Times New Roman" w:cs="Times New Roman"/>
          <w:sz w:val="24"/>
          <w:szCs w:val="24"/>
          <w:lang w:val="sk-SK"/>
        </w:rPr>
        <w:t xml:space="preserve">Zmena súvisí s novým vymedzením pojmu „regulovaný trh“, ktorý bol zavedený v novom zákone o kolektívnom investovaní č.594/2002 Z.z.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47 a 48</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technické úpravy súvisiace s prijatím zákona č.43/2004 o starobnonm dôchodkovom sporení a aktualizácia poznámky pod čiarou.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49</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b/>
          <w:bCs/>
          <w:sz w:val="24"/>
          <w:szCs w:val="24"/>
          <w:lang w:val="sk-SK"/>
        </w:rPr>
        <w:tab/>
      </w:r>
      <w:r>
        <w:rPr>
          <w:rFonts w:ascii="Times New Roman" w:hAnsi="Times New Roman" w:cs="Times New Roman"/>
          <w:sz w:val="24"/>
          <w:szCs w:val="24"/>
          <w:lang w:val="sk-SK"/>
        </w:rPr>
        <w:t xml:space="preserve">Rozširuje sa okruh osôb, ktorým nepatrí náhrada z Garančného fondu investícií o </w:t>
      </w:r>
      <w:r>
        <w:rPr>
          <w:rFonts w:ascii="Times New Roman" w:hAnsi="Times New Roman" w:cs="Times New Roman"/>
          <w:sz w:val="24"/>
          <w:lang w:val="sk-SK"/>
        </w:rPr>
        <w:t>právnickú osobu, ktorá ovláda obchodníka s cennými papiermi</w:t>
      </w:r>
      <w:r>
        <w:rPr>
          <w:rFonts w:ascii="Times New Roman" w:hAnsi="Times New Roman" w:cs="Times New Roman"/>
          <w:sz w:val="24"/>
          <w:szCs w:val="24"/>
          <w:lang w:val="sk-SK"/>
        </w:rPr>
        <w:t xml:space="preserve">, t.j. osobu, u ktorej možno odôvodnene predpokladať, že sa mohla resp. má zodpovednosť za zlyhanie </w:t>
      </w:r>
      <w:r>
        <w:rPr>
          <w:rFonts w:ascii="Times New Roman" w:hAnsi="Times New Roman" w:cs="Times New Roman"/>
          <w:sz w:val="24"/>
          <w:lang w:val="sk-SK"/>
        </w:rPr>
        <w:t>obchodníka s cennými papiermi.</w:t>
      </w:r>
      <w:r>
        <w:rPr>
          <w:rFonts w:ascii="Times New Roman" w:hAnsi="Times New Roman" w:cs="Times New Roman"/>
          <w:sz w:val="24"/>
          <w:szCs w:val="24"/>
          <w:lang w:val="sk-SK"/>
        </w:rPr>
        <w:t xml:space="preserve">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50</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b/>
          <w:bCs/>
          <w:sz w:val="24"/>
          <w:szCs w:val="24"/>
          <w:lang w:val="sk-SK"/>
        </w:rPr>
        <w:tab/>
      </w:r>
      <w:r>
        <w:rPr>
          <w:rFonts w:ascii="Times New Roman" w:hAnsi="Times New Roman" w:cs="Times New Roman"/>
          <w:sz w:val="24"/>
          <w:szCs w:val="24"/>
          <w:lang w:val="sk-SK"/>
        </w:rPr>
        <w:t>Upravuje sa postu</w:t>
      </w:r>
      <w:r>
        <w:rPr>
          <w:rFonts w:ascii="Times New Roman" w:hAnsi="Times New Roman" w:cs="Times New Roman"/>
          <w:sz w:val="24"/>
          <w:szCs w:val="24"/>
          <w:lang w:val="sk-SK"/>
        </w:rPr>
        <w:t xml:space="preserve">p v prípade ak </w:t>
      </w:r>
      <w:r>
        <w:rPr>
          <w:rFonts w:ascii="Times New Roman" w:hAnsi="Times New Roman" w:cs="Times New Roman"/>
          <w:sz w:val="24"/>
          <w:lang w:val="sk-SK"/>
        </w:rPr>
        <w:t xml:space="preserve">má zaniknúť alebo sa </w:t>
      </w:r>
      <w:r>
        <w:rPr>
          <w:rFonts w:ascii="Times New Roman" w:hAnsi="Times New Roman" w:cs="Times New Roman"/>
          <w:sz w:val="24"/>
          <w:szCs w:val="14"/>
          <w:lang w:val="sk-SK"/>
        </w:rPr>
        <w:t xml:space="preserve">podstatne obmedziť účasť na systéme ochrany </w:t>
      </w:r>
      <w:r>
        <w:rPr>
          <w:rFonts w:ascii="Times New Roman" w:hAnsi="Times New Roman" w:cs="Times New Roman"/>
          <w:sz w:val="24"/>
          <w:lang w:val="sk-SK"/>
        </w:rPr>
        <w:t>klientov podľa tohto zákona, analogicky, ko to bolo vykonané v prípade účasti bánk na ochrane vkladov zákonom  č.186/2004 Z.z.</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51</w:t>
      </w:r>
    </w:p>
    <w:p>
      <w:pPr>
        <w:pStyle w:val="BodyText"/>
        <w:tabs>
          <w:tab w:val="left" w:pos="-1418"/>
        </w:tabs>
        <w:jc w:val="both"/>
        <w:rPr>
          <w:rFonts w:ascii="Times New Roman" w:hAnsi="Times New Roman" w:cs="Times New Roman"/>
          <w:sz w:val="24"/>
          <w:szCs w:val="24"/>
          <w:u w:val="single"/>
          <w:lang w:val="sk-SK"/>
        </w:rPr>
      </w:pPr>
    </w:p>
    <w:p>
      <w:pPr>
        <w:pStyle w:val="BodyTextIndent"/>
        <w:overflowPunct w:val="0"/>
        <w:autoSpaceDE/>
        <w:autoSpaceDN/>
        <w:ind w:firstLine="708"/>
        <w:textAlignment w:val="baseline"/>
        <w:rPr>
          <w:rFonts w:ascii="Times New Roman" w:hAnsi="Times New Roman" w:cs="Times New Roman"/>
        </w:rPr>
      </w:pPr>
      <w:r>
        <w:rPr>
          <w:rFonts w:ascii="Times New Roman" w:hAnsi="Times New Roman" w:cs="Times New Roman"/>
        </w:rPr>
        <w:t>Ustanovenie §</w:t>
      </w:r>
      <w:r>
        <w:rPr>
          <w:rFonts w:ascii="Symbol" w:hAnsi="Symbol" w:cs="Times New Roman"/>
        </w:rPr>
        <w:sym w:font="Symbol" w:char="F020"/>
      </w:r>
      <w:r>
        <w:rPr>
          <w:rFonts w:ascii="Times New Roman" w:hAnsi="Times New Roman" w:cs="Times New Roman"/>
        </w:rPr>
        <w:t>84 ods.</w:t>
      </w:r>
      <w:r>
        <w:rPr>
          <w:rFonts w:ascii="Symbol" w:hAnsi="Symbol" w:cs="Times New Roman"/>
        </w:rPr>
        <w:sym w:font="Symbol" w:char="F020"/>
      </w:r>
      <w:r>
        <w:rPr>
          <w:rFonts w:ascii="Times New Roman" w:hAnsi="Times New Roman" w:cs="Times New Roman"/>
        </w:rPr>
        <w:t>3 sa v záujme eliminovania výkladových problémov spresňuje a zlaďuje s ustanovením §</w:t>
      </w:r>
      <w:r>
        <w:rPr>
          <w:rFonts w:ascii="Symbol" w:hAnsi="Symbol" w:cs="Times New Roman"/>
        </w:rPr>
        <w:sym w:font="Symbol" w:char="F020"/>
      </w:r>
      <w:r>
        <w:rPr>
          <w:rFonts w:ascii="Times New Roman" w:hAnsi="Times New Roman" w:cs="Times New Roman"/>
        </w:rPr>
        <w:t>91 ods.</w:t>
      </w:r>
      <w:r>
        <w:rPr>
          <w:rFonts w:ascii="Symbol" w:hAnsi="Symbol" w:cs="Times New Roman"/>
        </w:rPr>
        <w:sym w:font="Symbol" w:char="F020"/>
      </w:r>
      <w:r>
        <w:rPr>
          <w:rFonts w:ascii="Times New Roman" w:hAnsi="Times New Roman" w:cs="Times New Roman"/>
        </w:rPr>
        <w:t>4 o používaní finančných zdrojov Garančného fondu tak, že ročné príspevky do tohto fondu slúžia predovšetkým na vytváranie zdrojov určených na výplatu náhrad za nedostupný klientsky majetok alebo na splácanie úveru použitého na zabezpečenie výplaty náhrad za nedostupný klientsky majetok.</w:t>
      </w:r>
      <w:r>
        <w:rPr>
          <w:rFonts w:ascii="Times New Roman" w:hAnsi="Times New Roman" w:cs="Times New Roman"/>
          <w:color w:val="000000"/>
        </w:rPr>
        <w:t xml:space="preserve"> Vzhľadom na navrhovanú úpravu </w:t>
      </w:r>
      <w:r>
        <w:rPr>
          <w:rFonts w:ascii="Times New Roman" w:hAnsi="Times New Roman" w:cs="Times New Roman"/>
        </w:rPr>
        <w:t>§</w:t>
      </w:r>
      <w:r>
        <w:rPr>
          <w:rFonts w:ascii="Symbol" w:hAnsi="Symbol" w:cs="Times New Roman"/>
        </w:rPr>
        <w:sym w:font="Symbol" w:char="F020"/>
      </w:r>
      <w:r>
        <w:rPr>
          <w:rFonts w:ascii="Times New Roman" w:hAnsi="Times New Roman" w:cs="Times New Roman"/>
        </w:rPr>
        <w:t>91 ods.</w:t>
      </w:r>
      <w:r>
        <w:rPr>
          <w:rFonts w:ascii="Symbol" w:hAnsi="Symbol" w:cs="Times New Roman"/>
        </w:rPr>
        <w:sym w:font="Symbol" w:char="F020"/>
      </w:r>
      <w:r>
        <w:rPr>
          <w:rFonts w:ascii="Times New Roman" w:hAnsi="Times New Roman" w:cs="Times New Roman"/>
        </w:rPr>
        <w:t>4 písm.</w:t>
      </w:r>
      <w:r>
        <w:rPr>
          <w:rFonts w:ascii="Symbol" w:hAnsi="Symbol" w:cs="Times New Roman"/>
        </w:rPr>
        <w:sym w:font="Symbol" w:char="F020"/>
      </w:r>
      <w:r>
        <w:rPr>
          <w:rFonts w:ascii="Times New Roman" w:hAnsi="Times New Roman" w:cs="Times New Roman"/>
        </w:rPr>
        <w:t xml:space="preserve">b) ) sa však </w:t>
      </w:r>
      <w:r>
        <w:rPr>
          <w:rFonts w:ascii="Times New Roman" w:hAnsi="Times New Roman" w:cs="Times New Roman"/>
          <w:color w:val="000000"/>
        </w:rPr>
        <w:t xml:space="preserve"> finančné zdroje Garančného fondu budú môcť použiť aj na splácanie poskytnutej návratnej finančnej výpomoci zo štátneho rozpočtu.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bodom 52 až  54</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Dopĺňa sa alternatívny spôsob pre výpočet ročných poplatkov </w:t>
      </w:r>
      <w:r>
        <w:rPr>
          <w:rFonts w:ascii="Times New Roman" w:hAnsi="Times New Roman" w:cs="Times New Roman"/>
          <w:sz w:val="24"/>
          <w:lang w:val="sk-SK"/>
        </w:rPr>
        <w:t>obchodníkov s cennými papiermi do Garančného fondu investícií ako % podiel z hodnoty klientskeho majetku zvereného klientami ob</w:t>
      </w:r>
      <w:r>
        <w:rPr>
          <w:rFonts w:ascii="Times New Roman" w:hAnsi="Times New Roman" w:cs="Times New Roman"/>
          <w:sz w:val="24"/>
          <w:lang w:val="sk-SK"/>
        </w:rPr>
        <w:t>chodníkovi s cennými papiermi.</w:t>
      </w:r>
      <w:r>
        <w:rPr>
          <w:rFonts w:ascii="Times New Roman" w:hAnsi="Times New Roman" w:cs="Times New Roman"/>
          <w:sz w:val="24"/>
          <w:szCs w:val="24"/>
          <w:lang w:val="sk-SK"/>
        </w:rPr>
        <w:t xml:space="preserve">  O použití príslušnej základne pre výpočet príspevku rozhodne v súlade s § 84 ods. 8 a 9 Rada </w:t>
      </w:r>
      <w:r>
        <w:rPr>
          <w:rFonts w:ascii="Times New Roman" w:hAnsi="Times New Roman" w:cs="Times New Roman"/>
          <w:sz w:val="24"/>
          <w:lang w:val="sk-SK"/>
        </w:rPr>
        <w:t>Garančného fondu investícií.</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56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Upresňuje sa termín pre uhradenie vstupného príspevku do Garančného fondu. 30 dňová lehota by mala plynúť od zápisu obchodníka s cennými papiermi resp. správcovskej spoločnosti do obchodného registra. Predíde sa tak možným problémom spojeným s vrátením  zaplateného píspevku v prípade, ak by obchodník s cennými papiermi resp. správcovská spoločnosť nebola zapísaná do obchodného registra.</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57 a 58  </w:t>
      </w:r>
    </w:p>
    <w:p>
      <w:pPr>
        <w:pStyle w:val="BodyText"/>
        <w:tabs>
          <w:tab w:val="left" w:pos="-1418"/>
        </w:tabs>
        <w:jc w:val="both"/>
        <w:rPr>
          <w:rFonts w:ascii="Times New Roman" w:hAnsi="Times New Roman" w:cs="Times New Roman"/>
          <w:sz w:val="24"/>
          <w:szCs w:val="24"/>
          <w:lang w:val="sk-SK"/>
        </w:rPr>
      </w:pPr>
    </w:p>
    <w:p>
      <w:pPr>
        <w:pStyle w:val="BodyTextIndent"/>
        <w:overflowPunct w:val="0"/>
        <w:autoSpaceDE/>
        <w:autoSpaceDN/>
        <w:ind w:firstLine="708"/>
        <w:textAlignment w:val="baseline"/>
        <w:rPr>
          <w:rFonts w:ascii="Times New Roman" w:hAnsi="Times New Roman" w:cs="Times New Roman"/>
        </w:rPr>
      </w:pPr>
      <w:r>
        <w:rPr>
          <w:rFonts w:ascii="Times New Roman" w:hAnsi="Times New Roman" w:cs="Times New Roman"/>
        </w:rPr>
        <w:t>Ustanovenia §</w:t>
      </w:r>
      <w:r>
        <w:rPr>
          <w:rFonts w:ascii="Symbol" w:hAnsi="Symbol" w:cs="Times New Roman"/>
        </w:rPr>
        <w:sym w:font="Symbol" w:char="F020"/>
      </w:r>
      <w:r>
        <w:rPr>
          <w:rFonts w:ascii="Times New Roman" w:hAnsi="Times New Roman" w:cs="Times New Roman"/>
        </w:rPr>
        <w:t>86 ods.</w:t>
      </w:r>
      <w:r>
        <w:rPr>
          <w:rFonts w:ascii="Symbol" w:hAnsi="Symbol" w:cs="Times New Roman"/>
        </w:rPr>
        <w:sym w:font="Symbol" w:char="F020"/>
      </w:r>
      <w:r>
        <w:rPr>
          <w:rFonts w:ascii="Times New Roman" w:hAnsi="Times New Roman" w:cs="Times New Roman"/>
        </w:rPr>
        <w:t>5 a</w:t>
      </w:r>
      <w:r>
        <w:rPr>
          <w:rFonts w:ascii="Symbol" w:hAnsi="Symbol" w:cs="Times New Roman"/>
        </w:rPr>
        <w:sym w:font="Symbol" w:char="F020"/>
      </w:r>
      <w:r>
        <w:rPr>
          <w:rFonts w:ascii="Times New Roman" w:hAnsi="Times New Roman" w:cs="Times New Roman"/>
        </w:rPr>
        <w:t>6 sa v záujme eliminovania výkladových a aplikačných problémov spresňujú tak, aby bolo jednoznačne zrejmé, že toto ustanovenie sa vzťahuje na celý proces rozhodovania (nielen na samotné rozhodnutie) o vyhlásení obchodníka s cennými papiermi resp.  správcovskej spoločnosti za neschopnú vyplatiť klientsky majetok. Pritom táto úprava zohľadňuje terminológiu, ktorú používa zákon č.</w:t>
      </w:r>
      <w:r>
        <w:rPr>
          <w:rFonts w:ascii="Symbol" w:hAnsi="Symbol" w:cs="Times New Roman"/>
        </w:rPr>
        <w:sym w:font="Symbol" w:char="F020"/>
      </w:r>
      <w:r>
        <w:rPr>
          <w:rFonts w:ascii="Times New Roman" w:hAnsi="Times New Roman" w:cs="Times New Roman"/>
        </w:rPr>
        <w:t>424/2002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(novela Občianskeho súdneho poriadku).</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59 </w:t>
      </w:r>
    </w:p>
    <w:p>
      <w:pPr>
        <w:pStyle w:val="BodyText"/>
        <w:tabs>
          <w:tab w:val="left" w:pos="-1418"/>
        </w:tabs>
        <w:jc w:val="both"/>
        <w:rPr>
          <w:rFonts w:ascii="Times New Roman" w:hAnsi="Times New Roman" w:cs="Times New Roman"/>
          <w:sz w:val="24"/>
          <w:szCs w:val="24"/>
          <w:lang w:val="sk-SK"/>
        </w:rPr>
      </w:pPr>
    </w:p>
    <w:p>
      <w:pPr>
        <w:spacing w:after="120" w:line="240" w:lineRule="atLeast"/>
        <w:ind w:firstLine="720"/>
        <w:jc w:val="both"/>
        <w:rPr>
          <w:rFonts w:ascii="Times New Roman" w:hAnsi="Times New Roman" w:cs="Times New Roman"/>
        </w:rPr>
      </w:pPr>
      <w:r>
        <w:rPr>
          <w:rFonts w:ascii="Times New Roman" w:hAnsi="Times New Roman" w:cs="Times New Roman"/>
        </w:rPr>
        <w:t>Ustanovenie § 87 ods.</w:t>
      </w:r>
      <w:r>
        <w:rPr>
          <w:rFonts w:ascii="Symbol" w:hAnsi="Symbol" w:cs="Times New Roman"/>
        </w:rPr>
        <w:sym w:font="Symbol" w:char="F020"/>
      </w:r>
      <w:r>
        <w:rPr>
          <w:rFonts w:ascii="Times New Roman" w:hAnsi="Times New Roman" w:cs="Times New Roman"/>
        </w:rPr>
        <w:t xml:space="preserve">3 sa v záujme eliminovania výkladových a aplikačných problémov spresňuje tak, aby bolo jednoznačne zrejmé, že celková výška zákonom chráneného nedostupného klientského majetku jednotlivých klientov sa vypočítava podľa stavu klientského majetku, premlčaných vkladov  a investičných nástrojov   a záväzkov vkladateľov voči príslušnému obchodníkovi s cennými papiermi resp. správcovskej spoločnosti ku dňu vzniku nedostupnosti klientského majetku a že na neskoršie zmeny tohto stavu sa neprihliada na účely výpočtu výšky náhrady z Garančného fondu investícií. Takáto úprava je v záujme predídenia rôznym machináciám s klientským majetkom  najmä takým ktoré sa vykonávali za účelom nekalného zvyšovania celkového objemu </w:t>
      </w:r>
      <w:r>
        <w:rPr>
          <w:rFonts w:ascii="Times New Roman" w:hAnsi="Times New Roman" w:cs="Times New Roman"/>
        </w:rPr>
        <w:t>zákonom chránených zostatkov nedostupných vkladov a tým nekalného rozširovania nárokov na náhradu od Fondu ochrany vkladov.</w:t>
      </w:r>
      <w:r>
        <w:rPr>
          <w:rFonts w:ascii="Times New Roman" w:hAnsi="Times New Roman" w:cs="Times New Roman"/>
          <w:color w:val="000000"/>
        </w:rPr>
        <w:t xml:space="preserve"> Zároveň sa navrhuje ustanoviť, že v</w:t>
      </w:r>
      <w:r>
        <w:rPr>
          <w:rFonts w:ascii="Times New Roman" w:hAnsi="Times New Roman" w:cs="Times New Roman"/>
        </w:rPr>
        <w:t>ypočítaná výška náhrady sa zaokrúhľuje na celé koruny nahor.</w:t>
      </w:r>
      <w:r>
        <w:rPr>
          <w:rFonts w:ascii="Times New Roman" w:hAnsi="Times New Roman" w:cs="Times New Roman"/>
          <w:color w:val="000000"/>
        </w:rPr>
        <w:t xml:space="preserve">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60</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61</w:t>
      </w:r>
    </w:p>
    <w:p>
      <w:pPr>
        <w:pStyle w:val="BodyText"/>
        <w:tabs>
          <w:tab w:val="left" w:pos="-1418"/>
        </w:tabs>
        <w:jc w:val="both"/>
        <w:rPr>
          <w:rFonts w:ascii="Times New Roman" w:hAnsi="Times New Roman" w:cs="Times New Roman"/>
          <w:b/>
          <w:bCs/>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Spresňuje sa určenie lehoty, do ktorej je Garančný fond povinný určiť začatie, trvania postup a miesto vyplácania náhrad na päť pracovných dní, tak ako je to v prípade Fondu ochrany vkladov.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w:t>
      </w:r>
      <w:r>
        <w:rPr>
          <w:rFonts w:ascii="Times New Roman" w:hAnsi="Times New Roman" w:cs="Times New Roman"/>
          <w:b/>
          <w:bCs/>
          <w:sz w:val="24"/>
          <w:szCs w:val="24"/>
          <w:lang w:val="sk-SK"/>
        </w:rPr>
        <w:t>du 62</w:t>
      </w:r>
    </w:p>
    <w:p>
      <w:pPr>
        <w:pStyle w:val="BodyText"/>
        <w:tabs>
          <w:tab w:val="left" w:pos="-1418"/>
        </w:tabs>
        <w:jc w:val="both"/>
        <w:rPr>
          <w:rFonts w:ascii="Times New Roman" w:hAnsi="Times New Roman" w:cs="Times New Roman"/>
          <w:sz w:val="24"/>
          <w:szCs w:val="24"/>
          <w:lang w:val="sk-SK"/>
        </w:rPr>
      </w:pPr>
    </w:p>
    <w:p>
      <w:pPr>
        <w:pStyle w:val="BodyTextIndent"/>
        <w:overflowPunct w:val="0"/>
        <w:autoSpaceDE/>
        <w:autoSpaceDN/>
        <w:ind w:firstLine="708"/>
        <w:textAlignment w:val="baseline"/>
        <w:rPr>
          <w:rFonts w:ascii="Times New Roman" w:hAnsi="Times New Roman" w:cs="Times New Roman"/>
        </w:rPr>
      </w:pPr>
      <w:r>
        <w:rPr>
          <w:rFonts w:ascii="Times New Roman" w:hAnsi="Times New Roman" w:cs="Times New Roman"/>
        </w:rPr>
        <w:t>Do §</w:t>
      </w:r>
      <w:r>
        <w:rPr>
          <w:rFonts w:ascii="Symbol" w:hAnsi="Symbol" w:cs="Times New Roman"/>
        </w:rPr>
        <w:sym w:font="Symbol" w:char="F020"/>
      </w:r>
      <w:r>
        <w:rPr>
          <w:rFonts w:ascii="Times New Roman" w:hAnsi="Times New Roman" w:cs="Times New Roman"/>
        </w:rPr>
        <w:t>88 o podmienkach vyplácania náhrad sa navrhuje doplniť nový odsek</w:t>
      </w:r>
      <w:r>
        <w:rPr>
          <w:rFonts w:ascii="Symbol" w:hAnsi="Symbol" w:cs="Times New Roman"/>
        </w:rPr>
        <w:sym w:font="Symbol" w:char="F020"/>
      </w:r>
      <w:r>
        <w:rPr>
          <w:rFonts w:ascii="Times New Roman" w:hAnsi="Times New Roman" w:cs="Times New Roman"/>
        </w:rPr>
        <w:t>10, ktorým sa priamo zákonom výslovne ustanovujú podmienky, za ktorých sa nesmie poskytnúť a vyplatiť požadovaná náhrada za klientsky majetok. Pritom neposkytnutie a nevyplatenie požadovanej náhrady za klientsky majetok je okrem iného aj následkom odmietnutia poskytnúť osobné údaje a doklady o totožnosti fyzickej osoby a o klientskom majetku a iných pohľadávkach a záväzkoch fyzickej osoby voči obchodníkovi s cennými papiermi resp. správcovskej spoločnosti s nedostupným klientským majetkom. Zároveň sa reaguje na zákon o ochrane osobných údajov (zákon č.</w:t>
      </w:r>
      <w:r>
        <w:rPr>
          <w:rFonts w:ascii="Symbol" w:hAnsi="Symbol" w:cs="Times New Roman"/>
        </w:rPr>
        <w:sym w:font="Symbol" w:char="F020"/>
      </w:r>
      <w:r>
        <w:rPr>
          <w:rFonts w:ascii="Times New Roman" w:hAnsi="Times New Roman" w:cs="Times New Roman"/>
        </w:rPr>
        <w:t>428/2002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ktorý okrem iného reguluje aj požiadavky na obsah všetkých zákonov, na základe ktorých je potrebné spracúvať osobné údaje fyzických osôb aj bez súhlasu dotknutých fyzických osôb. Zo zákona o ochrane osobných údajov vyplýva, že za spracúvanie osobných údajov v informačnom systéme by sa považovala dokonca aj samotná príprava a úschova všetkých podkladov, ktoré sú nevyhnutné na prípravu vyplácania, na vyplácanie a na zdokumentovanie vyplácania náhrad za nedostupný klientsky majetok pre oprávnené osoby. To znamená, že bez spracúvania osobných údajov o klientoch (a o ich prípadných zástupcoch) by v žiadnom prípade nebolo možné zabezpečiť funkčnosť systému ochrany investícií v Slovenskej republike, čo by bolo v zásadnom rozpore s Európskou smernicou o systémoch ochrany investícií č.97/9/EC. V tejto súvislosti možno uviesť, že ochrana osobných údajov a všetkých ďalších individuálnych informácií, ktoré sa týkajú ochrany investícií a náhrad za  klientsky majetok, je okrem iného zabezpečená aj zákonom uloženou povinnosťou mlčanlivosti podľa §</w:t>
      </w:r>
      <w:r>
        <w:rPr>
          <w:rFonts w:ascii="Symbol" w:hAnsi="Symbol" w:cs="Times New Roman"/>
        </w:rPr>
        <w:sym w:font="Symbol" w:char="F020"/>
      </w:r>
      <w:r>
        <w:rPr>
          <w:rFonts w:ascii="Times New Roman" w:hAnsi="Times New Roman" w:cs="Times New Roman"/>
        </w:rPr>
        <w:t>97.</w:t>
      </w:r>
      <w:r>
        <w:rPr>
          <w:rFonts w:ascii="Times New Roman" w:hAnsi="Times New Roman" w:cs="Times New Roman"/>
          <w:color w:val="000000"/>
        </w:rPr>
        <w:t xml:space="preserve"> Navrhnuté </w:t>
      </w:r>
      <w:r>
        <w:rPr>
          <w:rFonts w:ascii="Times New Roman" w:hAnsi="Times New Roman" w:cs="Times New Roman"/>
        </w:rPr>
        <w:t>odseku</w:t>
      </w:r>
      <w:r>
        <w:rPr>
          <w:rFonts w:ascii="Symbol" w:hAnsi="Symbol" w:cs="Times New Roman"/>
        </w:rPr>
        <w:sym w:font="Symbol" w:char="F020"/>
      </w:r>
      <w:r>
        <w:rPr>
          <w:rFonts w:ascii="Times New Roman" w:hAnsi="Times New Roman" w:cs="Times New Roman"/>
        </w:rPr>
        <w:t xml:space="preserve">10 </w:t>
      </w:r>
      <w:r>
        <w:rPr>
          <w:rFonts w:ascii="Times New Roman" w:hAnsi="Times New Roman" w:cs="Times New Roman"/>
          <w:color w:val="000000"/>
        </w:rPr>
        <w:t xml:space="preserve">je v súlade </w:t>
      </w:r>
      <w:r>
        <w:rPr>
          <w:rFonts w:ascii="Times New Roman" w:hAnsi="Times New Roman" w:cs="Times New Roman"/>
        </w:rPr>
        <w:t>aj so Smernicou Európskeho parlamentu a Rady 95/46/EC o ochrane jednotlivcov pri spracovávaní osobných údajov a voľnom obehu týchto údajov, s článkom</w:t>
      </w:r>
      <w:r>
        <w:rPr>
          <w:rFonts w:ascii="Symbol" w:hAnsi="Symbol" w:cs="Times New Roman"/>
        </w:rPr>
        <w:sym w:font="Symbol" w:char="F020"/>
      </w:r>
      <w:r>
        <w:rPr>
          <w:rFonts w:ascii="Times New Roman" w:hAnsi="Times New Roman" w:cs="Times New Roman"/>
        </w:rPr>
        <w:t>4 Smernice Európskeho parlamentu a Rady 91/308/ES o predchádzaní zneužitia finančného systému na pranie peňazí a kritériom č.</w:t>
      </w:r>
      <w:r>
        <w:rPr>
          <w:rFonts w:ascii="Symbol" w:hAnsi="Symbol" w:cs="Times New Roman"/>
        </w:rPr>
        <w:sym w:font="Symbol" w:char="F020"/>
      </w:r>
      <w:r>
        <w:rPr>
          <w:rFonts w:ascii="Times New Roman" w:hAnsi="Times New Roman" w:cs="Times New Roman"/>
        </w:rPr>
        <w:t>12 spomedzi 40</w:t>
      </w:r>
      <w:r>
        <w:rPr>
          <w:rFonts w:ascii="Symbol" w:hAnsi="Symbol" w:cs="Times New Roman"/>
        </w:rPr>
        <w:sym w:font="Symbol" w:char="F020"/>
      </w:r>
      <w:r>
        <w:rPr>
          <w:rFonts w:ascii="Times New Roman" w:hAnsi="Times New Roman" w:cs="Times New Roman"/>
        </w:rPr>
        <w:t>záväzných medzinárodných odporúčaní FATF (Financial Action Task Force pri OECD).</w:t>
      </w:r>
    </w:p>
    <w:p>
      <w:pPr>
        <w:spacing w:line="240" w:lineRule="atLeast"/>
        <w:jc w:val="both"/>
        <w:rPr>
          <w:rFonts w:ascii="Times New Roman" w:hAnsi="Times New Roman" w:cs="Times New Roman"/>
        </w:rPr>
      </w:pPr>
    </w:p>
    <w:p>
      <w:pPr>
        <w:spacing w:line="240" w:lineRule="atLeast"/>
        <w:jc w:val="both"/>
        <w:rPr>
          <w:rFonts w:ascii="Times New Roman" w:hAnsi="Times New Roman" w:cs="Times New Roman"/>
        </w:rPr>
      </w:pPr>
    </w:p>
    <w:p>
      <w:pPr>
        <w:pStyle w:val="Heading4"/>
        <w:ind w:left="0"/>
        <w:rPr>
          <w:rFonts w:ascii="Times New Roman" w:hAnsi="Times New Roman" w:cs="Times New Roman"/>
          <w:b/>
          <w:bCs/>
          <w:u w:val="none"/>
        </w:rPr>
      </w:pPr>
      <w:r>
        <w:rPr>
          <w:rFonts w:ascii="Times New Roman" w:hAnsi="Times New Roman" w:cs="Times New Roman"/>
          <w:b/>
          <w:bCs/>
          <w:u w:val="none"/>
        </w:rPr>
        <w:t>K bodu 63</w:t>
      </w:r>
    </w:p>
    <w:p>
      <w:pPr>
        <w:spacing w:after="120" w:line="240" w:lineRule="atLeast"/>
        <w:ind w:firstLine="720"/>
        <w:jc w:val="both"/>
        <w:rPr>
          <w:rFonts w:ascii="Times New Roman" w:hAnsi="Times New Roman" w:cs="Times New Roman"/>
        </w:rPr>
      </w:pPr>
    </w:p>
    <w:p>
      <w:pPr>
        <w:spacing w:after="120" w:line="240" w:lineRule="atLeast"/>
        <w:ind w:firstLine="720"/>
        <w:jc w:val="both"/>
        <w:rPr>
          <w:rFonts w:ascii="Times New Roman" w:hAnsi="Times New Roman" w:cs="Times New Roman"/>
          <w:color w:val="000000"/>
        </w:rPr>
      </w:pPr>
      <w:r>
        <w:rPr>
          <w:rFonts w:ascii="Times New Roman" w:hAnsi="Times New Roman" w:cs="Times New Roman"/>
        </w:rPr>
        <w:t xml:space="preserve">Ustanovenie odseku </w:t>
      </w:r>
      <w:r>
        <w:rPr>
          <w:rFonts w:ascii="Symbol" w:hAnsi="Symbol" w:cs="Times New Roman"/>
        </w:rPr>
        <w:sym w:font="Symbol" w:char="F020"/>
      </w:r>
      <w:r>
        <w:rPr>
          <w:rFonts w:ascii="Times New Roman" w:hAnsi="Times New Roman" w:cs="Times New Roman"/>
        </w:rPr>
        <w:t>5 bolo doplnené v záujme eliminovania výkladových a aplikačných problémov, aby bolo jednoznačne zrejmé, že poskytnutím náhrady z Garančného f</w:t>
      </w:r>
      <w:r>
        <w:rPr>
          <w:rFonts w:ascii="Times New Roman" w:hAnsi="Times New Roman" w:cs="Times New Roman"/>
          <w:color w:val="000000"/>
        </w:rPr>
        <w:t xml:space="preserve">ondu </w:t>
      </w:r>
      <w:r>
        <w:rPr>
          <w:rFonts w:ascii="Times New Roman" w:hAnsi="Times New Roman" w:cs="Times New Roman"/>
        </w:rPr>
        <w:t>nie je dotknuté právo klienta alebo inej oprávnenej osoby vymáhať si od obchodníka s cennými papiermi resp. správcovskej spoločnosti</w:t>
      </w:r>
      <w:r>
        <w:rPr>
          <w:rFonts w:ascii="Times New Roman" w:hAnsi="Times New Roman" w:cs="Times New Roman"/>
          <w:color w:val="000000"/>
        </w:rPr>
        <w:t xml:space="preserve">, v ktorej sa klientsky majetok stal nedostupnými, </w:t>
      </w:r>
      <w:r>
        <w:rPr>
          <w:rFonts w:ascii="Times New Roman" w:hAnsi="Times New Roman" w:cs="Times New Roman"/>
        </w:rPr>
        <w:t xml:space="preserve">uhradenie tej časti </w:t>
      </w:r>
      <w:r>
        <w:rPr>
          <w:rFonts w:ascii="Times New Roman" w:hAnsi="Times New Roman" w:cs="Times New Roman"/>
          <w:color w:val="000000"/>
        </w:rPr>
        <w:t>klientského majetku</w:t>
      </w:r>
      <w:r>
        <w:rPr>
          <w:rFonts w:ascii="Times New Roman" w:hAnsi="Times New Roman" w:cs="Times New Roman"/>
        </w:rPr>
        <w:t xml:space="preserve">, za </w:t>
      </w:r>
      <w:r>
        <w:rPr>
          <w:rFonts w:ascii="Times New Roman" w:hAnsi="Times New Roman" w:cs="Times New Roman"/>
          <w:color w:val="000000"/>
        </w:rPr>
        <w:t>ktorú nebola poskytnutá náhrada z Garančného fondu</w:t>
      </w:r>
      <w:r>
        <w:rPr>
          <w:rFonts w:ascii="Times New Roman" w:hAnsi="Times New Roman" w:cs="Times New Roman"/>
        </w:rPr>
        <w:t>.</w:t>
      </w:r>
      <w:r>
        <w:rPr>
          <w:rFonts w:ascii="Times New Roman" w:hAnsi="Times New Roman" w:cs="Times New Roman"/>
          <w:color w:val="000000"/>
        </w:rPr>
        <w:t xml:space="preserve"> </w:t>
      </w:r>
    </w:p>
    <w:p>
      <w:pPr>
        <w:spacing w:after="120" w:line="240" w:lineRule="atLeast"/>
        <w:ind w:firstLine="720"/>
        <w:jc w:val="both"/>
        <w:rPr>
          <w:rFonts w:ascii="Times New Roman" w:hAnsi="Times New Roman" w:cs="Times New Roman"/>
        </w:rPr>
      </w:pPr>
    </w:p>
    <w:p>
      <w:pPr>
        <w:pStyle w:val="BodyTextIndent"/>
        <w:overflowPunct w:val="0"/>
        <w:autoSpaceDE/>
        <w:autoSpaceDN/>
        <w:ind w:firstLine="360"/>
        <w:textAlignment w:val="baseline"/>
        <w:rPr>
          <w:rFonts w:ascii="Times New Roman" w:hAnsi="Times New Roman" w:cs="Times New Roman"/>
        </w:rPr>
      </w:pPr>
      <w:r>
        <w:rPr>
          <w:rFonts w:ascii="Times New Roman" w:hAnsi="Times New Roman" w:cs="Times New Roman"/>
        </w:rPr>
        <w:t>Doplnením odsekov 6 až 8 sa reaguje na zákon o ochrane osobných údajov (zákon č.</w:t>
      </w:r>
      <w:r>
        <w:rPr>
          <w:rFonts w:ascii="Symbol" w:hAnsi="Symbol" w:cs="Times New Roman"/>
        </w:rPr>
        <w:sym w:font="Symbol" w:char="F020"/>
      </w:r>
      <w:r>
        <w:rPr>
          <w:rFonts w:ascii="Times New Roman" w:hAnsi="Times New Roman" w:cs="Times New Roman"/>
        </w:rPr>
        <w:t>428/2002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ktorý okrem iného reguluje aj požiadavky, na základe ktorých je potrebné spracúvať osobné údaje fyzických osôb aj bez súhlasu dotknutých fyzických osôb. Bez spracúvania osobných údajov o klientoch  a iných oprávnených osobách (a o ich prípadných zástupcoch) by v žiadnom prípade nebolo možné zabezpečiť funkčnosť systému ochrany investícií  v Slovenskej republike, čo by bolo v zásadnom rozpore s Európskou smernicou o systémoch ochrany investícií č.97/9/EC. Vzhľadom na všetky tieto skutočnosti sa okrem § 88 ods. 10 (bod 39) novelizuje aj znenie §</w:t>
      </w:r>
      <w:r>
        <w:rPr>
          <w:rFonts w:ascii="Symbol" w:hAnsi="Symbol" w:cs="Times New Roman"/>
        </w:rPr>
        <w:sym w:font="Symbol" w:char="F020"/>
      </w:r>
      <w:r>
        <w:rPr>
          <w:rFonts w:ascii="Times New Roman" w:hAnsi="Times New Roman" w:cs="Times New Roman"/>
        </w:rPr>
        <w:t>89. V tejto súvislosti je potrebné uviesť, že ochrana osobných údajov a všetkých ďalších individuálnych informácií, ktoré sa týkajú ochrany investícií  a náhrad za  klientský majetok, je okrem iného zabezpečená aj zákonom uloženou povinnosťou mlčanlivosti podľa §</w:t>
      </w:r>
      <w:r>
        <w:rPr>
          <w:rFonts w:ascii="Symbol" w:hAnsi="Symbol" w:cs="Times New Roman"/>
        </w:rPr>
        <w:sym w:font="Symbol" w:char="F020"/>
      </w:r>
      <w:r>
        <w:rPr>
          <w:rFonts w:ascii="Times New Roman" w:hAnsi="Times New Roman" w:cs="Times New Roman"/>
        </w:rPr>
        <w:t>97.</w:t>
      </w:r>
    </w:p>
    <w:p>
      <w:pPr>
        <w:spacing w:line="240" w:lineRule="atLeast"/>
        <w:jc w:val="both"/>
        <w:rPr>
          <w:rFonts w:ascii="Times New Roman" w:hAnsi="Times New Roman" w:cs="Times New Roman"/>
        </w:rPr>
      </w:pPr>
    </w:p>
    <w:p>
      <w:pPr>
        <w:spacing w:line="240" w:lineRule="atLeast"/>
        <w:jc w:val="both"/>
        <w:rPr>
          <w:rFonts w:ascii="Times New Roman" w:hAnsi="Times New Roman" w:cs="Times New Roman"/>
        </w:rPr>
      </w:pPr>
    </w:p>
    <w:p>
      <w:pPr>
        <w:pStyle w:val="Heading4"/>
        <w:ind w:left="0"/>
        <w:rPr>
          <w:rFonts w:ascii="Times New Roman" w:hAnsi="Times New Roman" w:cs="Times New Roman"/>
          <w:b/>
          <w:bCs/>
          <w:u w:val="none"/>
        </w:rPr>
      </w:pPr>
      <w:r>
        <w:rPr>
          <w:rFonts w:ascii="Times New Roman" w:hAnsi="Times New Roman" w:cs="Times New Roman"/>
          <w:b/>
          <w:bCs/>
          <w:u w:val="none"/>
        </w:rPr>
        <w:t>K bodu 64</w:t>
      </w:r>
    </w:p>
    <w:p>
      <w:pPr>
        <w:spacing w:after="120" w:line="240" w:lineRule="atLeast"/>
        <w:ind w:firstLine="720"/>
        <w:jc w:val="both"/>
        <w:rPr>
          <w:rFonts w:ascii="Times New Roman" w:hAnsi="Times New Roman" w:cs="Times New Roman"/>
        </w:rPr>
      </w:pPr>
    </w:p>
    <w:p>
      <w:pPr>
        <w:spacing w:after="120" w:line="240" w:lineRule="atLeast"/>
        <w:ind w:firstLine="720"/>
        <w:jc w:val="both"/>
        <w:rPr>
          <w:rFonts w:ascii="Times New Roman" w:hAnsi="Times New Roman" w:cs="Times New Roman"/>
        </w:rPr>
      </w:pPr>
      <w:r>
        <w:rPr>
          <w:rFonts w:ascii="Times New Roman" w:hAnsi="Times New Roman" w:cs="Times New Roman"/>
        </w:rPr>
        <w:t>V záujme odstránenia výkladových a aplikačných problémov sa spresňuje, že Úrad pre finančný trh schvaľuje aj zmeny všeobecných podmienok vyplácania náhrad.</w:t>
      </w:r>
    </w:p>
    <w:p>
      <w:pPr>
        <w:spacing w:line="240" w:lineRule="atLeast"/>
        <w:jc w:val="both"/>
        <w:rPr>
          <w:rFonts w:ascii="Times New Roman" w:hAnsi="Times New Roman" w:cs="Times New Roman"/>
        </w:rPr>
      </w:pPr>
    </w:p>
    <w:p>
      <w:pPr>
        <w:pStyle w:val="Heading4"/>
        <w:ind w:hanging="360"/>
        <w:rPr>
          <w:rFonts w:ascii="Times New Roman" w:hAnsi="Times New Roman" w:cs="Times New Roman"/>
          <w:b/>
          <w:bCs/>
          <w:u w:val="none"/>
        </w:rPr>
      </w:pPr>
      <w:r>
        <w:rPr>
          <w:rFonts w:ascii="Times New Roman" w:hAnsi="Times New Roman" w:cs="Times New Roman"/>
          <w:b/>
          <w:bCs/>
          <w:u w:val="none"/>
        </w:rPr>
        <w:t>K bodu 65</w:t>
      </w:r>
    </w:p>
    <w:p>
      <w:pPr>
        <w:spacing w:line="240" w:lineRule="atLeast"/>
        <w:jc w:val="both"/>
        <w:rPr>
          <w:rFonts w:ascii="Times New Roman" w:hAnsi="Times New Roman" w:cs="Times New Roman"/>
        </w:rPr>
      </w:pPr>
    </w:p>
    <w:p>
      <w:pPr>
        <w:spacing w:line="240" w:lineRule="atLeast"/>
        <w:jc w:val="both"/>
        <w:rPr>
          <w:rFonts w:ascii="Times New Roman" w:hAnsi="Times New Roman" w:cs="Times New Roman"/>
        </w:rPr>
      </w:pPr>
      <w:r>
        <w:rPr>
          <w:rFonts w:ascii="Times New Roman" w:hAnsi="Times New Roman" w:cs="Times New Roman"/>
        </w:rPr>
        <w:tab/>
        <w:t>Stanovuje sa okruh osôb, s ktorými je Garančný fond investícií oprávnený spolupracovať a vymieňať  si informácie v rámci plnenia zákonom stanovených povinností.</w:t>
      </w:r>
    </w:p>
    <w:p>
      <w:pPr>
        <w:spacing w:line="240" w:lineRule="atLeast"/>
        <w:jc w:val="both"/>
        <w:rPr>
          <w:rFonts w:ascii="Times New Roman" w:hAnsi="Times New Roman" w:cs="Times New Roman"/>
        </w:rPr>
      </w:pPr>
    </w:p>
    <w:p>
      <w:pPr>
        <w:spacing w:line="240" w:lineRule="atLeast"/>
        <w:jc w:val="both"/>
        <w:rPr>
          <w:rFonts w:ascii="Times New Roman" w:hAnsi="Times New Roman" w:cs="Times New Roman"/>
        </w:rPr>
      </w:pPr>
    </w:p>
    <w:p>
      <w:pPr>
        <w:pStyle w:val="Heading4"/>
        <w:ind w:hanging="360"/>
        <w:rPr>
          <w:rFonts w:ascii="Times New Roman" w:hAnsi="Times New Roman" w:cs="Times New Roman"/>
          <w:b/>
          <w:bCs/>
          <w:u w:val="none"/>
        </w:rPr>
      </w:pPr>
      <w:r>
        <w:rPr>
          <w:rFonts w:ascii="Times New Roman" w:hAnsi="Times New Roman" w:cs="Times New Roman"/>
          <w:b/>
          <w:bCs/>
          <w:u w:val="none"/>
        </w:rPr>
        <w:t>K bodom 66 až  68</w:t>
      </w:r>
    </w:p>
    <w:p>
      <w:pPr>
        <w:rPr>
          <w:rFonts w:ascii="Times New Roman" w:hAnsi="Times New Roman" w:cs="Times New Roman"/>
        </w:rPr>
      </w:pPr>
    </w:p>
    <w:p>
      <w:pPr>
        <w:spacing w:after="120" w:line="240" w:lineRule="atLeast"/>
        <w:ind w:firstLine="720"/>
        <w:jc w:val="both"/>
        <w:rPr>
          <w:rFonts w:ascii="Times New Roman" w:hAnsi="Times New Roman" w:cs="Times New Roman"/>
        </w:rPr>
      </w:pPr>
      <w:r>
        <w:rPr>
          <w:rFonts w:ascii="Times New Roman" w:hAnsi="Times New Roman" w:cs="Times New Roman"/>
        </w:rPr>
        <w:t xml:space="preserve">Navrhuje sa ustanoviť, že medzi príjmy Garančného fondu môžu patriť aj </w:t>
      </w:r>
      <w:r>
        <w:rPr>
          <w:rFonts w:ascii="Times New Roman" w:hAnsi="Times New Roman" w:cs="Times New Roman"/>
          <w:color w:val="000000"/>
        </w:rPr>
        <w:t xml:space="preserve">návratné finančné výpomoci a dotácie zo štátnych finančných aktív na podporu plnenia úloh </w:t>
      </w:r>
      <w:r>
        <w:rPr>
          <w:rFonts w:ascii="Times New Roman" w:hAnsi="Times New Roman" w:cs="Times New Roman"/>
        </w:rPr>
        <w:t xml:space="preserve">Garančného fondu a ustanoviť možnosť poskytnutia štátnej garancie na úvery prevzaté </w:t>
      </w:r>
      <w:r>
        <w:rPr>
          <w:rFonts w:ascii="Times New Roman" w:hAnsi="Times New Roman" w:cs="Times New Roman"/>
        </w:rPr>
        <w:t>fondom. P</w:t>
      </w:r>
      <w:r>
        <w:rPr>
          <w:rFonts w:ascii="Times New Roman" w:hAnsi="Times New Roman" w:cs="Times New Roman"/>
          <w:color w:val="000000"/>
        </w:rPr>
        <w:t xml:space="preserve">ritom podrobné pravidlá poskytnutia a výšku takýchto </w:t>
      </w:r>
      <w:r>
        <w:rPr>
          <w:rFonts w:ascii="Times New Roman" w:hAnsi="Times New Roman" w:cs="Times New Roman"/>
        </w:rPr>
        <w:t>potenciálnych príjmov</w:t>
      </w:r>
      <w:r>
        <w:rPr>
          <w:rFonts w:ascii="Times New Roman" w:hAnsi="Times New Roman" w:cs="Times New Roman"/>
          <w:color w:val="000000"/>
        </w:rPr>
        <w:t xml:space="preserve"> a garancií by určoval zákon o štátnom rozpočte</w:t>
      </w:r>
      <w:r>
        <w:rPr>
          <w:rFonts w:ascii="Times New Roman" w:hAnsi="Times New Roman" w:cs="Times New Roman"/>
        </w:rPr>
        <w:t>, zákon o štátnom dlhu a štátnych zárukách</w:t>
      </w:r>
      <w:r>
        <w:rPr>
          <w:rFonts w:ascii="Times New Roman" w:hAnsi="Times New Roman" w:cs="Times New Roman"/>
          <w:color w:val="000000"/>
        </w:rPr>
        <w:t xml:space="preserve"> (z</w:t>
      </w:r>
      <w:r>
        <w:rPr>
          <w:rFonts w:ascii="Times New Roman" w:hAnsi="Times New Roman" w:cs="Times New Roman"/>
        </w:rPr>
        <w:t>ákon č.</w:t>
      </w:r>
      <w:r>
        <w:rPr>
          <w:rFonts w:ascii="Symbol" w:hAnsi="Symbol" w:cs="Times New Roman"/>
        </w:rPr>
        <w:sym w:font="Symbol" w:char="F020"/>
      </w:r>
      <w:r>
        <w:rPr>
          <w:rFonts w:ascii="Times New Roman" w:hAnsi="Times New Roman" w:cs="Times New Roman"/>
        </w:rPr>
        <w:t>386/2002</w:t>
      </w:r>
      <w:r>
        <w:rPr>
          <w:rFonts w:ascii="Symbol" w:hAnsi="Symbol" w:cs="Times New Roman"/>
        </w:rPr>
        <w:sym w:font="Symbol" w:char="F020"/>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a </w:t>
      </w:r>
      <w:r>
        <w:rPr>
          <w:rFonts w:ascii="Times New Roman" w:hAnsi="Times New Roman" w:cs="Times New Roman"/>
          <w:color w:val="000000"/>
        </w:rPr>
        <w:t xml:space="preserve">zákon </w:t>
      </w:r>
      <w:r>
        <w:rPr>
          <w:rFonts w:ascii="Times New Roman" w:hAnsi="Times New Roman" w:cs="Times New Roman"/>
        </w:rPr>
        <w:t>o rozpočtových pravidlách (zákon NR SR č. 303/1995</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 xml:space="preserve">z. v znení neskorších predpisov). </w:t>
      </w:r>
    </w:p>
    <w:p>
      <w:pPr>
        <w:spacing w:after="120"/>
        <w:ind w:firstLine="720"/>
        <w:jc w:val="both"/>
        <w:rPr>
          <w:rFonts w:ascii="Times New Roman" w:hAnsi="Times New Roman" w:cs="Times New Roman"/>
        </w:rPr>
      </w:pPr>
    </w:p>
    <w:p>
      <w:pPr>
        <w:pStyle w:val="BodyTextIndent"/>
        <w:overflowPunct w:val="0"/>
        <w:autoSpaceDE/>
        <w:autoSpaceDN/>
        <w:ind w:firstLine="708"/>
        <w:textAlignment w:val="baseline"/>
        <w:rPr>
          <w:rFonts w:ascii="Times New Roman" w:hAnsi="Times New Roman" w:cs="Times New Roman"/>
        </w:rPr>
      </w:pPr>
      <w:r>
        <w:rPr>
          <w:rFonts w:ascii="Times New Roman" w:hAnsi="Times New Roman" w:cs="Times New Roman"/>
        </w:rPr>
        <w:t xml:space="preserve">Na úpravu odseku 2 (zdroje fondu)  nadväzuje úprava odseku 4 (použitie zdrojov fondu), kde sa navrhuje ustanoviť, že medzi výdavky Garančného fondu patria aj splátky prípadných návratných </w:t>
      </w:r>
      <w:r>
        <w:rPr>
          <w:rFonts w:ascii="Times New Roman" w:hAnsi="Times New Roman" w:cs="Times New Roman"/>
          <w:color w:val="000000"/>
        </w:rPr>
        <w:t xml:space="preserve">finančných výpomocí zo zo štátnych finančných aktív </w:t>
      </w:r>
      <w:r>
        <w:rPr>
          <w:rFonts w:ascii="Times New Roman" w:hAnsi="Times New Roman" w:cs="Times New Roman"/>
        </w:rPr>
        <w:t>(teda návratných finančných výpomocí poskytnutých na splatenie úverov, ktoré fond  získal) Zároveň sa novým znením ustanovenia  odseku</w:t>
      </w:r>
      <w:r>
        <w:rPr>
          <w:rFonts w:ascii="Symbol" w:hAnsi="Symbol" w:cs="Times New Roman"/>
        </w:rPr>
        <w:sym w:font="Symbol" w:char="F020"/>
      </w:r>
      <w:r>
        <w:rPr>
          <w:rFonts w:ascii="Times New Roman" w:hAnsi="Times New Roman" w:cs="Times New Roman"/>
        </w:rPr>
        <w:t>4 písm.</w:t>
      </w:r>
      <w:r>
        <w:rPr>
          <w:rFonts w:ascii="Symbol" w:hAnsi="Symbol" w:cs="Times New Roman"/>
        </w:rPr>
        <w:sym w:font="Symbol" w:char="F020"/>
      </w:r>
      <w:r>
        <w:rPr>
          <w:rFonts w:ascii="Times New Roman" w:hAnsi="Times New Roman" w:cs="Times New Roman"/>
        </w:rPr>
        <w:t xml:space="preserve">c) zrušuje doterajšie oprávnenie Garančného fondu poskytovať úver obchodníkom s cennými </w:t>
      </w:r>
      <w:r>
        <w:rPr>
          <w:rFonts w:ascii="Times New Roman" w:hAnsi="Times New Roman" w:cs="Times New Roman"/>
        </w:rPr>
        <w:t xml:space="preserve">papiermi v nútenej správe. </w:t>
      </w:r>
    </w:p>
    <w:p>
      <w:pPr>
        <w:pStyle w:val="BodyTextIndent"/>
        <w:overflowPunct w:val="0"/>
        <w:autoSpaceDE/>
        <w:autoSpaceDN/>
        <w:spacing w:line="288" w:lineRule="auto"/>
        <w:ind w:firstLine="708"/>
        <w:textAlignment w:val="baseline"/>
        <w:rPr>
          <w:rFonts w:ascii="Times New Roman" w:hAnsi="Times New Roman" w:cs="Times New Roman"/>
        </w:rPr>
      </w:pPr>
    </w:p>
    <w:p>
      <w:pPr>
        <w:pStyle w:val="BodyTextIndent2"/>
        <w:spacing w:after="120" w:line="240" w:lineRule="atLeast"/>
        <w:rPr>
          <w:rFonts w:ascii="Times New Roman" w:hAnsi="Times New Roman" w:cs="Times New Roman"/>
        </w:rPr>
      </w:pPr>
      <w:r>
        <w:rPr>
          <w:rFonts w:ascii="Times New Roman" w:hAnsi="Times New Roman" w:cs="Times New Roman"/>
        </w:rPr>
        <w:t>Navrhované zmeny v § 91 sú v súlade s obdobnou úpravou v zákone č.118/1996 Z.z. o ochrane vkladov vykonanou na základe požiadaviek Svetovej banky, ktoré sú uvedené v bode</w:t>
      </w:r>
      <w:r>
        <w:rPr>
          <w:rFonts w:ascii="Symbol" w:hAnsi="Symbol" w:cs="Times New Roman"/>
        </w:rPr>
        <w:sym w:font="Symbol" w:char="F020"/>
      </w:r>
      <w:r>
        <w:rPr>
          <w:rFonts w:ascii="Times New Roman" w:hAnsi="Times New Roman" w:cs="Times New Roman"/>
        </w:rPr>
        <w:t>9 a v prvej odrážke bodu</w:t>
      </w:r>
      <w:r>
        <w:rPr>
          <w:rFonts w:ascii="Symbol" w:hAnsi="Symbol" w:cs="Times New Roman"/>
        </w:rPr>
        <w:sym w:font="Symbol" w:char="F020"/>
      </w:r>
      <w:r>
        <w:rPr>
          <w:rFonts w:ascii="Times New Roman" w:hAnsi="Times New Roman" w:cs="Times New Roman"/>
        </w:rPr>
        <w:t>20 v časti „Hlavná správa“ hodnotiacej správy Svetovej banky k FSAP programu. Konkrétne ide o požiadavku Svetovej banky, aby sa podporila finančná stabilita Fondu ochrany vkladov tým, že sa výslovne vytvorí formálna linka, ktorá upraví možnosť štátu (ministerstva financií) poskytnúť v prípade potreby finančné prostriedky pre Fond ochrany vkladov.</w:t>
      </w:r>
    </w:p>
    <w:p>
      <w:pPr>
        <w:pStyle w:val="Heading6"/>
        <w:rPr>
          <w:rFonts w:ascii="Times New Roman" w:hAnsi="Times New Roman" w:cs="Times New Roman"/>
          <w:sz w:val="24"/>
          <w:szCs w:val="24"/>
          <w:u w:val="none"/>
          <w:lang w:eastAsia="sk-SK"/>
        </w:rPr>
      </w:pPr>
    </w:p>
    <w:p>
      <w:pPr>
        <w:pStyle w:val="Heading6"/>
        <w:ind w:left="0"/>
        <w:rPr>
          <w:rFonts w:ascii="Times New Roman" w:hAnsi="Times New Roman" w:cs="Times New Roman"/>
          <w:b/>
          <w:bCs/>
          <w:sz w:val="24"/>
          <w:szCs w:val="24"/>
          <w:u w:val="none"/>
        </w:rPr>
      </w:pPr>
      <w:r>
        <w:rPr>
          <w:rFonts w:ascii="Times New Roman" w:hAnsi="Times New Roman" w:cs="Times New Roman"/>
          <w:b/>
          <w:bCs/>
          <w:sz w:val="24"/>
          <w:szCs w:val="24"/>
          <w:u w:val="none"/>
        </w:rPr>
        <w:t>K bodu 69 a 70</w:t>
      </w:r>
    </w:p>
    <w:p>
      <w:pPr>
        <w:pStyle w:val="NormalIndent"/>
        <w:rPr>
          <w:rFonts w:ascii="Times New Roman" w:hAnsi="Times New Roman" w:cs="Times New Roman"/>
        </w:rPr>
      </w:pPr>
    </w:p>
    <w:p>
      <w:pPr>
        <w:spacing w:after="120" w:line="240" w:lineRule="atLeast"/>
        <w:ind w:firstLine="720"/>
        <w:jc w:val="both"/>
        <w:rPr>
          <w:rFonts w:ascii="Times New Roman" w:hAnsi="Times New Roman" w:cs="Times New Roman"/>
        </w:rPr>
      </w:pPr>
      <w:r>
        <w:rPr>
          <w:rFonts w:ascii="Times New Roman" w:hAnsi="Times New Roman" w:cs="Times New Roman"/>
        </w:rPr>
        <w:t>Spresňujú sa kompetencie Rady fondu predovšetkým kvôli novému zneniu §</w:t>
      </w:r>
      <w:r>
        <w:rPr>
          <w:rFonts w:ascii="Symbol" w:hAnsi="Symbol" w:cs="Times New Roman"/>
        </w:rPr>
        <w:sym w:font="Symbol" w:char="F020"/>
      </w:r>
      <w:r>
        <w:rPr>
          <w:rFonts w:ascii="Times New Roman" w:hAnsi="Times New Roman" w:cs="Times New Roman"/>
        </w:rPr>
        <w:t>91 ods.</w:t>
      </w:r>
      <w:r>
        <w:rPr>
          <w:rFonts w:ascii="Symbol" w:hAnsi="Symbol" w:cs="Times New Roman"/>
        </w:rPr>
        <w:sym w:font="Symbol" w:char="F020"/>
      </w:r>
      <w:r>
        <w:rPr>
          <w:rFonts w:ascii="Times New Roman" w:hAnsi="Times New Roman" w:cs="Times New Roman"/>
        </w:rPr>
        <w:t>4 písm.</w:t>
      </w:r>
      <w:r>
        <w:rPr>
          <w:rFonts w:ascii="Symbol" w:hAnsi="Symbol" w:cs="Times New Roman"/>
        </w:rPr>
        <w:sym w:font="Symbol" w:char="F020"/>
      </w:r>
      <w:r>
        <w:rPr>
          <w:rFonts w:ascii="Times New Roman" w:hAnsi="Times New Roman" w:cs="Times New Roman"/>
        </w:rPr>
        <w:t>c) a ďalším úpravám v § 91, ktorým sa ruší doterajšie oprávnenie Garančného fondu ochrany poskytovať úver obchodníkom s cennými papiermi v nútenej správe. V dôsledku zrušenia tejto možnosti je tiež potrebné zrušiť oprávnenie Rady fondu schvaľovať poskytnutie takéhoto úveru, pričom táto kompetencia sa nahrádza kompetenciou Rady fondu schvaľovať p</w:t>
      </w:r>
      <w:r>
        <w:rPr>
          <w:rFonts w:ascii="Times New Roman" w:hAnsi="Times New Roman" w:cs="Times New Roman"/>
          <w:color w:val="000000"/>
        </w:rPr>
        <w:t xml:space="preserve">ostup Garančného fondu </w:t>
      </w:r>
      <w:r>
        <w:rPr>
          <w:rFonts w:ascii="Times New Roman" w:hAnsi="Times New Roman" w:cs="Times New Roman"/>
        </w:rPr>
        <w:t>vrátane jeho orgánov a ďalších osôb</w:t>
      </w:r>
      <w:r>
        <w:rPr>
          <w:rFonts w:ascii="Times New Roman" w:hAnsi="Times New Roman" w:cs="Times New Roman"/>
          <w:color w:val="000000"/>
        </w:rPr>
        <w:t xml:space="preserve"> pri zabezpečovaní vyplácania</w:t>
      </w:r>
      <w:r>
        <w:rPr>
          <w:rFonts w:ascii="Times New Roman" w:hAnsi="Times New Roman" w:cs="Times New Roman"/>
        </w:rPr>
        <w:t xml:space="preserve"> náhrad </w:t>
      </w:r>
      <w:r>
        <w:rPr>
          <w:rFonts w:ascii="Times New Roman" w:hAnsi="Times New Roman" w:cs="Times New Roman"/>
          <w:color w:val="000000"/>
        </w:rPr>
        <w:t>za zákonom chránený nedostupný klientsky majetok</w:t>
      </w:r>
      <w:r>
        <w:rPr>
          <w:rFonts w:ascii="Times New Roman" w:hAnsi="Times New Roman" w:cs="Times New Roman"/>
        </w:rPr>
        <w:t>.</w:t>
      </w:r>
      <w:r>
        <w:rPr>
          <w:rFonts w:ascii="Times New Roman" w:hAnsi="Times New Roman" w:cs="Times New Roman"/>
          <w:color w:val="000000"/>
        </w:rPr>
        <w:t xml:space="preserve"> Takáto úprava </w:t>
      </w:r>
      <w:r>
        <w:rPr>
          <w:rFonts w:ascii="Times New Roman" w:hAnsi="Times New Roman" w:cs="Times New Roman"/>
        </w:rPr>
        <w:t>rešpektuje aj ustanovenie §</w:t>
      </w:r>
      <w:r>
        <w:rPr>
          <w:rFonts w:ascii="Symbol" w:hAnsi="Symbol" w:cs="Times New Roman"/>
        </w:rPr>
        <w:sym w:font="Symbol" w:char="F020"/>
      </w:r>
      <w:r>
        <w:rPr>
          <w:rFonts w:ascii="Times New Roman" w:hAnsi="Times New Roman" w:cs="Times New Roman"/>
        </w:rPr>
        <w:t>88 ods.</w:t>
      </w:r>
      <w:r>
        <w:rPr>
          <w:rFonts w:ascii="Symbol" w:hAnsi="Symbol" w:cs="Times New Roman"/>
        </w:rPr>
        <w:sym w:font="Symbol" w:char="F020"/>
      </w:r>
      <w:r>
        <w:rPr>
          <w:rFonts w:ascii="Times New Roman" w:hAnsi="Times New Roman" w:cs="Times New Roman"/>
        </w:rPr>
        <w:t xml:space="preserve">4, podľa ktorého Garančný fond vypláca náhrady prostredníctvom bánk a môže ich pri tejto činnosti usmerňovať. </w:t>
      </w:r>
    </w:p>
    <w:p>
      <w:pPr>
        <w:spacing w:after="120" w:line="240" w:lineRule="atLeast"/>
        <w:ind w:firstLine="720"/>
        <w:jc w:val="both"/>
        <w:rPr>
          <w:rFonts w:ascii="Times New Roman" w:hAnsi="Times New Roman" w:cs="Times New Roman"/>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71 a 72</w:t>
      </w:r>
    </w:p>
    <w:p>
      <w:pPr>
        <w:pStyle w:val="BodyTextIndent"/>
        <w:ind w:firstLine="567"/>
        <w:rPr>
          <w:rFonts w:ascii="Times New Roman" w:hAnsi="Times New Roman" w:cs="Times New Roman"/>
          <w:b/>
          <w:bCs/>
        </w:rPr>
      </w:pPr>
    </w:p>
    <w:p>
      <w:pPr>
        <w:pStyle w:val="BodyTextIndent"/>
        <w:ind w:firstLine="567"/>
        <w:rPr>
          <w:rFonts w:ascii="Times New Roman" w:hAnsi="Times New Roman" w:cs="Times New Roman"/>
        </w:rPr>
      </w:pPr>
      <w:r>
        <w:rPr>
          <w:rFonts w:ascii="Times New Roman" w:hAnsi="Times New Roman" w:cs="Times New Roman"/>
        </w:rPr>
        <w:t xml:space="preserve">Upúšťa sa od taxatívneho vymedzenia odborov vysokoškolského vzdelania ako podmienka odbornej spôsobilosti pre členov orgánov a vedúcich pracovníkov centrálneho depozitára tak, ako to bolo vykonané aj v prípade ostatných subjektov finančného trhu.  </w:t>
      </w:r>
    </w:p>
    <w:p>
      <w:pPr>
        <w:pStyle w:val="BodyTextIndent"/>
        <w:ind w:firstLine="567"/>
        <w:rPr>
          <w:rFonts w:ascii="Times New Roman" w:hAnsi="Times New Roman" w:cs="Times New Roman"/>
        </w:rPr>
      </w:pPr>
    </w:p>
    <w:p>
      <w:pPr>
        <w:pStyle w:val="BodyTextIndent"/>
        <w:ind w:firstLine="567"/>
        <w:rPr>
          <w:rFonts w:ascii="Times New Roman" w:hAnsi="Times New Roman" w:cs="Times New Roman"/>
        </w:rPr>
      </w:pPr>
      <w:r>
        <w:rPr>
          <w:rFonts w:ascii="Times New Roman" w:hAnsi="Times New Roman" w:cs="Times New Roman"/>
        </w:rPr>
        <w:t>V § 100 odseku 12 sa dopĺňa kritérium pre posudzovanie odbornej spôsobilosti pre osobu zodpovednú za výkon vnútornej kontroly v centrálnom depozitárovi.</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 xml:space="preserve">K bodom 73 a 74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Legislatívno – technická úprava. Doterajšia previazanosť len na povolenie podľa § 54 by sa mohla zaurčitých podmienok vykladať aj tak, že z možnosti členstva v centrálnom depozitári  sú vyradení zahraniční obchodníci s cennými papiermi z EÚ, ktorí poskytujú investičné služby v SR bez povolenia úradu na základe slobody poskytovania služieb podľa § 65 a 66.  Preto je potrebné v záujme jednoznačnosti výkladu explicitne zvýrazniť možnosť členstva aj takýchto zahraničných obchodníkov  s cennými papiermi.</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Súčasne sa v záujme prehľadnosti a zrozumiteľnosti rozdelila úprava členstva a postupu jeho udeľovania do dvoch samostatných odsekov.</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75</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záujme zjednodušenia postupov pri výplate istiny a výnosov zo štátnych dlhopisov sa dopĺňa možnosť vydať centrálnemu depozitárovi na žiadosť osoby zabezpečujúcej túto výplatu vydať register emitenta v rozsahu potrebnom na identifikáciu  ich majiteľov, t.j. zoznam majiteľov štátnych dlhopisov.    </w:t>
        <w:tab/>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bodom 76 a 77</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záujme zvýšenia transparentnosti trhu sa rozširuje informačná povinnosť centrálneho depozitára vo vzťahu k burze cenných papierov aj na cenné papiere obchodované na regulovanom voľnom trhu burzy a zvyšuje sa rozsah poskytovaných údajov o menovitú hodnotu dotknutých cenných papierov. </w:t>
        <w:tab/>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78</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79</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Pretože vkladné knižky, šeky a cestovné šeky sú v zmysle tohto zákona cennými papiermi, aj keď majú charakter nástrojov peňažného trhu,  je potrebné ich v záujme odstránenia výkladových problémov explicitne vylúčiť z ustanovení o verejnej ponuke cenných papierov tak, ako to umožňuje direktíva č. 89/298/EEC o verejných ponukách cenných papierov.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80 až  84</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u w:val="single"/>
          <w:lang w:val="sk-SK"/>
        </w:rPr>
      </w:pPr>
      <w:r>
        <w:rPr>
          <w:rFonts w:ascii="Times New Roman" w:hAnsi="Times New Roman" w:cs="Times New Roman"/>
          <w:sz w:val="24"/>
          <w:szCs w:val="24"/>
          <w:lang w:val="sk-SK"/>
        </w:rPr>
        <w:t>Upresňujú sa niektoré náležitosti prospektu cenného papiera na základe poznatkov a skúseností Úradu pre finančný trh získaných  pri uplatňovaní doterajšej úpravy v záujme eliminovania výkladových a aplikačných problémov.</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85</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u w:val="single"/>
          <w:lang w:val="sk-SK"/>
        </w:rPr>
      </w:pPr>
      <w:r>
        <w:rPr>
          <w:rFonts w:ascii="Times New Roman" w:hAnsi="Times New Roman" w:cs="Times New Roman"/>
          <w:sz w:val="24"/>
          <w:szCs w:val="24"/>
          <w:lang w:val="sk-SK"/>
        </w:rPr>
        <w:tab/>
        <w:t xml:space="preserve">Vyňatím emisných podmienok dlhopisov sa odstraňujú výkladové a aplikačné problémy spojené s uplatňovaním ustanovenia § 124 vo vzťahu k emisiám dlhopisov. </w:t>
      </w:r>
    </w:p>
    <w:p>
      <w:pPr>
        <w:tabs>
          <w:tab w:val="left" w:pos="360"/>
        </w:tabs>
        <w:rPr>
          <w:rFonts w:ascii="Times New Roman" w:hAnsi="Times New Roman" w:cs="Times New Roman"/>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86</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u w:val="single"/>
          <w:lang w:val="sk-SK"/>
        </w:rPr>
      </w:pPr>
      <w:r>
        <w:rPr>
          <w:rFonts w:ascii="Times New Roman" w:hAnsi="Times New Roman" w:cs="Times New Roman"/>
          <w:sz w:val="24"/>
          <w:szCs w:val="24"/>
          <w:lang w:val="sk-SK"/>
        </w:rPr>
        <w:t>Upresňujú sa náležitosti prospektu verejnej ponuky majetkových hodnôt na základe poznatkov získaných  pri uplatňovaní doterajšej úpravy.</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87 až  89</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Informačné povinnosti emitentov cenných papierov by mali vyplývať predovšetkým z prijatia ich cenných papierov na obchodovanie na trhu burzy. Tento fakt je potrebné zohľadniť aj pri stanovení informačných povinností emitentov, ktorí síce vydali cenné papiere nazáklade verejnej ponuky ale už nemajú záujem pôsobiť na trhu burzy a ani verejné spoločnosti. </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Úpravou odseku 8 sa zjednocuje postup zverejňovania ročných a polročných správ emitentov. Doterajšia úprava znevýhodňovala zverejňovanie správ emitentov, ktorý neboli prijatý na trh kótovaných</w:t>
      </w:r>
      <w:r>
        <w:rPr>
          <w:rFonts w:ascii="Times New Roman" w:hAnsi="Times New Roman" w:cs="Times New Roman"/>
          <w:sz w:val="24"/>
          <w:szCs w:val="24"/>
          <w:lang w:val="sk-SK"/>
        </w:rPr>
        <w:t xml:space="preserve"> cenných papierov.</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u w:val="single"/>
          <w:lang w:val="sk-SK"/>
        </w:rPr>
      </w:pPr>
      <w:r>
        <w:rPr>
          <w:rFonts w:ascii="Times New Roman" w:hAnsi="Times New Roman" w:cs="Times New Roman"/>
          <w:sz w:val="24"/>
          <w:szCs w:val="24"/>
          <w:lang w:val="sk-SK"/>
        </w:rPr>
        <w:t xml:space="preserve">V nadväznosti na § 154 Obchodného zákonníka, ktorý umožňuje premenu verejnej akciovej spoločnosti  na súkromnú akciovú spoločnosť sa upravuje doteraz nedostatočne upravený vzťajh takýchto spoločností k plnenie informačných povinností podľa § 130. Nový  odsek 10 umožňuje súkromnej akciovej spoločnosti, ktorá už nemá emisie cenných papierov vydaných na základe verejnej ponuky odísť spod režimu informačných povinností podľa § 130.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K bodu 90</w:t>
      </w:r>
    </w:p>
    <w:p>
      <w:pPr>
        <w:pStyle w:val="BodyText"/>
        <w:tabs>
          <w:tab w:val="left" w:pos="-1418"/>
        </w:tabs>
        <w:jc w:val="both"/>
        <w:rPr>
          <w:rFonts w:ascii="Times New Roman" w:hAnsi="Times New Roman" w:cs="Times New Roman"/>
          <w:b/>
          <w:bCs/>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Upravuje a rozširuje sa definícia manipulácie s trhom v súlade s čl. 1 bod 2 smernice č.2003/6 ES o zneužívaní trhu a s implementačným opatrením Komisie EÚ č.2003/124/ES. V odseku 2 sa dopĺňa sa výpočet (nie taxatívny) činností, ktoré podľa skúseností z vyspelých finančných trhov je potrebné pokladať za manipuláciu s trhom. Odsek 3 v záujme zvýšenia právnej istoty účastníkov trhu v súlade s čl. 4 a 5 implementačného opatrenia Komisie EÚ č.2003/124/ES ustanovuje výpočet signálov a kritérií (nie taxatívny), ktoré je potrebné brať do úvahy pri posudzovaní toho, či dané konanie možno pokladať za manipuláciu s trhom alebo nie. Samotný výskyt určitého signálu podľa odseku 3 automaticky neznamená, že ide o manipuláciu s trhom ale predstavuje podnet pre úrad alebo východisko na podrobnejšie preverenie obchodu alebo pokynu na vykonanie obchodu a zistenie ďalších súvisiacich okolností.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Zmenou oproti doterajšej úprave je aj rozšírenie platnosti definície manipulatívneho správania (a tým aj príslušných súvisiacich ustanovení) na celý trh finančných nástrojov, pričom za manipuláciu s trhom sa pokladajú aj obchody s finančnými  nástrojmi obchodovanými na burze alebo na inom regulovanom trhu v SR alebo v inom členskom štáte alebo pre ktoré sa podala žiadosť o prijatie na obchodovanie na takomto trhu, a to vrátane obcho</w:t>
      </w:r>
      <w:r>
        <w:rPr>
          <w:rFonts w:ascii="Times New Roman" w:hAnsi="Times New Roman" w:cs="Times New Roman"/>
          <w:sz w:val="24"/>
          <w:szCs w:val="24"/>
          <w:lang w:val="sk-SK"/>
        </w:rPr>
        <w:t xml:space="preserve">dov uzavretých mimo trhu burzy alebo iného regulovaného trhu.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Aby sa zohľadnil budúci vývoj na finančných trhoch, udeľuje sa ministerstvu financií oprávnenie vydať vyhlášku, ktorou sa upraviapodrobnosti o spôsobe a kritériách na posudzovanie manipulácie </w:t>
      </w:r>
      <w:r>
        <w:rPr>
          <w:rFonts w:ascii="Times New Roman" w:hAnsi="Times New Roman" w:cs="Times New Roman"/>
          <w:sz w:val="24"/>
          <w:szCs w:val="24"/>
          <w:lang w:val="sk-SK"/>
        </w:rPr>
        <w:t>s trhom</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 dôvodu značného rozšírenia ustanovení súvisiacich s definíciou manipulácie s trhom bolo nutné vyňať túto úpravu z § 3 ods. 4 doterajšej úpravy v zákone č.429/2002 Z.z. o burze cenných papierov a upraviť ju v zákone o cenných papietoch, ktorý obsahuje všeobecnú úpravu ochrany investorov na finančnom trhu.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91</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súlade s čl. 1 bod 1 smernice č.2003/6/ES a s implementačným opatrením Komisie EÚ č.2003/124/ES sa upravuje definícia dôvernej informácie </w:t>
      </w:r>
    </w:p>
    <w:p>
      <w:pPr>
        <w:pStyle w:val="BodyText"/>
        <w:tabs>
          <w:tab w:val="left" w:pos="-1418"/>
        </w:tabs>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Zmenou oproti doterajšej úprave je aj rozšírenie platnosti definície a tým aj zákazu zneužívania dôverných informácií na finančné nástroje prijaté (alebo pre ktoré sa podala žiadosť o prijatie) na regulovanom trhu v každom členskom štáte EÚ. Finančné nástroje zahŕňajú aj deriváty na komodity a teda predstavujú širšiu množinu ako investičné nástroje, na ktoré sa zákaz vzťahoval podľa doterajších predpisov.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Pre posudzovanie skutočnosti, či sa jedná o dôvernú informáciu je potrebné preskúmať zaužívanú trhovú prax na  danom finančnom trhu. Kritériá na jej posudzovanie stanoví vyhláška MF SR v súlade s implementačným opatrením Komisie EÚ.</w:t>
      </w:r>
    </w:p>
    <w:p>
      <w:pPr>
        <w:pStyle w:val="BodyText"/>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92</w:t>
      </w:r>
    </w:p>
    <w:p>
      <w:pPr>
        <w:pStyle w:val="BodyText"/>
        <w:ind w:firstLine="708"/>
        <w:jc w:val="both"/>
        <w:rPr>
          <w:rFonts w:ascii="Times New Roman" w:hAnsi="Times New Roman" w:cs="Times New Roman"/>
          <w:sz w:val="24"/>
          <w:szCs w:val="24"/>
          <w:u w:val="single"/>
          <w:lang w:val="sk-SK"/>
        </w:rPr>
      </w:pPr>
      <w:r>
        <w:rPr>
          <w:rFonts w:ascii="Times New Roman" w:hAnsi="Times New Roman" w:cs="Times New Roman"/>
          <w:sz w:val="24"/>
          <w:szCs w:val="24"/>
          <w:lang w:val="sk-SK"/>
        </w:rPr>
        <w:t xml:space="preserve">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Novými § 132a až 132n sa implementujú do právneho poriadku SR ustanovenia smernice č.2003/6/ES o nakladaní s dôvernými informáciami a o rozširovaní a zverejňovaní investičných odporúčaní.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u w:val="single"/>
          <w:lang w:val="sk-SK"/>
        </w:rPr>
      </w:pPr>
      <w:r>
        <w:rPr>
          <w:rFonts w:ascii="Times New Roman" w:hAnsi="Times New Roman" w:cs="Times New Roman"/>
          <w:sz w:val="24"/>
          <w:szCs w:val="24"/>
          <w:lang w:val="sk-SK"/>
        </w:rPr>
        <w:tab/>
        <w:t>§ 132a v súlade s čl. 6 bod 9 smernice č.2003/6/ES ustanovuje povinnosť osobám podieľajúcim sa pri s plnením ich povinností pri obchodoch s finančnými nástrojmi  vyplývajúcim najmä z výkonu ich zamestnania alebo funkcie oznámiť úradu podozrenie, že vykonaním obchodu  by mohlo byť považované za obchodovanie s využitím dôverných informácií. Náležitosti tohto oznámenia v súlade s čl. 9 implementačného opatrenia Komisie EÚ č.........2004/ES stanovuje odsek 2.</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u w:val="single"/>
          <w:lang w:val="sk-SK"/>
        </w:rPr>
      </w:pPr>
      <w:r>
        <w:rPr>
          <w:rFonts w:ascii="Times New Roman" w:hAnsi="Times New Roman" w:cs="Times New Roman"/>
          <w:sz w:val="24"/>
          <w:szCs w:val="24"/>
          <w:lang w:val="sk-SK"/>
        </w:rPr>
        <w:tab/>
        <w:t xml:space="preserve">§ 132b v v súlade s čl. 6 body 1 až 3 smernice č.2003/6/ES a čl. 2 a 3 implementačného opatrenia č. 124/2003/ES ustanovuje povinnosť emitentov finančných nástrojov zverejňovať dôverné informácie v SR ako aj v členskom štáte, v ktorom sú jeho finančné nástroje prijaté na regulovaný trh (alebo o také prijatie žiada). Spôsob zverejnenia je rovnaký, ako sa vyžaduje v prípade iných informácií povinne zverejňovaných emitentami podľa tohto zákona alebo zákona o burze cenných papierov. Odsek 3 upravuje podmienky, za ktorých môže emitent odložiť odložiť zverejnenie dôvernej informácie. V prípade odloženia zverejnenia však musí emitent prijať opatrenia podľa odseku 4 na zabezpečenie dôvernosti nezverejnených informácií. Odsek 5 upravuje postupy zverejnia dôvernej informácie emitentom v prípade jej úmyselného alebo neúmyselného zverejnenia jeho zamestnancami alebo členmi jeho orgánov. </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132c v súlade s čl. 6 bod  3 smernice č.2003/6/ES  ustanovuje povinnosť emitentov finančných nástrojov viesť tzv. insider list, čiže zoznam osôb pracujúcich pre nich buď na základe pracovnej zmluvy alebo inak, ktoré majú prístup k dôverným informáciám. Odseky 2 až 4 ustanovujú a čl. 5 implementačného opatrenia č. 124/2003/ES náležitosti tohto zoznamu a spôsob jeho aktualizácie a archivácie. Odsek 5 zavádza povinnosť emitenta prijať opatrenia  na informovanie osôb nachádzajúcich sa na insider liste s ich povinnosťami pri nakladaní s dôvernými informáciami.</w:t>
      </w: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u w:val="single"/>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132d V súlade s čl. 6 bod  4 smernice č.2003/6/ES ustanovuje povinnosť osobe podieľajúcej sa na riadení emitenta finančných nástrojov a osobám im blízkym povinnosť oznámiť bez zbytočného odkladu úradu každý obchod, ktorý vykonali na vlastný účet s akciami emitenta na ktorého riadení sa podieľajú alebo s finančnými nástrojmi odvodenými od týchto akcií do troch pracovných dní od uzavretia obchodu. Odsek 2 v súlade s čl. 6 implementačného opatrenia č. 124/2003/ES obsahuje náležitosti tohto oznámenia.</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Point1"/>
        <w:spacing w:before="0" w:after="0"/>
        <w:ind w:left="0" w:firstLine="900"/>
        <w:rPr>
          <w:rFonts w:ascii="Times New Roman" w:hAnsi="Times New Roman" w:cs="Times New Roman"/>
          <w:lang w:val="sk-SK"/>
        </w:rPr>
      </w:pPr>
      <w:r>
        <w:rPr>
          <w:rFonts w:ascii="Times New Roman" w:hAnsi="Times New Roman" w:cs="Times New Roman"/>
          <w:lang w:val="sk-SK"/>
        </w:rPr>
        <w:t>§ 132e v súlade s čl. 1 smernice č.2003/6/ES upravuje definície pojmov týkajúcich sa tvorby a rozširovania investičných odporúčaní.</w:t>
      </w:r>
    </w:p>
    <w:p>
      <w:pPr>
        <w:pStyle w:val="BodyText"/>
        <w:tabs>
          <w:tab w:val="left" w:pos="-1418"/>
        </w:tabs>
        <w:ind w:firstLine="720"/>
        <w:jc w:val="both"/>
        <w:rPr>
          <w:rFonts w:ascii="Times New Roman" w:hAnsi="Times New Roman" w:cs="Times New Roman"/>
          <w:sz w:val="24"/>
          <w:szCs w:val="24"/>
          <w:lang w:val="sk-SK"/>
        </w:rPr>
      </w:pPr>
    </w:p>
    <w:p>
      <w:pPr>
        <w:pStyle w:val="BodyText"/>
        <w:tabs>
          <w:tab w:val="left" w:pos="-1418"/>
        </w:tabs>
        <w:ind w:firstLine="720"/>
        <w:jc w:val="both"/>
        <w:rPr>
          <w:rFonts w:ascii="Times New Roman" w:hAnsi="Times New Roman" w:cs="Times New Roman"/>
          <w:sz w:val="24"/>
          <w:szCs w:val="24"/>
          <w:lang w:val="sk-SK"/>
        </w:rPr>
      </w:pPr>
      <w:r>
        <w:rPr>
          <w:rFonts w:ascii="Times New Roman" w:hAnsi="Times New Roman" w:cs="Times New Roman"/>
          <w:sz w:val="24"/>
          <w:szCs w:val="24"/>
          <w:lang w:val="sk-SK"/>
        </w:rPr>
        <w:t>§ 132f v súlade s čl. 2 implementačného opatrenia č.125/2003/ES ustanovuje rozsah, v ktorom je osoba zodpovedná za vypracovanie investičného odporúčania povinná uviesť v tomto odporúčaní svoje identifikačné údaje.</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132g v súlade s čl. 3 implementačného opatrenia č.125/2003/ES ustanovuje všeobecný štandard objektívneho prezentovania investičných odporúčaní. Vyžaduje sa najmä, aby boli fakty jasne odlíšené od interpretácií a dohadov a u odhadov a predpovedí cenového vývoja musí byť jasne uvedené, že ide o odhady a predpovede.</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132h v súlade s čl. 4 implementačného opatrenia č.125/2003/ES ustanovuje dodatočné povinnosti týkajúce sa objektívneho prezentovania investičných odporúčaní, ak je ich spracovateľom  je banka, obchodník s cennými papiermi, osoby s nimi prepojené osoby alebo  osoba, ktorej hlavným predmetom činnosti je príprava investičných odporúčaní.  Uvedené osoby majú rozšírený okruh povinností z dôvodu, že ide o profesionálnych poskytovateľov služieb, ktorí majú vybudované odborné zázemie a siete pobočiek a teda  je pravdepodobné, že bežní klienti budú využívať hlavne  ich služby a okrem toho sú povinní dodržiavať pravidlá vo vzťahu ku klientom aj pri výkone iných služieb (napr. podľa zákona o cenných papieroch), teda ich klienti môžu odôvodnene predpokladať a požadovať, aby tieto osoby poskytovali služby súvisiace  s prípravou investičných odporúčaní na vysokej odbornej úrovni.   </w:t>
      </w:r>
    </w:p>
    <w:p>
      <w:pPr>
        <w:pStyle w:val="BodyText"/>
        <w:tabs>
          <w:tab w:val="left" w:pos="-1418"/>
        </w:tabs>
        <w:jc w:val="both"/>
        <w:rPr>
          <w:rFonts w:ascii="Times New Roman" w:hAnsi="Times New Roman" w:cs="Times New Roman"/>
          <w:sz w:val="24"/>
          <w:szCs w:val="24"/>
          <w:lang w:val="sk-SK"/>
        </w:rPr>
      </w:pPr>
    </w:p>
    <w:p>
      <w:pPr>
        <w:pStyle w:val="Point1"/>
        <w:spacing w:before="0" w:after="0"/>
        <w:ind w:left="0" w:firstLine="900"/>
        <w:rPr>
          <w:rFonts w:ascii="Times New Roman" w:hAnsi="Times New Roman" w:cs="Times New Roman"/>
          <w:lang w:val="sk-SK"/>
        </w:rPr>
      </w:pPr>
      <w:r>
        <w:rPr>
          <w:rFonts w:ascii="Times New Roman" w:hAnsi="Times New Roman" w:cs="Times New Roman"/>
          <w:lang w:val="sk-SK"/>
        </w:rPr>
        <w:tab/>
        <w:t xml:space="preserve">§ 132i v súlade s čl. 6 bod  9 smernice č.2003/6/ES ustanovuje osobám rozširujúcim alebo spracovávajúcim investičné odporúčania týkajúce sa finančných nástrojov povinnosť odhaliť okolnosti, ktoré sú spôsobilé narušiť objektivitu nimi vypracovaných investičných odporúčaní. Vzťahmi a okolnosťami spôsobilými narušiť objektivitu investičných odporúčaní sa v súlade s čl. 5  implementačného opatrenia č.125/2003/ES, ktorý stanovuje  všeobecný štandard pre odhaľovanie konflikty záujmov spracovateľa investičného odporúčania, rozumejú záujmy alebo konflikty záujmov tejto právnickej osoby alebo osôb s ňou majetkovo a personálne prepojených, ktoré sú známe alebo (pravdepodobne môžu byť) osobám pre ňu pracujúcim pri príprave investičného odporúčania, ako aj osobám pracujúcim pre túto právnickú osobu, ktoré neboli  zapojené do prípravy investičného odporúčania ale  mali alebo (alebo pravdepodobne mali) prístup k investičnému odporúčaniu pred jeho zverejnením alebo odovzdaním  klientovi.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132j v súlade s čl. 6 implementačného opatrenia č.125/2003/ES ustanovuje dodatočné povinnosti týkajúce sa odhaľovania záujmov a konfliktov záujmov osobám rozširujúcim alebo spracovávajúcim investičné odporúčania týkajúce sa finančných nástrojov. Ide najmä o informácie o podieloch (vyšších ako 5%) v majetku týchto osôby  na základnom imaní emitenta finančných nástrojov, ktorých sa týka nimi spracované investičné odporúčanie.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132k v súlade s čl. 7 a 8 implementačného opatrenia č.125/2003/ES ustanovuje podmienky, za ktorých možno rozširovať investičné odporúčania vypracované inou osobou. Ide najmä o uvedenie identifikačných údajov o rozširovateľovi  investičného odporúčania a rozsah údajov v prípade, ak sa rozšuruje pozmenené investičné odporúčanie.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132l v súlade s čl. 7 a 8 implementačného opatrenia č.125/2003/ES ustanovuje ustanovuje dodatočné povinnosti týkajúce sa rozširovania investičných odporúčaní, ak  banka, obchodník s cennými papiermi, osoby s nimi prepojené osoby alebo  osoba, ktorej hlavným predmetom činnosti je príprava investičných odporúčaní rozširuje investičné odporúčanie vypracované inou osobou.  </w:t>
      </w:r>
    </w:p>
    <w:p>
      <w:pPr>
        <w:pStyle w:val="BodyText"/>
        <w:tabs>
          <w:tab w:val="left" w:pos="-1418"/>
        </w:tabs>
        <w:jc w:val="both"/>
        <w:rPr>
          <w:rFonts w:ascii="Times New Roman" w:hAnsi="Times New Roman" w:cs="Times New Roman"/>
          <w:sz w:val="24"/>
          <w:szCs w:val="24"/>
          <w:lang w:val="sk-SK"/>
        </w:rPr>
      </w:pPr>
    </w:p>
    <w:p>
      <w:pPr>
        <w:pStyle w:val="NumPar1"/>
        <w:numPr>
          <w:numId w:val="0"/>
        </w:numPr>
        <w:tabs>
          <w:tab w:val="left" w:pos="0"/>
        </w:tabs>
        <w:rPr>
          <w:rFonts w:ascii="Times New Roman" w:hAnsi="Times New Roman" w:cs="Times New Roman"/>
          <w:lang w:val="sk-SK"/>
        </w:rPr>
      </w:pPr>
      <w:r>
        <w:rPr>
          <w:rFonts w:ascii="Times New Roman" w:hAnsi="Times New Roman" w:cs="Times New Roman"/>
          <w:lang w:val="sk-SK"/>
        </w:rPr>
        <w:tab/>
        <w:tab/>
        <w:t xml:space="preserve">§ 132m v súlade s čl. 8 až 10 smernice č.2003/6/ES ustanovuje okruh finančných nástrojov na ktoré sa vzťahujú ustanovenia tohto zákona a rozsah platnosti zákazov a povinností podľa tohto zákona vzťahujúcich sa na nakladanie s dôvernými informáciami, manipuláciou s trhom a šírenie investičných odporúčaní vo vzťahu k týmto finančným nástrojom. </w:t>
      </w:r>
    </w:p>
    <w:p>
      <w:pPr>
        <w:pStyle w:val="Point1"/>
        <w:spacing w:before="0" w:after="0"/>
        <w:ind w:left="0" w:firstLine="900"/>
        <w:rPr>
          <w:rFonts w:ascii="Times New Roman" w:hAnsi="Times New Roman" w:cs="Times New Roman"/>
          <w:lang w:val="sk-SK"/>
        </w:rPr>
      </w:pPr>
      <w:r>
        <w:rPr>
          <w:rFonts w:ascii="Times New Roman" w:hAnsi="Times New Roman" w:cs="Times New Roman"/>
          <w:lang w:val="sk-SK"/>
        </w:rPr>
        <w:t>Odsek 6 ustanovuje v súlade s  implementačným opatrením č.125/2003/ES osobitný postup pre novinárov podliehajúcim právnym predpisom alebo samoregulačným predpisom, ktoré zaručujú splnenie povinností pri šírení investičných odporúčaní v rozsahu podľa smernice č.2003/6/ES a implementačného opatrenia č. 125/2003/ES.</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lang w:val="sk-SK"/>
        </w:rPr>
        <w:tab/>
        <w:tab/>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132n v súlade s čl. 6 bod 7 smernice č.2003/6/ES ustanovuje právomoc úradu zverejniť informáciu, ktorú mala zverejniť osoba, ktorej to ukladá tento zákon.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93</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Rozširuje sa okruh osôb, ktorým obchodník s cennými papiermi povinný poskytnúť informácie o Úrad na ochranu osobných údajov, ktorý vznikol až po nadobudnutí účinnosti zákona č.566/2001 Z.z.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94</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Rozširuje sa okruh osôb nad ktorými sa vykonáva dohľad v súvislosti so zavedením doplňujúceho dohľadu nad finančnými konglomerátmi a rozšírením ustanovení o zneužívaní dôverných informácií, manipulácie s trhom a šírení investičných odporúčaní.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95</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Komisia EÚ je v súlade s oprávnením podľa čl. 8 a 17 bod 2 direktívy č.2003/6 ES o zneužívaní trhu vydávať  regulácie.  Doteraz bola vydaná regulácia  č. 2273/2003/ES z 23.decembra 2003, ktorou sa upravili podmienky, za ktorých sú vylúčené spod manipulatívnych praktík programy spätného odkupu a stabilizácia finančných nástrojov. Uvedená Regulácia je priamo platná a záväzná pre členské štáty.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 vyššie uvedených dôvodov je potrebné doplniť medzi právne predpisy, ktorých dodržiavanie je predmetom výkonu dohľadu aj  právne  záväzné  akty Európskych spoločenstiev  a   Európskej  únie, ktoré majú v zmysle § 7 ústavy SR prednosť pred zákonmi SR.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b/>
          <w:bCs/>
          <w:sz w:val="24"/>
          <w:szCs w:val="24"/>
          <w:lang w:val="sk-SK"/>
        </w:rPr>
        <w:t>K bodu 96</w:t>
      </w:r>
    </w:p>
    <w:p>
      <w:pPr>
        <w:pStyle w:val="BodyText"/>
        <w:tabs>
          <w:tab w:val="left" w:pos="-1418"/>
        </w:tabs>
        <w:jc w:val="both"/>
        <w:rPr>
          <w:rFonts w:ascii="Times New Roman" w:hAnsi="Times New Roman" w:cs="Times New Roman"/>
          <w:sz w:val="24"/>
          <w:szCs w:val="24"/>
          <w:lang w:val="sk-SK"/>
        </w:rPr>
      </w:pPr>
    </w:p>
    <w:p>
      <w:pPr>
        <w:pStyle w:val="BodyTextIndent"/>
        <w:ind w:firstLine="720"/>
        <w:rPr>
          <w:rFonts w:ascii="Times New Roman" w:hAnsi="Times New Roman" w:cs="Times New Roman"/>
        </w:rPr>
      </w:pPr>
      <w:r>
        <w:rPr>
          <w:rFonts w:ascii="Times New Roman" w:hAnsi="Times New Roman" w:cs="Times New Roman"/>
        </w:rPr>
        <w:t>Nové odseky 5 a 6 v § 135  vymedzujú jednak vzťah troch typov dohľadov vykonávaných Úradom pre finančný trh ako aj okruh osôb, nad ktorými Úrad pre finančný trh v rámci týchto dohľadov nevykonáva dohľad na individuálnom základe, dohľad na konsolidovanom základe a ani dohľad v rámci doplňujúceho dohľadu nad finančnými konglomerátmi.</w:t>
      </w:r>
    </w:p>
    <w:p>
      <w:pPr>
        <w:pStyle w:val="BodyTextIndent"/>
        <w:rPr>
          <w:rFonts w:ascii="Times New Roman" w:hAnsi="Times New Roman" w:cs="Times New Roman"/>
        </w:rPr>
      </w:pPr>
    </w:p>
    <w:p>
      <w:pPr>
        <w:pStyle w:val="BodyTextIndent"/>
        <w:rPr>
          <w:rFonts w:ascii="Times New Roman" w:hAnsi="Times New Roman" w:cs="Times New Roman"/>
        </w:rPr>
      </w:pPr>
    </w:p>
    <w:p>
      <w:pPr>
        <w:pStyle w:val="BodyTextIndent"/>
        <w:rPr>
          <w:rFonts w:ascii="Times New Roman" w:hAnsi="Times New Roman" w:cs="Times New Roman"/>
        </w:rPr>
      </w:pPr>
      <w:r>
        <w:rPr>
          <w:rFonts w:ascii="Times New Roman" w:hAnsi="Times New Roman" w:cs="Times New Roman"/>
          <w:b/>
          <w:bCs/>
        </w:rPr>
        <w:t>K bodu 97</w:t>
      </w:r>
    </w:p>
    <w:p>
      <w:pPr>
        <w:pStyle w:val="BodyTextIndent"/>
        <w:rPr>
          <w:rFonts w:ascii="Times New Roman" w:hAnsi="Times New Roman" w:cs="Times New Roman"/>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súlade s čl. 16 smernice č.2003/6 ES o zneužívaní trhu sa novým § 135a dopĺňajú  ustanovenia o vzájomnej spolupráci úradu a výmene informácií s príslušnými orgánmi dohľadu členských štátov pri výkone dohľadu nad dodržiavaním ustanovení o zákaze manipulácie s trhom na území členskýh štátov, vrátane taxatívne vymedzených dôvodov z ktorých je možné odmietnuť spoluprácu a postupov v prípade odmietnutia spolupráce alebo poskytnutia informácií.     </w:t>
      </w:r>
    </w:p>
    <w:p>
      <w:pPr>
        <w:pStyle w:val="BodyText"/>
        <w:jc w:val="both"/>
        <w:rPr>
          <w:rFonts w:ascii="Times New Roman" w:hAnsi="Times New Roman" w:cs="Times New Roman"/>
          <w:lang w:val="sk-SK"/>
        </w:rPr>
      </w:pPr>
      <w:r>
        <w:rPr>
          <w:rFonts w:ascii="Times New Roman" w:hAnsi="Times New Roman" w:cs="Times New Roman"/>
          <w:lang w:val="sk-SK"/>
        </w:rPr>
        <w:tab/>
      </w:r>
    </w:p>
    <w:p>
      <w:pPr>
        <w:pStyle w:val="BodyTextIndent"/>
        <w:rPr>
          <w:rFonts w:ascii="Times New Roman" w:hAnsi="Times New Roman" w:cs="Times New Roman"/>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98 a 99</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Upravujú sa ustanovenia o spolupráci úradu s orgánmi dohľadu členských štátov pri výkone dohľadu nad subjektami,  na  ktoré sa vzťahujú ustanovenia o slobodnom poskytovaní služieb v rámci EÚ tak, aby sa odstránili pochybnosti o tom, že dohľad na území SR je orgán členského štátu  oprávnený vykonať aj bez dohody uzavretej s úradom, resp., že úrad je oprávnený vykonať dohľad na území členského štátu aj bez dohody s príslušným orgánom členského štátu.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100</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V súvislosti so zavedením doplňujúceho dohľadu nad finančnými konglomerátmi sa rozširuje sa účel, na ktoré sú dohliadané osoby povinné poskytovať úradu údaje, ako aj rozsah poskytovaných údajov podľa  s čl. 12 bod 2 smernice č.2003/6/ES</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101 </w:t>
      </w:r>
    </w:p>
    <w:p>
      <w:pPr>
        <w:pStyle w:val="BodyText"/>
        <w:tabs>
          <w:tab w:val="left" w:pos="-1418"/>
        </w:tabs>
        <w:jc w:val="both"/>
        <w:rPr>
          <w:rFonts w:ascii="Times New Roman" w:hAnsi="Times New Roman" w:cs="Times New Roman"/>
          <w:b/>
          <w:bCs/>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Nové ustanovenie § 138 vymedzuje presnejšie účel, predmet a rozsah dohľadu na konsolidovanom základe vykonávaného Úradom pre finančný trh ako aj spresňuje súvisiace pojmy v nadväznosti na transponovanie smerníc č. 93/22/ES a č. 2000/12/ES v znení smernice č. 2002/87/ES. Ide najmä o zmeny súvisiace s čl. 26 smernice č.2002/87/ES sa upravujú ustanovenia o dohľade na konsolidovanom základe nad obchodníkmi s cennými papiermi zavedením zmiešaného konsolidovaného a subkonsolidovaného celku ako aj povinností, ktoré sa na ne vzťahujú.  Preto sa  definujú na účel dohľadu na konsolidovanom základe nové pojmy v slovenskom právnom poriadku - „finančná holdingová inštitúcia“, „holdingová spoločnosť so zmiešanou činnosťou“ a „zmiešaná finančná holdingová spoločnosť. § 139 až 143 upravujú problematiku dohľadu na konsolidovanom základe v nadväznosti na nové pojmy používané v súvislosti so zavedením doplňujúceho dohľadu.</w:t>
      </w:r>
    </w:p>
    <w:p>
      <w:pPr>
        <w:ind w:firstLine="720"/>
        <w:jc w:val="both"/>
        <w:rPr>
          <w:rFonts w:ascii="Times New Roman" w:hAnsi="Times New Roman" w:cs="Times New Roman"/>
        </w:rPr>
      </w:pPr>
      <w:r>
        <w:rPr>
          <w:rFonts w:ascii="Times New Roman" w:hAnsi="Times New Roman" w:cs="Times New Roman"/>
        </w:rPr>
        <w:t>Ustanovenie § 140 ods. 6 novo upravuje tiež povinnosť Úradu pre finančný trh zahrnúť do konsolidovaného dohľadu aj tých obchodníkov s cennými papiermi, ktorí by inak nepodliehali obdobnému dohľadu.</w:t>
      </w:r>
    </w:p>
    <w:p>
      <w:pPr>
        <w:pStyle w:val="BodyTextIndent"/>
        <w:rPr>
          <w:rFonts w:ascii="Times New Roman" w:hAnsi="Times New Roman" w:cs="Times New Roman"/>
        </w:rPr>
      </w:pPr>
      <w:r>
        <w:rPr>
          <w:rFonts w:ascii="Times New Roman" w:hAnsi="Times New Roman" w:cs="Times New Roman"/>
        </w:rPr>
        <w:t xml:space="preserve">           V nadväznosti na čl. 29 smernice č.2002/87/ES sa v § 143 upravuje postup pri výkone dohľadu dohľade na konsolidovanom základe v prípade ak konsolidovaný celok, ktorého súčasťou je obchodník s cennými papiermi so sídlom v SR je  kontrolovaný osobou z nečlenského štátu. Úrad je povinný preveriť či sa v takom prípade obchodník s cennými papiermi </w:t>
      </w:r>
      <w:r>
        <w:rPr>
          <w:rFonts w:ascii="Times New Roman" w:hAnsi="Times New Roman" w:cs="Times New Roman"/>
          <w:color w:val="000000"/>
        </w:rPr>
        <w:t xml:space="preserve">podlieha dohľadu na konsolidovanom v nečlenskom štáte, ktorý je rovnocenný dohľadu na konsolidovanom základe podľa tohto zákona. V prípade ak </w:t>
      </w:r>
      <w:r>
        <w:rPr>
          <w:rFonts w:ascii="Times New Roman" w:hAnsi="Times New Roman" w:cs="Times New Roman"/>
        </w:rPr>
        <w:t xml:space="preserve">obchodník s cennými papiermi takémuto </w:t>
      </w:r>
      <w:r>
        <w:rPr>
          <w:rFonts w:ascii="Times New Roman" w:hAnsi="Times New Roman" w:cs="Times New Roman"/>
          <w:color w:val="000000"/>
        </w:rPr>
        <w:t>dohľadu v nečlenskom štáte nepodlieha, úrad je povinný vykonávať dohľad na konsolidovanom základe podľa tohto zákona.</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102</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Vložením 143a až 143o sa zavádza ďalší  typ dohľadu – ďoplňujúci dohľad nad finančnými konglomerátmi (ďalej len „doplňujúci dohľad“). Na rozdiel od dohľadu na konsolidovanom základe, je cieľom tohto dohľadu vymedzeného v § 143a sledovanie a obmedzenie regulácie rizík, ktorým sú obchodník s cennými papiermi a ďalšie regulované finančné inštitúcie vystavené v dôsedku ich účasti v skupinách tvorených finančnými inštitúciami pôsobiacich v rôznych finančných sektoroch. Povinnosť zaviesť tento typ dohľadu vyplýva zo smernice č.2002/87/ES.</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143b v súlade s čl. 2 smernice č.2002/87/ES definuje niektoré pojmy potrebné pre výkon doplńujúceho dohľadu, najmä definíciu skupiny, finančného konglomerátu  a vymedzenie finančných sektorov, ktoré môžu byť zastúpené vo finančnom konglomeráte (sektor bankový, sektor poisťovníctva a sektor investičných služieb).   </w:t>
      </w:r>
    </w:p>
    <w:p>
      <w:pPr>
        <w:pStyle w:val="BodyText"/>
        <w:tabs>
          <w:tab w:val="left" w:pos="-1418"/>
        </w:tabs>
        <w:jc w:val="both"/>
        <w:rPr>
          <w:rFonts w:ascii="Times New Roman" w:hAnsi="Times New Roman" w:cs="Times New Roman"/>
          <w:sz w:val="24"/>
          <w:szCs w:val="24"/>
          <w:lang w:val="sk-SK"/>
        </w:rPr>
      </w:pPr>
    </w:p>
    <w:p>
      <w:pPr>
        <w:tabs>
          <w:tab w:val="left" w:pos="0"/>
        </w:tabs>
        <w:jc w:val="both"/>
        <w:rPr>
          <w:rFonts w:ascii="Times New Roman" w:hAnsi="Times New Roman" w:cs="Times New Roman"/>
        </w:rPr>
      </w:pPr>
      <w:r>
        <w:rPr>
          <w:rFonts w:ascii="Times New Roman" w:hAnsi="Times New Roman" w:cs="Times New Roman"/>
        </w:rPr>
        <w:tab/>
        <w:t>§ 143c v  súlade s čl. 10 smernice č. 2002/87/ES určuje kedy doplňujúci dohľad (t.j. úlohu tzv. koordinátora) nad finančným konglomerátom vykonáva úrad. Ide o dve skupiny prípadov ak je finančný konglomerát kontrolovaný obchodníkom s cennými papiermi a ak je finančný konglomerát kontrolovaný zmiešanou finančnou spoločnosťou a najvýznamnejším finančným sektorom finančného konglomerátu je sektor investičných služieb, pričom treba zobrať do úvahy, kde má sídlo zmiešaná finančná spoločnosť. Osobitne dôležitá je spolupráca medzi úradom NBS a príslušnými orgánmi dohľadu členských štátov, zodpovedných za dohľad nad regulovanými tvoriacimi finančný konglomerát pri určení koordinátora v prípade ak je finančný konglomerát kontrolovaný zmiešanou finančnou spoločnosťou a konglomerát  tvoria regulované osoby so sídlom v rôznych členských štátoch. Druhý a tretí odsek upravujú možné výnimky zo zákonom určeného postupu, a to v podobe rozšírenia (prevzatie výkonu doplňujúceho dohľadu) alebo zúženia (prenechanie výkonu dohľadu) tejto novej pôsobnosti úradu. Výnimky závisia od konkrétnej situácie, t. j. štruktúry finančného konglomerátu a sú založené na dohode úradu s NBS ako orgánom vystupujúcim v úlohe koordinátora vo vzťahu k iným finančným konglomerátom, vymedzeným zákonom bankách, prípadne s príslušným orgánom členského štátu.</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143d v súlade s čl. 4 smernice č. 2002/87/ES stanovuje úradu povinnosť v spolupráca s NBS a príslušnými orgánmi dohľadu členských štátov vykonať identifikáciu finančných konglomerátov podliehajúcich doplňujúcemu dohľadu a oznámiť túto skutočnosť osobe kontrolujúcej finančný konglomerát.</w:t>
        <w:tab/>
        <w:t>Úrad pri tejto identifikácii postupuje v súčinnosti s NBS a s príslušnými orgánmi dohľadu členských štátov Európskej únie, vykonávajúcimi dohľad nad regulovanými osobami, ktoré sú súčasťou príslušných finančných konglomerátov a týmito finančnými konglomerátmi. Ustanovenie upravuje aj samotný postup pri určovaní (identifikácii), že konkrétny finančný konglomerát bude podliehať doplňujúcemu dohľadu vykonávanému úradom.</w:t>
      </w:r>
    </w:p>
    <w:p>
      <w:pPr>
        <w:jc w:val="both"/>
        <w:rPr>
          <w:rFonts w:ascii="Times New Roman" w:hAnsi="Times New Roman" w:cs="Times New Roman"/>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143e v súlade s čl. 3 smernice č. 2002/87/ES určuje kritériá na určenie toho, či skupinu podnikateľských subjektov možno považovať za finančný konglomerát na účely výkonu doplňujúceho dohľadu. Určuje sa najmä či činnosti vo finančno sektore v skupine sú významné (viac ako 40% podiel na celkových aktívach skupiny) a či sú medzisektorové činnosti významné (viac ako 10% podiel  celkových aktív jedného finančného sektora k celkovým aktívam subjektov finančného sektora v  skupine a podiel minimálnej výšky vlastných zdrojov jedného finančného sektora k súčtu minimálnej výšky vlastných zdrojov osôb finančného sektora v skupine).  Odseky 5 až 12 v záujme plnenia cieľov doplňujúceho dohľadu umožňujú úradu po dohode s NBS a s príslušnými orgánmi dohľadu členských štátov v odôvodnených prípadoch upustiť od zaradenia skupiny do doplňujúceho dohľadu resp. kritériá pri výpočte podielov podľa odsekov 1 až 3 nahradiť alebo doplniť kritériami založenými na celkových aktívach kritériami založenými na štruktúre príjmov a podsúvahových činnostiach.</w:t>
      </w:r>
    </w:p>
    <w:p>
      <w:pPr>
        <w:pStyle w:val="BodyText"/>
        <w:tabs>
          <w:tab w:val="left" w:pos="-1418"/>
        </w:tabs>
        <w:jc w:val="both"/>
        <w:rPr>
          <w:rFonts w:ascii="Times New Roman" w:hAnsi="Times New Roman" w:cs="Times New Roman"/>
          <w:sz w:val="24"/>
          <w:szCs w:val="24"/>
          <w:lang w:val="sk-SK"/>
        </w:rPr>
      </w:pPr>
    </w:p>
    <w:p>
      <w:pPr>
        <w:ind w:firstLine="720"/>
        <w:jc w:val="both"/>
        <w:rPr>
          <w:rFonts w:ascii="Times New Roman" w:hAnsi="Times New Roman" w:cs="Times New Roman"/>
        </w:rPr>
      </w:pPr>
      <w:r>
        <w:rPr>
          <w:rFonts w:ascii="Times New Roman" w:hAnsi="Times New Roman" w:cs="Times New Roman"/>
        </w:rPr>
        <w:t xml:space="preserve">§ 143f ods. 1 a 2 v súlade s čl. 5 smernice č. 2002/87/ES  upravujú povinnosť obchodníka s cennými papiermi, ktorý je súčasťou finančného konglomerátu dodržiavať podmienky kapitálovej primeranosti, koncentrácie rizík, obmedzenia vnútroskupinových transakcií a riadenia a monitorovania rizík na úrovni finančného konglomerátu. Tieto požiadavky sú podrobnejšie upravené v §143g až 143k.Odseky 3 až 5 v súlade s čl. 5 smernice č. 2002/87/ES upravujú situáciu, ak je finančný konglomerát kontrolovaný zmiešanou finančnou spoločnosťou so sídlom v nečlenskom štáte, a v tomto štáte nie je vykonávaný dohľad nad finančnými konglomerátmi, ktorý je  rovnocenný doplňujúcemu dohľadu podľa tohto zákona. V takom prípade úrad môže určiť v záujme plnenia cieľov doplňujúceho dohľadu, že obchodník s cennými papiermi, ktorý je súčasťou takéhoto finančného konglomerátu bude predkladať úradu osobitné výkazy, hlásenia a správy o účasti v takomto finančnom konglomeráte a môže obmedziť alebo zakázať takému obchodníkovi s cennými papiermi  vnútroskupinové operácie, ktoré by mohli mať vplyv na plnenie podmienok primeranosti vlastných zdrojov  obchodníka s cennými papiermi. Zámerom týchto ustanovení je predísť regulačnej arbitráži a vyhnúť sa doplňujúceho dohľadu presunom osoby kontrolujúcej finančný konglomerát do nečlenského štátu s nízkou mierou regulácie.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143g v súlade s čl. 6 smernice č. 2002/87/ES stanovuje pravidlá primeranosti vlastných zdrojov na úrovni finančného konglomerátu. Zámerom týchto ustanovení je zabezpečenie a udržanie dostatočnej a bezpečnej výšky vlastných zdrojov na úrovni finančného konglomerátu. V zákone je stanovená základná povinnosť zabezpečiť dostatočnú výšku vlastných zdrojov, ako aj povinnosť predkladať úradu požadované údaje o výške vlastných zdrojov a tiež vymedzenie dostatočnosti vlastných zdrojov. Podrobnosti o vlastných zdrojoch na úrovni finančného konglomerátu, minimálnu výšku vlastných zdrojov osôb v skupine a metódy ich výpočtu ustanoví vykon</w:t>
      </w:r>
      <w:r>
        <w:rPr>
          <w:rFonts w:ascii="Times New Roman" w:hAnsi="Times New Roman" w:cs="Times New Roman"/>
          <w:sz w:val="24"/>
          <w:szCs w:val="24"/>
          <w:lang w:val="sk-SK"/>
        </w:rPr>
        <w:t>ávací predpis MF SR.</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143h v súlade s čl. 7 smernice č. 2002/87/ES stanovuje pravidlá pre koncentráciu rizík na úrovni finančného konglomerátu a stanovuje povinnosť hlásiť úradu najmenej raz ročne každú významnú koncentráciu rizík. Vo finančnom konglomeráte, keďže ide o veľké finančné skupiny, by nadmerná koncentrácia rizík mohla spôsobiť problémy v celom finančnom systéme. Účelom týchto ustanovení je preto obmedziť koncentráciu rizík na úrovni finančného konglomerátu. Významnou koncentráciou rizík finančného konglomerátu na účely doplňujúceho dohľadu sa rozumie veľká majetková angažovanosť definovaná týmto zákonom pre sektor investičných služieb, resp. zákonom o bankách pre bankový sektor.   </w:t>
      </w:r>
    </w:p>
    <w:p>
      <w:pPr>
        <w:pStyle w:val="BodyText"/>
        <w:tabs>
          <w:tab w:val="left" w:pos="-1418"/>
        </w:tabs>
        <w:jc w:val="both"/>
        <w:rPr>
          <w:rFonts w:ascii="Times New Roman" w:hAnsi="Times New Roman" w:cs="Times New Roman"/>
          <w:sz w:val="24"/>
          <w:szCs w:val="24"/>
          <w:lang w:val="sk-SK"/>
        </w:rPr>
      </w:pPr>
    </w:p>
    <w:p>
      <w:pPr>
        <w:jc w:val="both"/>
        <w:rPr>
          <w:rFonts w:ascii="Times New Roman" w:hAnsi="Times New Roman" w:cs="Times New Roman"/>
        </w:rPr>
      </w:pPr>
      <w:r>
        <w:rPr>
          <w:rFonts w:ascii="Times New Roman" w:hAnsi="Times New Roman" w:cs="Times New Roman"/>
        </w:rPr>
        <w:tab/>
        <w:t xml:space="preserve">§ 143i v súlade s čl. 8 smernice č. 2002/87/ES stanovuje pravidlá pre vnútroskupinové transakcie vo finančnom konglomeráte a povinnosť hlásiť úradu najmenej raz ročne každú významnú vnútroskupinovú transakciu (obchod medzi členmi skupiny prevyšujúci 5% minimálnych vlastných zdrojov na úrovni finančného konglomerátu) za účelom obmedzenia rizík pre finančný konglomerát. </w:t>
      </w:r>
    </w:p>
    <w:p>
      <w:pPr>
        <w:pStyle w:val="BodyTextIndent"/>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 143j v súlade s čl. 9 smernice č. 2002/87/ES určuje v záujme dosiahnutia cieľov doplňujúceho dohľadu nad finančnými konglomerátmi povinnosť regulovať aj vnútorné riadenie a postupy v osobách tvoriacich finančný konglomerát. Preto sa obchodníkovi s cennými papiermi, ktorý je súčasťou finančného konglomerátu stanovuje povinnosť vytvoriť systém riadenia rizík  a systém vnútornej kontroly za účelom sledovania dodržiavania ustanovenia  kapitálovej primeranosti, koncentrácie rizík a obmedzenia vnútroskupinových transakcií na úrovni finančného konglomerátu.</w:t>
      </w:r>
    </w:p>
    <w:p>
      <w:pPr>
        <w:pStyle w:val="BodyText"/>
        <w:tabs>
          <w:tab w:val="left" w:pos="-1418"/>
        </w:tabs>
        <w:jc w:val="both"/>
        <w:rPr>
          <w:rFonts w:ascii="Times New Roman" w:hAnsi="Times New Roman" w:cs="Times New Roman"/>
          <w:sz w:val="24"/>
          <w:szCs w:val="24"/>
          <w:lang w:val="sk-SK"/>
        </w:rPr>
      </w:pPr>
    </w:p>
    <w:p>
      <w:pPr>
        <w:tabs>
          <w:tab w:val="left" w:pos="0"/>
        </w:tabs>
        <w:ind w:firstLine="360"/>
        <w:jc w:val="both"/>
        <w:rPr>
          <w:rFonts w:ascii="Times New Roman" w:hAnsi="Times New Roman" w:cs="Times New Roman"/>
        </w:rPr>
      </w:pPr>
      <w:r>
        <w:rPr>
          <w:rFonts w:ascii="Times New Roman" w:hAnsi="Times New Roman" w:cs="Times New Roman"/>
        </w:rPr>
        <w:tab/>
        <w:t xml:space="preserve">§ 143k v súlade s čl. 11 smernice č. 2002/87/ES upravuje právomoci úradu pri výkone doplňujúceho dohľadu nad finančným konglomerátom, ktorý v zmysle § 143c podlieha jeho dohĺadu. Úlohou úradu je najmä výkon funkcie koordinátora  zhromažďovania a rozširovania informácií potrebných na sledovanie činnosti finančného konglomerátu a plánovanie a koordinovanie výkonu doplňujúceho dohľadu v spolupráci s NBS a s príslušnými orgánmi dohľadu iných štátov vykonávajúcimi dohľad nad regulovanými osobami tvoriacimi finančný konglomerát. </w:t>
      </w:r>
    </w:p>
    <w:p>
      <w:pPr>
        <w:pStyle w:val="BodyText"/>
        <w:tabs>
          <w:tab w:val="left" w:pos="-1418"/>
          <w:tab w:val="left" w:pos="0"/>
        </w:tabs>
        <w:ind w:firstLine="360"/>
        <w:jc w:val="both"/>
        <w:rPr>
          <w:rFonts w:ascii="Times New Roman" w:hAnsi="Times New Roman" w:cs="Times New Roman"/>
          <w:sz w:val="24"/>
          <w:szCs w:val="24"/>
          <w:lang w:val="sk-SK"/>
        </w:rPr>
      </w:pPr>
    </w:p>
    <w:p>
      <w:pPr>
        <w:pStyle w:val="BodyText"/>
        <w:tabs>
          <w:tab w:val="left" w:pos="-1418"/>
          <w:tab w:val="left" w:pos="0"/>
        </w:tabs>
        <w:ind w:firstLine="360"/>
        <w:jc w:val="both"/>
        <w:rPr>
          <w:rFonts w:ascii="Times New Roman" w:hAnsi="Times New Roman" w:cs="Times New Roman"/>
          <w:sz w:val="24"/>
          <w:szCs w:val="24"/>
          <w:lang w:val="sk-SK"/>
        </w:rPr>
      </w:pPr>
      <w:r>
        <w:rPr>
          <w:rFonts w:ascii="Times New Roman" w:hAnsi="Times New Roman" w:cs="Times New Roman"/>
          <w:sz w:val="24"/>
          <w:szCs w:val="24"/>
          <w:lang w:val="sk-SK"/>
        </w:rPr>
        <w:tab/>
        <w:t>§ 143l v súlade s čl. 12 smernice č. 2002/87/ES upravuje rozsah spolupráce úradu,  NBS a s a príslušných orgánov dohľadu členských štátov, vrátane rozsahu výmeny informácií potrebných na výkon doplňujúceho dohľadu.  Ustanovenie ukladá povinnosť úradu spolupracovať pri výkone doplňujúceho dohľadu s NBS a spríslušnými dohliadacími orgánmi členských štátov, a to aj v situácii, ak plnia funkciu koordinátorov voči iným finančným konglomerátom, než sú tie, voči ktorým je koordinátorom úrad a poskytovať si potrebné informácie. Spolupráca pozostáva nielen z výmeny určených informácií potrebných pre výkon tohto doplňujúceho dohľadu ale aj povinnosti prerokovať pripravované rozhodnutia o nadobudnutí podielu na základnom imaní regulovaných osôb a rozhodnutia o udelení sankcií.</w:t>
      </w:r>
    </w:p>
    <w:p>
      <w:pPr>
        <w:pStyle w:val="BodyText"/>
        <w:tabs>
          <w:tab w:val="left" w:pos="-1418"/>
        </w:tabs>
        <w:jc w:val="both"/>
        <w:rPr>
          <w:rFonts w:ascii="Times New Roman" w:hAnsi="Times New Roman" w:cs="Times New Roman"/>
          <w:sz w:val="24"/>
          <w:szCs w:val="24"/>
          <w:lang w:val="sk-SK"/>
        </w:rPr>
      </w:pPr>
    </w:p>
    <w:p>
      <w:pPr>
        <w:jc w:val="both"/>
        <w:rPr>
          <w:rFonts w:ascii="Times New Roman" w:hAnsi="Times New Roman" w:cs="Times New Roman"/>
        </w:rPr>
      </w:pPr>
      <w:r>
        <w:rPr>
          <w:rFonts w:ascii="Times New Roman" w:hAnsi="Times New Roman" w:cs="Times New Roman"/>
        </w:rPr>
        <w:tab/>
        <w:t>§ 143m v súlade s čl. 14 smernice č. 2002/87/ES ustanovuje povinnosť členom finančného konglomerátu - bez ohľadu na to, či sú regulovanými osobami v zmysle § 143b písm. e) - poskytovať si navzájom informácie potrebné na plnenie povinností podľa tohto zákona a úradu na účely doplňujúceho dohľadu. Rozsah týchto informácií je určený ustanoveniami § 143g až § 143j.</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 143n v súlade s čl. 15 smernice č. 2002/87/ES ustanovuje postup v prípade, ak bol úrad požiadaný príslušným orgánom dohľadu členského štátu o preverenie  informácie potrebnej na výkon doplňujúceho dohľadu o osobách so sídlom v Slovenskej republike  alebo preverí tieto informácie prostredníctvom povereným osôb. Príslušným orgán dohľadu členského štátu môže toto preverovanie vykonať aj samostatne úradom  alebo prostredníctvom poverených osôb. Recipročne môže úrad požiadať príslušný orgán dohľadu členského štátu o preverenie  informácie potrebnej na výkon doplňujúceho dohľadu o osobách so sídlom v členskom štáte alebo takéto preverenie aj sám vykonať.  </w:t>
      </w:r>
    </w:p>
    <w:p>
      <w:pPr>
        <w:pStyle w:val="BodyText"/>
        <w:tabs>
          <w:tab w:val="left" w:pos="-1418"/>
        </w:tabs>
        <w:jc w:val="both"/>
        <w:rPr>
          <w:rFonts w:ascii="Times New Roman" w:hAnsi="Times New Roman" w:cs="Times New Roman"/>
          <w:sz w:val="24"/>
          <w:szCs w:val="24"/>
          <w:lang w:val="sk-SK"/>
        </w:rPr>
      </w:pPr>
    </w:p>
    <w:p>
      <w:pPr>
        <w:pStyle w:val="BodyTextIndent"/>
        <w:rPr>
          <w:rFonts w:ascii="Times New Roman" w:hAnsi="Times New Roman" w:cs="Times New Roman"/>
        </w:rPr>
      </w:pPr>
      <w:r>
        <w:rPr>
          <w:rFonts w:ascii="Times New Roman" w:hAnsi="Times New Roman" w:cs="Times New Roman"/>
        </w:rPr>
        <w:tab/>
        <w:t xml:space="preserve">§ 143o ustanovuje podrobnosti o poskytovaní údajov, správ a hlásení o kapitálovej primeranosti, koncentrácií rizík a vnútroskupinových transakciách. Údajov, správy a hlásenia musia byť zrozumiteľné, prehľadné, preukazné, musia poskytovať pravdivý obraz o hlásených skutočnostiach a musia byť predložené včas. Obsah, formu, členenie, termíny, spôsob a miesto predkladania týchto údajov, správ a hlásení ustanoví vyhláška MF SR. Úrad je oprávnený ak vzniknú dôvodné pochybnosti o správnosti alebo úplnosti predložených správ alebo  údajov vyžiadať si doplňujúce podklady a vysvetlenie v určenej lehote.  Úprava povinnosti zmiešanej finančnej spoločnosti, ktorá má vo finančnom konglomeráte postavenie upravené v § 143c, týkajúcej sa vypracúvania a poskytovania určených výkazov, hlásení a iných správ úradu slúži na zabezpečenie toku informácií potrebných pre úrad pri výkone doplňujúceho dohľadu.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bCs/>
        </w:rPr>
        <w:t>K bodu 103</w:t>
      </w:r>
    </w:p>
    <w:p>
      <w:pPr>
        <w:jc w:val="both"/>
        <w:rPr>
          <w:rFonts w:ascii="Times New Roman" w:hAnsi="Times New Roman" w:cs="Times New Roman"/>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bCs/>
        </w:rPr>
        <w:t>K bodu 104</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 záujme posilnenia právnej istoty dohliadaných subjektov sa upresňujú sa podmienky ukladania peňažných sankcií Úradom pre finančný trh, ako aj interval, z ktorého môže byť  uložená pokuta. </w:t>
      </w:r>
    </w:p>
    <w:p>
      <w:pPr>
        <w:jc w:val="both"/>
        <w:rPr>
          <w:rFonts w:ascii="Times New Roman" w:hAnsi="Times New Roman" w:cs="Times New Roman"/>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105 až 107</w:t>
      </w:r>
    </w:p>
    <w:p>
      <w:pPr>
        <w:pStyle w:val="BodyText"/>
        <w:tabs>
          <w:tab w:val="left" w:pos="-1418"/>
        </w:tabs>
        <w:jc w:val="both"/>
        <w:rPr>
          <w:rFonts w:ascii="Times New Roman" w:hAnsi="Times New Roman" w:cs="Times New Roman"/>
          <w:sz w:val="24"/>
          <w:szCs w:val="24"/>
          <w:lang w:val="sk-SK"/>
        </w:rPr>
      </w:pPr>
    </w:p>
    <w:p>
      <w:pPr>
        <w:tabs>
          <w:tab w:val="left" w:pos="426"/>
        </w:tabs>
        <w:jc w:val="both"/>
        <w:rPr>
          <w:rFonts w:ascii="Times New Roman" w:hAnsi="Times New Roman" w:cs="Times New Roman"/>
        </w:rPr>
      </w:pPr>
      <w:r>
        <w:rPr>
          <w:rFonts w:ascii="Times New Roman" w:hAnsi="Times New Roman" w:cs="Times New Roman"/>
        </w:rPr>
        <w:tab/>
        <w:t>Rozširuje sa okruh sankcií, ktorý je úrad oprávnený uložiť.  Najmä sa  rozširujú sa právomoci úradu pre finančný trh pri postihovaní  nelegálnych praktík na finančnom trhu, najmä nedovolené podnikania a zneužívanie dôverných informácií (insider trading). Okrem doterajšej právomoci (a povinnosti) oznámiť takéto konanie orgánom činným v trestnom konaní by mal úrad získať oprávnenie udeliť za takéto praktiky narúšajúce stabilitu finančného trhu pokutu, prípadne opatrenie na nápravu spočívajúce v zákaze nepovolenej činnosti.  V súlade s čl. 17 smernice č. 2002/87/ES sa v odseku 7 rozširuje okruh sankcií, ktoré môže úrad udeliť aj o sankcie voči štatutárom a manažérom zmiešanej finančnej holdingovej spoločnosti za účelom vynútiteľnosti splnenia niektorých povinností súvisiacich s výkonom doplňujúceho dohľadu.</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108</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Nakoľko regulácie EÚ  sú priamo platné a záväzné pre členské štáty (viď aj bod 85) je potrebné doplniť medzi právne predpisy, ktorých nedodržiavanie je úrad oprávnený sankcionovať, aj  právne  záväzné  akty Európskych spoločenstiev  a   Európskej  únie, ktoré majú v zmysle § 7 ústavy SR prednosť pred zákonmi SR.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109</w:t>
      </w:r>
    </w:p>
    <w:p>
      <w:pPr>
        <w:pStyle w:val="BodyText"/>
        <w:tabs>
          <w:tab w:val="left" w:pos="-1418"/>
        </w:tabs>
        <w:jc w:val="both"/>
        <w:rPr>
          <w:rFonts w:ascii="Times New Roman" w:hAnsi="Times New Roman" w:cs="Times New Roman"/>
          <w:sz w:val="24"/>
          <w:szCs w:val="24"/>
          <w:lang w:val="sk-SK"/>
        </w:rPr>
      </w:pPr>
    </w:p>
    <w:p>
      <w:pPr>
        <w:ind w:firstLine="708"/>
        <w:jc w:val="both"/>
        <w:rPr>
          <w:rFonts w:ascii="Times New Roman" w:hAnsi="Times New Roman" w:cs="Times New Roman"/>
        </w:rPr>
      </w:pPr>
      <w:r>
        <w:rPr>
          <w:rFonts w:ascii="Times New Roman" w:hAnsi="Times New Roman" w:cs="Times New Roman"/>
        </w:rPr>
        <w:t xml:space="preserve">Rovnako ako v prípade výkonu dohľadu na individuálnom základe sa aj v prípade dohľadu na konsolidovanej báze upresňujú sa podmienky ukladania peňažných sankcií dohliadaným subjektom, ako aj interval, z ktorého môže byť  uložená pokuta.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110</w:t>
      </w:r>
    </w:p>
    <w:p>
      <w:pPr>
        <w:pStyle w:val="BodyText"/>
        <w:tabs>
          <w:tab w:val="left" w:pos="-1418"/>
        </w:tabs>
        <w:jc w:val="both"/>
        <w:rPr>
          <w:rFonts w:ascii="Times New Roman" w:hAnsi="Times New Roman" w:cs="Times New Roman"/>
          <w:sz w:val="24"/>
          <w:szCs w:val="24"/>
          <w:lang w:val="sk-SK"/>
        </w:rPr>
      </w:pPr>
    </w:p>
    <w:p>
      <w:pPr>
        <w:pStyle w:val="BodyTextIndent"/>
        <w:rPr>
          <w:rFonts w:ascii="Times New Roman" w:hAnsi="Times New Roman" w:cs="Times New Roman"/>
        </w:rPr>
      </w:pPr>
      <w:r>
        <w:rPr>
          <w:rFonts w:ascii="Times New Roman" w:hAnsi="Times New Roman" w:cs="Times New Roman"/>
        </w:rPr>
        <w:tab/>
        <w:t xml:space="preserve">V súlade s čl. 17 smernice č. 2002/87/ES sa rozširuje okruh sankcií, ktoré môže úrad udeliť aj o sankcie voči zmiešanej finančnej holdingovej spoločnosti a iným osobám zahrnutým do finančného konglomerátu, nad ktorým Úrad pre finančný trh vykonáva dohľad.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111</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Zjednocuje sa  príslušná lehota pre podanie príkazu na registráciu práva na pozastavenie práva nakladať s emisiou cenných papierov obchodníka s cennými papiermi pred konaním valného zhromaždenia s úpravou platnou pre ostatné finančné inštitúcie (päť pracovných dní).</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112 až 114 </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Legislatívno – technické úpravy. Odstránenie zrejmých nepresností v úprave činnosti núteného správcu obchodníka s cennými papiermi resp. jeho zástupcu.</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115</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Na základe skúseností pri výkone dohľadu sa udeľuje Úradu pre finančný trh právomoc odňať obchodníkovi s cennými papiermi alebo zahraničnému obchodníkovi s cennými papiermi povolenie, ak maria výkon dohľadu (napríklad opakovaným nepredložením požadovaných dokladov a informácií, ak sa v prípade kontroly nenachádza v sídle alebo nepreberá zásielky ú</w:t>
      </w:r>
      <w:r>
        <w:rPr>
          <w:rFonts w:ascii="Times New Roman" w:hAnsi="Times New Roman" w:cs="Times New Roman"/>
          <w:sz w:val="24"/>
          <w:szCs w:val="24"/>
          <w:lang w:val="sk-SK"/>
        </w:rPr>
        <w:t xml:space="preserve">radu).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116</w:t>
      </w:r>
    </w:p>
    <w:p>
      <w:pPr>
        <w:pStyle w:val="BodyTextIndent"/>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Dopĺňa sa transpozičný odkaz a príloha k zákonu (bod 121) obsahujúca  zoznam preberaných smerníc a to tak prebratých pôvodným zákonom č.566/2001Z.z., ako aj touto novelou (smernice č.2002/87/ES a 2003/6/ES).</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117</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V záujme zjednotenia úpravy konania s ďalšími predpismi v oblasti finančného trhu, najmä so zákonom č.96/2002 Z.z. o dohľade nad finančným trhom sa upravuje ustanovenie o konaní podľa zákona o cenných papieroch.  Zákonom č.96/2002 Z.z. o dohľade nad finančným trhom upravuje konanie pred Úradom pre finančný trh a vylučuje použitie správneho poriadku.</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118</w:t>
      </w:r>
    </w:p>
    <w:p>
      <w:pPr>
        <w:pStyle w:val="BodyText"/>
        <w:tabs>
          <w:tab w:val="left" w:pos="-1418"/>
        </w:tabs>
        <w:ind w:firstLine="567"/>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technické úpravy v záujme odstránenia možných výkladových problémov charakteru  účtov majiteľov cenných papierov, ktoré viedlo SCP SR pred jeho transformáciou na centrálny depozitár. Túto evidenciu je potrebné naďalej pokladať za evidenciu zaknihovanýh cenných papierov podľa § 99 ods. 3 tohto zákona.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119</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Na základe poznatkov získaných pri výkone dohľadu je potrebné zamedziť obchádzaniu ustanovenia § 170 o zrušení obchodovateľnosti emisií  cenných papierov na burze cenných papierov napr. zámernou premenou podoby akcií zo zaknihovanej na listinnú. Tieto praktiky slúžia na obchádzanie povinnosti emitenta vyhlásiť povinnú ponuku na pr</w:t>
      </w:r>
      <w:r>
        <w:rPr>
          <w:rFonts w:ascii="Times New Roman" w:hAnsi="Times New Roman" w:cs="Times New Roman"/>
          <w:sz w:val="24"/>
          <w:szCs w:val="24"/>
          <w:lang w:val="sk-SK"/>
        </w:rPr>
        <w:t xml:space="preserve">evzatie (odkúpenie od minoritných akcionárov) v prípade stiahnutia akcií z trhu.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p>
    <w:p>
      <w:pPr>
        <w:pStyle w:val="a"/>
        <w:tabs>
          <w:tab w:val="left" w:pos="426"/>
        </w:tabs>
        <w:spacing w:before="0" w:after="0" w:line="240" w:lineRule="auto"/>
        <w:rPr>
          <w:rFonts w:ascii="Times New Roman" w:hAnsi="Times New Roman" w:cs="Times New Roman"/>
          <w:b/>
          <w:bCs/>
          <w:lang w:val="sk-SK"/>
        </w:rPr>
      </w:pPr>
      <w:r>
        <w:rPr>
          <w:rFonts w:ascii="Times New Roman" w:hAnsi="Times New Roman" w:cs="Times New Roman"/>
          <w:b/>
          <w:bCs/>
          <w:lang w:val="sk-SK"/>
        </w:rPr>
        <w:t>K bodu 120</w:t>
      </w:r>
    </w:p>
    <w:p>
      <w:pPr>
        <w:pStyle w:val="a"/>
        <w:tabs>
          <w:tab w:val="left" w:pos="426"/>
        </w:tabs>
        <w:spacing w:before="0" w:after="0" w:line="240" w:lineRule="auto"/>
        <w:rPr>
          <w:rFonts w:ascii="Times New Roman" w:hAnsi="Times New Roman" w:cs="Times New Roman"/>
          <w:lang w:val="sk-SK"/>
        </w:rPr>
      </w:pPr>
    </w:p>
    <w:p>
      <w:pPr>
        <w:pStyle w:val="a"/>
        <w:tabs>
          <w:tab w:val="left" w:pos="426"/>
        </w:tabs>
        <w:spacing w:before="0" w:after="0" w:line="240" w:lineRule="auto"/>
        <w:rPr>
          <w:rFonts w:ascii="Times New Roman" w:hAnsi="Times New Roman" w:cs="Times New Roman"/>
          <w:lang w:val="sk-SK"/>
        </w:rPr>
      </w:pPr>
      <w:r>
        <w:rPr>
          <w:rFonts w:ascii="Times New Roman" w:hAnsi="Times New Roman" w:cs="Times New Roman"/>
          <w:lang w:val="sk-SK"/>
        </w:rPr>
        <w:tab/>
        <w:t xml:space="preserve">V záujme jednoznačnosti výkladu zákona upravuje v rámci prechodných ustanovení, kedy a za ktoré účtovné obdobie sa začne vykonávať doplňujúci dohľad a úprava vo vzťahu k záložným právam k cenným papierom, ktoré vznikli před nadobudnutím účinnosti a na ktoré sa vzťahuje nová úprava podľa § 53.  </w:t>
      </w:r>
    </w:p>
    <w:p>
      <w:pPr>
        <w:pStyle w:val="a"/>
        <w:tabs>
          <w:tab w:val="left" w:pos="426"/>
        </w:tabs>
        <w:spacing w:before="0" w:after="0" w:line="240" w:lineRule="auto"/>
        <w:rPr>
          <w:rFonts w:ascii="Times New Roman" w:hAnsi="Times New Roman" w:cs="Times New Roman"/>
          <w:lang w:val="sk-SK"/>
        </w:rPr>
      </w:pPr>
    </w:p>
    <w:p>
      <w:pPr>
        <w:pStyle w:val="a"/>
        <w:tabs>
          <w:tab w:val="left" w:pos="426"/>
        </w:tabs>
        <w:spacing w:before="0" w:after="0" w:line="240" w:lineRule="auto"/>
        <w:rPr>
          <w:rFonts w:ascii="Times New Roman" w:hAnsi="Times New Roman" w:cs="Times New Roman"/>
          <w:b/>
          <w:bCs/>
          <w:lang w:val="sk-SK"/>
        </w:rPr>
      </w:pPr>
      <w:r>
        <w:rPr>
          <w:rFonts w:ascii="Times New Roman" w:hAnsi="Times New Roman" w:cs="Times New Roman"/>
          <w:b/>
          <w:bCs/>
          <w:lang w:val="sk-SK"/>
        </w:rPr>
        <w:t>K bodu 121</w:t>
      </w:r>
    </w:p>
    <w:p>
      <w:pPr>
        <w:pStyle w:val="a"/>
        <w:tabs>
          <w:tab w:val="left" w:pos="426"/>
        </w:tabs>
        <w:spacing w:before="0" w:after="0" w:line="240" w:lineRule="auto"/>
        <w:rPr>
          <w:rFonts w:ascii="Times New Roman" w:hAnsi="Times New Roman" w:cs="Times New Roman"/>
          <w:lang w:val="sk-SK"/>
        </w:rPr>
      </w:pPr>
    </w:p>
    <w:p>
      <w:pPr>
        <w:pStyle w:val="a"/>
        <w:tabs>
          <w:tab w:val="left" w:pos="426"/>
        </w:tabs>
        <w:spacing w:before="0" w:after="0" w:line="240" w:lineRule="auto"/>
        <w:rPr>
          <w:rFonts w:ascii="Times New Roman" w:hAnsi="Times New Roman" w:cs="Times New Roman"/>
          <w:lang w:val="sk-SK"/>
        </w:rPr>
      </w:pPr>
      <w:r>
        <w:rPr>
          <w:rFonts w:ascii="Times New Roman" w:hAnsi="Times New Roman" w:cs="Times New Roman"/>
          <w:lang w:val="sk-SK"/>
        </w:rPr>
        <w:t xml:space="preserve">        Dopĺňa sa príloha k zákonu obsahujúca  zoznam preberaných smerníc</w:t>
      </w:r>
    </w:p>
    <w:p>
      <w:pPr>
        <w:pStyle w:val="a"/>
        <w:tabs>
          <w:tab w:val="left" w:pos="426"/>
        </w:tabs>
        <w:spacing w:before="0" w:after="0" w:line="240" w:lineRule="auto"/>
        <w:rPr>
          <w:rFonts w:ascii="Times New Roman" w:hAnsi="Times New Roman" w:cs="Times New Roman"/>
          <w:lang w:val="sk-SK"/>
        </w:rPr>
      </w:pPr>
    </w:p>
    <w:p>
      <w:pPr>
        <w:pStyle w:val="a"/>
        <w:tabs>
          <w:tab w:val="left" w:pos="426"/>
        </w:tabs>
        <w:spacing w:before="0" w:after="0" w:line="240" w:lineRule="auto"/>
        <w:rPr>
          <w:rFonts w:ascii="Times New Roman" w:hAnsi="Times New Roman" w:cs="Times New Roman"/>
          <w:lang w:val="sk-SK"/>
        </w:rPr>
      </w:pPr>
    </w:p>
    <w:p>
      <w:pPr>
        <w:pStyle w:val="Heading2"/>
        <w:rPr>
          <w:rFonts w:ascii="Times New Roman" w:hAnsi="Times New Roman" w:cs="Times New Roman"/>
          <w:i w:val="0"/>
          <w:iCs w:val="0"/>
          <w:u w:val="single"/>
        </w:rPr>
      </w:pPr>
      <w:r>
        <w:rPr>
          <w:rFonts w:ascii="Times New Roman" w:hAnsi="Times New Roman" w:cs="Times New Roman"/>
          <w:i w:val="0"/>
          <w:iCs w:val="0"/>
          <w:u w:val="single"/>
        </w:rPr>
        <w:t>K Čl. II</w:t>
      </w: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1 až 3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Doplnenie novej podmienky na udelenie povolenia na vznik a činnosť správcovskej spoločnosti o vhodnosť a odbornú spôsobilosť osôb riadicich zmiešanú finančnú spoločnosť, ktorá kontroluje finančný konglomerát, ktorého súčasťou je aj správcovská spoločnosť si vyžiadal čl. 13 a 30 direktívy č.2002/87/ES. S tým súvisí aj  doplnenie ustanovenia o to, čo sa rozumie odbornou spôsobilosťou osôb riadiacich finančnú holdingovú inštitúciu alebo zmiešanú finančnú holdingovú spoločnosť, </w:t>
      </w:r>
      <w:r>
        <w:rPr>
          <w:rFonts w:ascii="Times New Roman" w:hAnsi="Times New Roman" w:cs="Times New Roman"/>
          <w:color w:val="auto"/>
          <w:sz w:val="24"/>
          <w:szCs w:val="24"/>
          <w:lang w:val="sk-SK"/>
        </w:rPr>
        <w:t>ako aj vymedzenie vhodnosti akcion</w:t>
      </w:r>
      <w:r>
        <w:rPr>
          <w:rFonts w:ascii="Times New Roman" w:hAnsi="Times New Roman" w:cs="Times New Roman"/>
          <w:color w:val="auto"/>
          <w:sz w:val="24"/>
          <w:szCs w:val="24"/>
          <w:lang w:val="sk-SK"/>
        </w:rPr>
        <w:t xml:space="preserve">árov </w:t>
      </w:r>
      <w:r>
        <w:rPr>
          <w:rFonts w:ascii="Times New Roman" w:hAnsi="Times New Roman" w:cs="Times New Roman"/>
          <w:sz w:val="24"/>
          <w:szCs w:val="24"/>
          <w:lang w:val="sk-SK"/>
        </w:rPr>
        <w:t xml:space="preserve">kontrolujúcich finančnú holdingovú inštitúciu alebo zmiešanú finančnú holdingovú spoločnosť.  </w:t>
      </w:r>
    </w:p>
    <w:p>
      <w:pPr>
        <w:pStyle w:val="BodyText"/>
        <w:tabs>
          <w:tab w:val="left" w:pos="-1418"/>
        </w:tabs>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4 a 5</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súlade s čl. 27 a 30 direktívy č.2002/87/ES sa rozširuje povinnosť Úradu pre finančný trh vykonať konzultácie s príslušnými orgánmi členských štátov pri udeľovaní povolenia na poskytovanie investičných služieb (a subsidiárne podľa smernice č.85/611/ES aj na vznik a činnosť správcovskej spoločnosti).  Ide najmä o situácie, ak by mala byť budúca správcovská spoločnosť majetkovo prepojená s finančnými inštitúciami z členských štátov EÚ)Novým odsekom 2 sa dopĺňa sa aj rozsah týchto konzultácií, ktorý však v zmysle direktívy č.2002/87/ES nie je vyčerpávajúci.  </w:t>
      </w: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pPr>
        <w:pStyle w:val="BodyText"/>
        <w:tabs>
          <w:tab w:val="left" w:pos="-1418"/>
        </w:tabs>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6 a 7</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Úpravu postupov pri predchádzajúcom súhlase na nadobudnutie kvalifikovaných podielov na správcovskej spoločnosti  si vyžiadal čl. 27 a 30 direktívy č.2002/87/ES rovnako jako aj v prípade obchodníkov s cennými papiermi.</w:t>
      </w: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8</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technická úprava. Ustanovenie sa má rovnako jako ďalšie ustanovenia § 21 vzťahovať tak na klienta správcovskej spoločnosti jako aj investora do podielových fondov. </w:t>
      </w:r>
    </w:p>
    <w:p>
      <w:pPr>
        <w:pStyle w:val="Heading2"/>
        <w:rPr>
          <w:rFonts w:ascii="Times New Roman" w:hAnsi="Times New Roman" w:cs="Times New Roman"/>
          <w:b w:val="0"/>
          <w:bCs w:val="0"/>
          <w:i w:val="0"/>
          <w:iCs w:val="0"/>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9</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 nadväznosti na odporúčanie orgánov dohľadu sa ustanovuje oprávnenie úradu podmieniť použitie </w:t>
      </w:r>
      <w:r>
        <w:rPr>
          <w:rFonts w:ascii="Times New Roman" w:hAnsi="Times New Roman" w:cs="Times New Roman"/>
          <w:bCs/>
        </w:rPr>
        <w:t xml:space="preserve">vlastných modelov  na sledovanie rizík súhlasom  Úradu pre finančný trh. </w:t>
      </w:r>
      <w:r>
        <w:rPr>
          <w:rFonts w:ascii="Times New Roman" w:hAnsi="Times New Roman" w:cs="Times New Roman"/>
        </w:rPr>
        <w:t xml:space="preserve">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10 </w:t>
      </w:r>
    </w:p>
    <w:p>
      <w:pPr>
        <w:pStyle w:val="BodyText"/>
        <w:jc w:val="both"/>
        <w:rPr>
          <w:rFonts w:ascii="Times New Roman" w:hAnsi="Times New Roman" w:cs="Times New Roman"/>
          <w:b/>
          <w:bCs/>
          <w:sz w:val="24"/>
          <w:szCs w:val="24"/>
          <w:lang w:val="sk-SK"/>
        </w:rPr>
      </w:pPr>
    </w:p>
    <w:p>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Navrhovanou zmenou sa umožňuje správcovskej spoločnosti vytvoriť podielový fond, ktorého celé zhodnotenie sa prejavuje v nárastu kurzu podielu, t.j. rozširuje sa spektrum možných spôsobov vyplatenia výnosov z majetku v podielovom fonde podielnikom.  Doteraz mala správcovská spoločnosť možnosť vyplatiť podielnikom celý výnos alebo realizovať ho vydaním nových podielových listov podielnikom. </w:t>
      </w:r>
    </w:p>
    <w:p>
      <w:pPr>
        <w:jc w:val="both"/>
        <w:rPr>
          <w:rFonts w:ascii="Times New Roman" w:hAnsi="Times New Roman" w:cs="Times New Roman"/>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11 </w:t>
      </w:r>
    </w:p>
    <w:p>
      <w:pPr>
        <w:pStyle w:val="BodyText"/>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Legislatívno – technická úprava. Odstránenie zrejmej nepresnosti v odkaze na číslo prílohy (§ 90 ods. 3) . </w:t>
      </w: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12 </w:t>
      </w:r>
    </w:p>
    <w:p>
      <w:pPr>
        <w:pStyle w:val="BodyText"/>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súlade s čl. 30 direktívy č.2002/87/ES sa správcovské spoločnosti zaraďujú do dohľadu na konsolidovanom základe a do doplňujúceho dohľadu nad finančnými konglomerátmi. Nakoľko EÚ zatiaľ neharmonizovala pravidlá pre výkon takého dohľadu   nad právcovskými spoločnosťami, ide o dočasnú úpravu až do vydania príslušnej legislatívy EÚ  v tejto oblasti, ktorá sa predpokladá v období do štyroch rokov. Preto aj čl. 30 direktívy č.2002/87/ES  predpokladá takúto úpravu za dočasné riešenie. Z uvedeného dôvodu nie je  opodstatnené prebrať celú úpravu dohľadu na konsolidovanom základe a doplňujúceho dohľadu do tohto zákona ale tak ako žiada čl. 30, upraviť túto problematiku odkazom na príslušné sektorové predpisy, ktoré zvolia členské štáty. Vzhľadom na skutočnosť, že správcovské spoločnosti podliehajú dohľadu úradu, boli zaradené na účely  dohľadu na konsolidovanom základe a doplňujúceho dohľadu  v rovnakom rozsahu ako nad obchodníkom s cennými papiermi a do sektoru investičných služieb. . </w:t>
      </w: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13 </w:t>
      </w:r>
    </w:p>
    <w:p>
      <w:pP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Legislatívno – technická úprava. Splnomocňovacie ustanovenie je nadbytočné, nakoľko je duplicitné s ustanovením § 116 ods. 2písm. c). </w:t>
      </w:r>
    </w:p>
    <w:p>
      <w:pPr>
        <w:rPr>
          <w:rFonts w:ascii="Times New Roman" w:hAnsi="Times New Roman" w:cs="Times New Roman"/>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14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sz w:val="24"/>
          <w:szCs w:val="24"/>
          <w:lang w:val="sk-SK"/>
        </w:rPr>
      </w:pPr>
      <w:r>
        <w:rPr>
          <w:rFonts w:ascii="Times New Roman" w:hAnsi="Times New Roman" w:cs="Times New Roman"/>
          <w:b/>
          <w:bCs/>
          <w:sz w:val="24"/>
          <w:szCs w:val="24"/>
          <w:lang w:val="sk-SK"/>
        </w:rPr>
        <w:tab/>
      </w:r>
      <w:r>
        <w:rPr>
          <w:rFonts w:ascii="Times New Roman" w:hAnsi="Times New Roman" w:cs="Times New Roman"/>
          <w:sz w:val="24"/>
          <w:szCs w:val="24"/>
          <w:lang w:val="sk-SK"/>
        </w:rPr>
        <w:t xml:space="preserve">Rozšírenie splnomocňovacieho ustanovenia na vydanie vyhlášky MF SR vzhľadom na navrhované zmeny v § 49. Ide o úpravu podmienok na posudzovanie vlastných modelov riadenia rizík při správe majetku v podielových fondoch.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15 </w:t>
      </w:r>
    </w:p>
    <w:p>
      <w:pPr>
        <w:pStyle w:val="BodyTextIndent"/>
        <w:ind w:firstLine="708"/>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Upravuje sa  transpozičný odkaz a príloha k zákonu  obsahujúca  zoznam preberaných smerníc o smernicu č.2002/87/ES.</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16 </w:t>
      </w:r>
    </w:p>
    <w:p>
      <w:pPr>
        <w:rPr>
          <w:rFonts w:ascii="Times New Roman" w:hAnsi="Times New Roman" w:cs="Times New Roman"/>
        </w:rPr>
      </w:pPr>
      <w:r>
        <w:rPr>
          <w:rFonts w:ascii="Times New Roman" w:hAnsi="Times New Roman" w:cs="Times New Roman"/>
        </w:rPr>
        <w:tab/>
      </w:r>
    </w:p>
    <w:p>
      <w:pPr>
        <w:pStyle w:val="a"/>
        <w:spacing w:before="0" w:after="0" w:line="240" w:lineRule="auto"/>
        <w:rPr>
          <w:rFonts w:ascii="Times New Roman" w:hAnsi="Times New Roman" w:cs="Times New Roman"/>
          <w:lang w:val="sk-SK" w:eastAsia="sk-SK"/>
        </w:rPr>
      </w:pPr>
      <w:r>
        <w:rPr>
          <w:rFonts w:ascii="Times New Roman" w:hAnsi="Times New Roman" w:cs="Times New Roman"/>
          <w:lang w:val="sk-SK" w:eastAsia="sk-SK"/>
        </w:rPr>
        <w:tab/>
        <w:t>Dopĺňa sa úprava prechodného obdobia vo vzťahu k európskym fondom (fondy spĺňajúce požiadavky direktívy 85/611/ES – UCITS), ktoré môžu mať v súlade s direktívou UCITS stanovené prechodné obdobie legislatívou dopmovského členského štátu na prispôsobenie, najmä pokiaľ ide o ich investičnú politiku resp. zostavenie zjednodušeného predajného prospektu. Ide o európske fondy vytvorené pred 13.2.2004, t.j. k dátumu kedy boli členské štáty povinné uviesť do súladu právne normy s pos</w:t>
      </w:r>
      <w:r>
        <w:rPr>
          <w:rFonts w:ascii="Times New Roman" w:hAnsi="Times New Roman" w:cs="Times New Roman"/>
          <w:lang w:val="sk-SK" w:eastAsia="sk-SK"/>
        </w:rPr>
        <w:t xml:space="preserve">lednými novelizáciami direktívy UCITS (107 a108/2001/ES).  </w:t>
      </w:r>
    </w:p>
    <w:p>
      <w:pPr>
        <w:rPr>
          <w:rFonts w:ascii="Times New Roman" w:hAnsi="Times New Roman" w:cs="Times New Roman"/>
        </w:rPr>
      </w:pPr>
    </w:p>
    <w:p>
      <w:pPr>
        <w:rPr>
          <w:rFonts w:ascii="Times New Roman" w:hAnsi="Times New Roman" w:cs="Times New Roman"/>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17 </w:t>
      </w:r>
    </w:p>
    <w:p>
      <w:pPr>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Upravuje sa  príloha k zákonu obsahujúca  zoznam preberaných smerníc o smernicu č.2002/87/ES.</w:t>
      </w:r>
    </w:p>
    <w:p>
      <w:pPr>
        <w:rPr>
          <w:rFonts w:ascii="Times New Roman" w:hAnsi="Times New Roman" w:cs="Times New Roman"/>
        </w:rPr>
      </w:pPr>
    </w:p>
    <w:p>
      <w:pPr>
        <w:rPr>
          <w:rFonts w:ascii="Times New Roman" w:hAnsi="Times New Roman" w:cs="Times New Roman"/>
        </w:rPr>
      </w:pPr>
    </w:p>
    <w:p>
      <w:pPr>
        <w:pStyle w:val="Heading2"/>
        <w:rPr>
          <w:rFonts w:ascii="Times New Roman" w:hAnsi="Times New Roman" w:cs="Times New Roman"/>
          <w:i w:val="0"/>
          <w:iCs w:val="0"/>
          <w:u w:val="single"/>
        </w:rPr>
      </w:pPr>
      <w:r>
        <w:rPr>
          <w:rFonts w:ascii="Times New Roman" w:hAnsi="Times New Roman" w:cs="Times New Roman"/>
          <w:i w:val="0"/>
          <w:iCs w:val="0"/>
          <w:u w:val="single"/>
        </w:rPr>
        <w:t>K Čl. III</w:t>
      </w:r>
    </w:p>
    <w:p>
      <w:pPr>
        <w:rPr>
          <w:rFonts w:ascii="Times New Roman" w:hAnsi="Times New Roman" w:cs="Times New Roman"/>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 </w:t>
      </w:r>
    </w:p>
    <w:p>
      <w:pPr>
        <w:rPr>
          <w:rFonts w:ascii="Times New Roman" w:hAnsi="Times New Roman" w:cs="Times New Roman"/>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K bodu 2</w:t>
      </w:r>
    </w:p>
    <w:p>
      <w:pPr>
        <w:ind w:firstLine="708"/>
        <w:jc w:val="both"/>
        <w:rPr>
          <w:rFonts w:ascii="Times New Roman" w:hAnsi="Times New Roman" w:cs="Times New Roman"/>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 dôvodu značného rozšírenia ustanovení súvisiacich s definíciou manipulácie s trhom bolo nutné vyňať túto úpravu z § 3 ods. 4 doterajšej úpravy v zákone č.429/2002 Z.z. o burze cenných papierov a upraviť ju v zákone o cenných papietoch, ktorý obsahuje všeobecnú úpravu ochrany investorov na finančnom trhu.   </w:t>
      </w:r>
    </w:p>
    <w:p>
      <w:pPr>
        <w:ind w:firstLine="708"/>
        <w:jc w:val="both"/>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K bodu 3</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Legislatívno – technická úprava súvisiaca s novým vymedzením poisťovní so sídlom v členskom štáte podľa zákona č..../2004 Z.z., ktorým sa novelizoval zákon č.95/2002 Z.z. o poisťovníctve.</w:t>
      </w:r>
    </w:p>
    <w:p>
      <w:pPr>
        <w:pStyle w:val="Footer"/>
        <w:tabs>
          <w:tab w:val="clear" w:pos="4536"/>
          <w:tab w:val="clear" w:pos="9072"/>
        </w:tabs>
        <w:rPr>
          <w:rFonts w:ascii="Times New Roman" w:hAnsi="Times New Roman" w:cs="Times New Roman"/>
        </w:rPr>
      </w:pPr>
    </w:p>
    <w:p>
      <w:pPr>
        <w:pStyle w:val="Footer"/>
        <w:tabs>
          <w:tab w:val="clear" w:pos="4536"/>
          <w:tab w:val="clear" w:pos="9072"/>
        </w:tabs>
        <w:rPr>
          <w:rFonts w:ascii="Times New Roman" w:hAnsi="Times New Roman" w:cs="Times New Roman"/>
        </w:rPr>
      </w:pPr>
    </w:p>
    <w:p>
      <w:pPr>
        <w:pStyle w:val="Footer"/>
        <w:tabs>
          <w:tab w:val="clear" w:pos="4536"/>
          <w:tab w:val="clear" w:pos="9072"/>
        </w:tabs>
        <w:rPr>
          <w:rFonts w:ascii="Times New Roman" w:hAnsi="Times New Roman" w:cs="Times New Roman"/>
        </w:rPr>
      </w:pPr>
    </w:p>
    <w:p>
      <w:pPr>
        <w:pStyle w:val="Footer"/>
        <w:tabs>
          <w:tab w:val="clear" w:pos="4536"/>
          <w:tab w:val="clear" w:pos="9072"/>
        </w:tabs>
        <w:rPr>
          <w:rFonts w:ascii="Times New Roman" w:hAnsi="Times New Roman" w:cs="Times New Roman"/>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4 a 5 </w:t>
      </w:r>
    </w:p>
    <w:p>
      <w:pPr>
        <w:pStyle w:val="Footer"/>
        <w:tabs>
          <w:tab w:val="clear" w:pos="4536"/>
          <w:tab w:val="clear" w:pos="9072"/>
        </w:tabs>
        <w:ind w:firstLine="708"/>
        <w:jc w:val="both"/>
        <w:rPr>
          <w:rFonts w:ascii="Times New Roman" w:hAnsi="Times New Roman" w:cs="Times New Roman"/>
        </w:rPr>
      </w:pPr>
    </w:p>
    <w:p>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 xml:space="preserve">Legislatívno – technická úprava súvisia s nahradením označenia pojmu „manipulácia kurzov cenných papierov a iných investičných nástrojov“ pojmom „manipulácia s trhom“. </w:t>
      </w:r>
    </w:p>
    <w:p>
      <w:pPr>
        <w:rPr>
          <w:rFonts w:ascii="Times New Roman" w:hAnsi="Times New Roman" w:cs="Times New Roman"/>
          <w:b/>
          <w:bCs/>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6 </w:t>
      </w:r>
    </w:p>
    <w:p>
      <w:pPr>
        <w:rPr>
          <w:rFonts w:ascii="Times New Roman" w:hAnsi="Times New Roman" w:cs="Times New Roman"/>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7 </w:t>
      </w:r>
    </w:p>
    <w:p>
      <w:pPr>
        <w:pStyle w:val="Footer"/>
        <w:tabs>
          <w:tab w:val="clear" w:pos="4536"/>
          <w:tab w:val="clear" w:pos="9072"/>
        </w:tabs>
        <w:ind w:firstLine="708"/>
        <w:jc w:val="both"/>
        <w:rPr>
          <w:rFonts w:ascii="Times New Roman" w:hAnsi="Times New Roman" w:cs="Times New Roman"/>
        </w:rPr>
      </w:pPr>
    </w:p>
    <w:p>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 xml:space="preserve">Legislatívno – technická úprava súvisia s nahradením označenia pojmu „manipulácia kurzov cenných papierov a iných investičných nástrojov“ pojmom „manipulácia s trhom“.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8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Úprava postupu pri schvaľovaní burzových pravidiel umožní v záujme flexibility postupov na finančnom trhu schvaľovať burzové pravidlá s odloženou účinnosťou niektorých ustanovení. Zároveň sa spresňuje, že ak Úrad pre finančný trh nevydá rozhodnutie do 30 dní odo dňa, keď mu bol doručený úplný návrh burzových pravidiel alebo ich zmien doručený, tak burzové pravidlá a ich zmeny sa automaticky považujú za schválené len za predpokladu, že </w:t>
      </w:r>
      <w:r>
        <w:rPr>
          <w:rFonts w:ascii="Times New Roman" w:hAnsi="Times New Roman" w:cs="Times New Roman"/>
          <w:bCs/>
          <w:sz w:val="24"/>
          <w:szCs w:val="24"/>
          <w:lang w:val="sk-SK"/>
        </w:rPr>
        <w:t>sú v súlade so všeobecne záväznými právnymi predpismi.</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9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V záujme odstránenia výkladových problémov, najmä vo vzťahu k členstvu zahraničných správcovských spoločností na burze cenných papierov sa upresňuje znenie  ustanovenia vymedzujúceho, aké osoby môžu byť členmi burzy  a aké podmienky musia byť splnené.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10 a 11</w:t>
      </w:r>
    </w:p>
    <w:p>
      <w:pPr>
        <w:pStyle w:val="Footer"/>
        <w:tabs>
          <w:tab w:val="clear" w:pos="4536"/>
          <w:tab w:val="clear" w:pos="9072"/>
        </w:tabs>
        <w:ind w:firstLine="708"/>
        <w:jc w:val="both"/>
        <w:rPr>
          <w:rFonts w:ascii="Times New Roman" w:hAnsi="Times New Roman" w:cs="Times New Roman"/>
        </w:rPr>
      </w:pPr>
    </w:p>
    <w:p>
      <w:pPr>
        <w:pStyle w:val="BodyText"/>
        <w:ind w:firstLine="708"/>
        <w:jc w:val="both"/>
        <w:rPr>
          <w:rFonts w:ascii="Times New Roman" w:hAnsi="Times New Roman" w:cs="Times New Roman"/>
          <w:sz w:val="24"/>
          <w:szCs w:val="24"/>
          <w:u w:val="single"/>
          <w:lang w:val="sk-SK"/>
        </w:rPr>
      </w:pPr>
      <w:r>
        <w:rPr>
          <w:rFonts w:ascii="Times New Roman" w:hAnsi="Times New Roman" w:cs="Times New Roman"/>
          <w:sz w:val="24"/>
          <w:szCs w:val="24"/>
          <w:lang w:val="sk-SK"/>
        </w:rPr>
        <w:t>Legislatívno – technické úpravy súvisia s presunom väčšiny ustanovení týkajúcich sa manipulácie s trhom do zákona o cenných papieroch.</w:t>
      </w:r>
    </w:p>
    <w:p>
      <w:pPr>
        <w:pStyle w:val="BodyText"/>
        <w:spacing w:line="240" w:lineRule="atLeast"/>
        <w:ind w:firstLine="708"/>
        <w:jc w:val="both"/>
        <w:rPr>
          <w:rFonts w:ascii="Times New Roman" w:hAnsi="Times New Roman" w:cs="Times New Roman"/>
          <w:sz w:val="24"/>
          <w:szCs w:val="24"/>
          <w:lang w:val="sk-SK"/>
        </w:rPr>
      </w:pPr>
    </w:p>
    <w:p>
      <w:pPr>
        <w:pStyle w:val="BodyText"/>
        <w:spacing w:line="240" w:lineRule="atLeas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Súčasne sa novým znením odseku 5 v súlade s  čl. 6 bod 6 smernice č.2003/6 ES o zneužívaní trhu zavádza  povinnosť burzy prijať opatrenia</w:t>
      </w:r>
      <w:r>
        <w:rPr>
          <w:rFonts w:ascii="Times New Roman" w:hAnsi="Times New Roman" w:cs="Times New Roman"/>
          <w:bCs/>
          <w:sz w:val="24"/>
          <w:szCs w:val="24"/>
          <w:lang w:val="sk-SK"/>
        </w:rPr>
        <w:t xml:space="preserve"> na zamed</w:t>
      </w:r>
      <w:r>
        <w:rPr>
          <w:rFonts w:ascii="Times New Roman" w:hAnsi="Times New Roman" w:cs="Times New Roman"/>
          <w:bCs/>
          <w:sz w:val="24"/>
          <w:szCs w:val="24"/>
          <w:lang w:val="sk-SK"/>
        </w:rPr>
        <w:t>zenie porušovania práv tretích osôb a</w:t>
      </w:r>
      <w:r>
        <w:rPr>
          <w:rFonts w:ascii="Times New Roman" w:hAnsi="Times New Roman" w:cs="Times New Roman"/>
          <w:sz w:val="24"/>
          <w:szCs w:val="24"/>
          <w:lang w:val="sk-SK"/>
        </w:rPr>
        <w:t xml:space="preserve"> opatrenia na prevenciu a odhaľovanie praktík manipulácie s trhom. Zároveň sa novým znením odseku 4 ustanovuje, že člen burzy je povinný jednak vykonanie pokynu, ktorého zjavným účelom je </w:t>
      </w:r>
      <w:r>
        <w:rPr>
          <w:rFonts w:ascii="Times New Roman" w:hAnsi="Times New Roman" w:cs="Times New Roman"/>
          <w:bCs/>
          <w:sz w:val="24"/>
          <w:szCs w:val="24"/>
          <w:lang w:val="sk-SK"/>
        </w:rPr>
        <w:t>porušenie práv tretej osoby ale</w:t>
      </w:r>
      <w:r>
        <w:rPr>
          <w:rFonts w:ascii="Times New Roman" w:hAnsi="Times New Roman" w:cs="Times New Roman"/>
          <w:bCs/>
          <w:sz w:val="24"/>
          <w:szCs w:val="24"/>
          <w:lang w:val="sk-SK"/>
        </w:rPr>
        <w:t>bo</w:t>
      </w:r>
      <w:r>
        <w:rPr>
          <w:rFonts w:ascii="Times New Roman" w:hAnsi="Times New Roman" w:cs="Times New Roman"/>
          <w:sz w:val="24"/>
          <w:szCs w:val="24"/>
          <w:lang w:val="sk-SK"/>
        </w:rPr>
        <w:t xml:space="preserve"> manipulácia s trhom, ale taktiež je povinný bez zbytočného odkladu oznámiť túto skutočnosť útvaru inšpekcie burzových obchodov</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12 </w:t>
      </w:r>
    </w:p>
    <w:p>
      <w:pPr>
        <w:pStyle w:val="BodyText"/>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b/>
          <w:bCs/>
          <w:sz w:val="24"/>
          <w:szCs w:val="24"/>
          <w:lang w:val="sk-SK"/>
        </w:rPr>
      </w:pPr>
      <w:r>
        <w:rPr>
          <w:rFonts w:ascii="Times New Roman" w:hAnsi="Times New Roman" w:cs="Times New Roman"/>
          <w:sz w:val="24"/>
          <w:szCs w:val="24"/>
          <w:lang w:val="sk-SK"/>
        </w:rPr>
        <w:t xml:space="preserve">Legislatívno – technická úprava súvisiaca so zmenou v § 29 (body 15 a 16). </w:t>
      </w: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13 </w:t>
      </w:r>
    </w:p>
    <w:p>
      <w:pPr>
        <w:pStyle w:val="BodyText"/>
        <w:jc w:val="both"/>
        <w:rPr>
          <w:rFonts w:ascii="Times New Roman" w:hAnsi="Times New Roman" w:cs="Times New Roman"/>
          <w:sz w:val="24"/>
          <w:szCs w:val="24"/>
          <w:u w:val="single"/>
          <w:lang w:val="sk-SK"/>
        </w:rPr>
      </w:pPr>
    </w:p>
    <w:p>
      <w:pPr>
        <w:pStyle w:val="BodyText"/>
        <w:ind w:firstLine="708"/>
        <w:jc w:val="both"/>
        <w:rPr>
          <w:rFonts w:ascii="Times New Roman" w:hAnsi="Times New Roman" w:cs="Times New Roman"/>
          <w:sz w:val="24"/>
          <w:szCs w:val="24"/>
          <w:u w:val="single"/>
          <w:lang w:val="sk-SK"/>
        </w:rPr>
      </w:pPr>
      <w:r>
        <w:rPr>
          <w:rFonts w:ascii="Times New Roman" w:hAnsi="Times New Roman" w:cs="Times New Roman"/>
          <w:sz w:val="24"/>
          <w:szCs w:val="24"/>
          <w:lang w:val="sk-SK"/>
        </w:rPr>
        <w:t>Upravuje sa postup v prípade schvaľovania  dodatku ku kótovaciemu prospektu, v prípade ak Úrad pre finančný trh schvaľoval  kótovací prospekt podľa § 29.</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14 </w:t>
      </w:r>
    </w:p>
    <w:p>
      <w:pPr>
        <w:rPr>
          <w:rFonts w:ascii="Times New Roman" w:hAnsi="Times New Roman" w:cs="Times New Roman"/>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technická úprava. Aktualizácia poznámky pod čiarou.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15 a 16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V záujme zvýšenia právnej istoty účastníkov konania o schválení kótovacieho prospektu sa upresňujú a dopĺňajú ustanovenia o konaní Úradu pre finančný trh v prípade schvaľovania  kótovacieho prospektu. Úrad pre finančný trh by mal pri schvaľovaní kótovacieho prospektu postupovať primerane podľa ustanovení ktoré upravujú konanie burzy pri schvaľovaní kótovacieho prospektu, vrátane postupov pri rozšírení alebo zúžení obsahu prospektu.</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17 až 19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Zjednodušuje sa a upresňuje postup prijímania cenných papierov, </w:t>
      </w:r>
      <w:r>
        <w:rPr>
          <w:rFonts w:ascii="Times New Roman" w:hAnsi="Times New Roman" w:cs="Times New Roman"/>
          <w:bCs/>
          <w:sz w:val="24"/>
          <w:lang w:val="sk-SK"/>
        </w:rPr>
        <w:t xml:space="preserve">na trh kótovaných cenných papierov burzy cenných papierov, ktoré sú už prijaté natrh  na inej burze so sídlom v členskom štáte.  </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20 až 23 </w:t>
      </w:r>
    </w:p>
    <w:p>
      <w:pPr>
        <w:pStyle w:val="Footer"/>
        <w:tabs>
          <w:tab w:val="clear" w:pos="4536"/>
          <w:tab w:val="clear" w:pos="9072"/>
        </w:tabs>
        <w:ind w:firstLine="708"/>
        <w:jc w:val="both"/>
        <w:rPr>
          <w:rFonts w:ascii="Times New Roman" w:hAnsi="Times New Roman" w:cs="Times New Roman"/>
        </w:rPr>
      </w:pPr>
    </w:p>
    <w:p>
      <w:pPr>
        <w:pStyle w:val="BodyText"/>
        <w:tabs>
          <w:tab w:val="left" w:pos="-1418"/>
        </w:tabs>
        <w:ind w:firstLine="56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Legislatívno – technické úpravy súvisia s nahradením označenia pojmu „manipulácia kurzov cenných papierov a iných investičných nástrojov“ pojmom „manipulácia s trhom“ Aktualizácie poznámok pod čiarou. </w:t>
      </w:r>
    </w:p>
    <w:p>
      <w:pPr>
        <w:rPr>
          <w:rFonts w:ascii="Times New Roman" w:hAnsi="Times New Roman" w:cs="Times New Roman"/>
          <w:b/>
          <w:bCs/>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24 </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Vzhľadom na  skutočnosť že sa rozširuje platnosť zákazov a povinností vzťahujúcich sa na manipulatívne konanie a zneužívanie trhu, je potrebné rozšíriť okruh osôb podliehajúcich dohľadu podľa zákona o burze cenných papierov a ktorým je možné ukladať príslušné sankcie.</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bodom 25 a 27</w:t>
      </w:r>
    </w:p>
    <w:p>
      <w:pPr>
        <w:pStyle w:val="BodyText"/>
        <w:jc w:val="both"/>
        <w:rPr>
          <w:rFonts w:ascii="Times New Roman" w:hAnsi="Times New Roman" w:cs="Times New Roman"/>
          <w:sz w:val="24"/>
          <w:szCs w:val="24"/>
          <w:u w:val="single"/>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Komisia EÚ v súlade s oprávnením podľa čl. 8 a 17 bod 2 direktívy č.2003/6 ES o zneužívaní trhu vydala  reguláciu č. 2273/2003/ES z 23.decembra 2003, ktorou sa upravili podmienky, za ktorých sú vylúčené spod manipulatívnych praktík programy spätného odkupu a stabilizácia finančných nástrojov. Odkaz na tieto podmienky je uvedený v § 3a odsek 4 návrhu zákona. Uvedená Regulácia je priamo platná a záväzná pre členské štáty.    </w:t>
      </w: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Z vyššie uvedených dôvodov je potrebné doplniť medzi právne predpisy, ktorých dodržiavanie je predmetom výkonu dohľadu aj  právne  záväzné  akty Európskych spoločenstiev  a   Európskej  únie, ktoré majú v zmysle § 7 ústavy SR prednosť pred zákonmi SR.  To sa vzťahuje aj na možnosť udeľovania sankcií.</w:t>
      </w: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sz w:val="24"/>
          <w:szCs w:val="24"/>
          <w:u w:val="single"/>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bodu 26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 xml:space="preserve">Na základe poznatkov získaných pri výkone dohľadu sa upresňuje, ktoré  vzťahy upravené burzovými pravidlami podliehajú dohľadu Úradu pre finančný trh .“.  </w:t>
      </w:r>
    </w:p>
    <w:p>
      <w:pPr>
        <w:rPr>
          <w:rFonts w:ascii="Times New Roman" w:hAnsi="Times New Roman" w:cs="Times New Roman"/>
        </w:rPr>
      </w:pPr>
    </w:p>
    <w:p>
      <w:pPr>
        <w:rPr>
          <w:rFonts w:ascii="Times New Roman" w:hAnsi="Times New Roman" w:cs="Times New Roman"/>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bodom 28 a 29 </w:t>
      </w:r>
    </w:p>
    <w:p>
      <w:pPr>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Dopĺňa sa  transpozičný odkaz apríloha k zákonu obsahujúca  zoznam preberaných smerníc a to tak prebratých pôvodným zákonom č.429/2002Z.z., ako aj touto novelou (najmä smernica č.2001/34/ES a 2003/6/ES).</w:t>
      </w:r>
    </w:p>
    <w:p>
      <w:pPr>
        <w:rPr>
          <w:rFonts w:ascii="Times New Roman" w:hAnsi="Times New Roman" w:cs="Times New Roman"/>
        </w:rPr>
      </w:pPr>
    </w:p>
    <w:p>
      <w:pPr>
        <w:rPr>
          <w:rFonts w:ascii="Times New Roman" w:hAnsi="Times New Roman" w:cs="Times New Roman"/>
        </w:rPr>
      </w:pPr>
    </w:p>
    <w:p>
      <w:pPr>
        <w:pStyle w:val="Heading2"/>
        <w:rPr>
          <w:rFonts w:ascii="Times New Roman" w:hAnsi="Times New Roman" w:cs="Times New Roman"/>
          <w:i w:val="0"/>
          <w:iCs w:val="0"/>
          <w:u w:val="single"/>
        </w:rPr>
      </w:pPr>
      <w:r>
        <w:rPr>
          <w:rFonts w:ascii="Times New Roman" w:hAnsi="Times New Roman" w:cs="Times New Roman"/>
          <w:i w:val="0"/>
          <w:iCs w:val="0"/>
          <w:u w:val="single"/>
        </w:rPr>
        <w:t>K Čl. IV</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K bodom 1 až 8</w:t>
        <w:tab/>
      </w:r>
    </w:p>
    <w:p>
      <w:pPr>
        <w:rPr>
          <w:rFonts w:ascii="Times New Roman" w:hAnsi="Times New Roman" w:cs="Times New Roman"/>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 V nadväznosti na navrhované zmeny v úprave záložných práv podľa zákona o cenných papieroch sa v nevyhnutnej miere upravujú všeobecné ustanovenia týkajúce sa  záložného práva k cenným papierom za účelom ich harmonizácie s direktívou č.2002/47/ES  o finančných zárukách ak peňažným prostriedkom na účtoch v bankách a vkladov na vkladných knižkách.   </w:t>
      </w:r>
    </w:p>
    <w:p>
      <w:pPr>
        <w:pStyle w:val="BodyText"/>
        <w:tabs>
          <w:tab w:val="left" w:pos="-1418"/>
        </w:tabs>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szCs w:val="24"/>
          <w:lang w:val="sk-SK"/>
        </w:rPr>
      </w:pPr>
      <w:r>
        <w:rPr>
          <w:rFonts w:ascii="Times New Roman" w:hAnsi="Times New Roman" w:cs="Times New Roman"/>
          <w:sz w:val="24"/>
          <w:szCs w:val="24"/>
          <w:lang w:val="sk-SK"/>
        </w:rPr>
        <w:tab/>
        <w:t>Odchýlna úprava sa týka predovšetkým postupov realizácie  záložného práva k cenným papierom (nesúlad s čl. 4 ods.4 smernice 2002/47/ES, ktorý zakazuje viazať realizáciu finančnej záruky na podanie predchádzajúceho oznámenia o zámere realizácie, uplynutia dodatočnej lehoty alebo na predpísaný spôsob realizácie, napr. formou dražby)</w:t>
      </w:r>
    </w:p>
    <w:p>
      <w:pPr>
        <w:pStyle w:val="Footer"/>
        <w:tabs>
          <w:tab w:val="clear" w:pos="4536"/>
          <w:tab w:val="clear" w:pos="9072"/>
        </w:tabs>
        <w:rPr>
          <w:rFonts w:ascii="Times New Roman" w:hAnsi="Times New Roman" w:cs="Times New Roman"/>
          <w:lang w:eastAsia="sk-SK"/>
        </w:rPr>
      </w:pPr>
    </w:p>
    <w:p>
      <w:pPr>
        <w:ind w:firstLine="540"/>
        <w:rPr>
          <w:rFonts w:ascii="Times New Roman" w:hAnsi="Times New Roman" w:cs="Times New Roman"/>
        </w:rPr>
      </w:pPr>
      <w:r>
        <w:rPr>
          <w:rFonts w:ascii="Times New Roman" w:hAnsi="Times New Roman" w:cs="Times New Roman"/>
          <w:b/>
          <w:bCs/>
        </w:rPr>
        <w:t>K bodu 9</w:t>
      </w:r>
    </w:p>
    <w:p>
      <w:pPr>
        <w:ind w:firstLine="709"/>
        <w:jc w:val="both"/>
        <w:rPr>
          <w:rFonts w:ascii="Times New Roman" w:hAnsi="Times New Roman" w:cs="Times New Roman"/>
        </w:rPr>
      </w:pPr>
      <w:r>
        <w:rPr>
          <w:rFonts w:ascii="Times New Roman" w:hAnsi="Times New Roman" w:cs="Times New Roman"/>
        </w:rPr>
        <w:t>Cieľom prechodného ustanovenia v §</w:t>
      </w:r>
      <w:r>
        <w:rPr>
          <w:rFonts w:ascii="Symbol" w:hAnsi="Symbol" w:cs="Times New Roman"/>
        </w:rPr>
        <w:sym w:font="Symbol" w:char="F020"/>
      </w:r>
      <w:r>
        <w:rPr>
          <w:rFonts w:ascii="Times New Roman" w:hAnsi="Times New Roman" w:cs="Times New Roman"/>
        </w:rPr>
        <w:t>879h odseku</w:t>
      </w:r>
      <w:r>
        <w:rPr>
          <w:rFonts w:ascii="Symbol" w:hAnsi="Symbol" w:cs="Times New Roman"/>
        </w:rPr>
        <w:sym w:font="Symbol" w:char="F020"/>
      </w:r>
      <w:r>
        <w:rPr>
          <w:rFonts w:ascii="Times New Roman" w:hAnsi="Times New Roman" w:cs="Times New Roman"/>
        </w:rPr>
        <w:t>1 novely Občianskeho zákonníka je zabezpečiť – na obdobie po účinnosti tejto novely OZ – rovnaký právny režim pre všetky záložné práva existujúce (pretrvávajúce či novovzniknuté) po 1.</w:t>
      </w:r>
      <w:r>
        <w:rPr>
          <w:rFonts w:ascii="Symbol" w:hAnsi="Symbol" w:cs="Times New Roman"/>
        </w:rPr>
        <w:sym w:font="Symbol" w:char="F020"/>
      </w:r>
      <w:r>
        <w:rPr>
          <w:rFonts w:ascii="Times New Roman" w:hAnsi="Times New Roman" w:cs="Times New Roman"/>
        </w:rPr>
        <w:t>1.</w:t>
      </w:r>
      <w:r>
        <w:rPr>
          <w:rFonts w:ascii="Symbol" w:hAnsi="Symbol" w:cs="Times New Roman"/>
        </w:rPr>
        <w:sym w:font="Symbol" w:char="F020"/>
      </w:r>
      <w:r>
        <w:rPr>
          <w:rFonts w:ascii="Times New Roman" w:hAnsi="Times New Roman" w:cs="Times New Roman"/>
        </w:rPr>
        <w:t>2005 k pohľadávkam na peňažné prostriedky na bežnom účte, na vkladovom účte, na vkladných knižkách alebo na inej forme vkladov, ak sú pri takýchto záložných právach splnené podmienky, ktoré obsahuje nový §</w:t>
      </w:r>
      <w:r>
        <w:rPr>
          <w:rFonts w:ascii="Symbol" w:hAnsi="Symbol" w:cs="Times New Roman"/>
        </w:rPr>
        <w:sym w:font="Symbol" w:char="F020"/>
      </w:r>
      <w:r>
        <w:rPr>
          <w:rFonts w:ascii="Times New Roman" w:hAnsi="Times New Roman" w:cs="Times New Roman"/>
        </w:rPr>
        <w:t>151me ods.</w:t>
      </w:r>
      <w:r>
        <w:rPr>
          <w:rFonts w:ascii="Symbol" w:hAnsi="Symbol" w:cs="Times New Roman"/>
        </w:rPr>
        <w:sym w:font="Symbol" w:char="F020"/>
      </w:r>
      <w:r>
        <w:rPr>
          <w:rFonts w:ascii="Times New Roman" w:hAnsi="Times New Roman" w:cs="Times New Roman"/>
        </w:rPr>
        <w:t>1 a</w:t>
      </w:r>
      <w:r>
        <w:rPr>
          <w:rFonts w:ascii="Symbol" w:hAnsi="Symbol" w:cs="Times New Roman"/>
        </w:rPr>
        <w:sym w:font="Symbol" w:char="F020"/>
      </w:r>
      <w:r>
        <w:rPr>
          <w:rFonts w:ascii="Times New Roman" w:hAnsi="Times New Roman" w:cs="Times New Roman"/>
        </w:rPr>
        <w:t>2 a nový §</w:t>
      </w:r>
      <w:r>
        <w:rPr>
          <w:rFonts w:ascii="Symbol" w:hAnsi="Symbol" w:cs="Times New Roman"/>
        </w:rPr>
        <w:sym w:font="Symbol" w:char="F020"/>
      </w:r>
      <w:r>
        <w:rPr>
          <w:rFonts w:ascii="Times New Roman" w:hAnsi="Times New Roman" w:cs="Times New Roman"/>
        </w:rPr>
        <w:t>783 ods.</w:t>
      </w:r>
      <w:r>
        <w:rPr>
          <w:rFonts w:ascii="Symbol" w:hAnsi="Symbol" w:cs="Times New Roman"/>
        </w:rPr>
        <w:sym w:font="Symbol" w:char="F020"/>
      </w:r>
      <w:r>
        <w:rPr>
          <w:rFonts w:ascii="Times New Roman" w:hAnsi="Times New Roman" w:cs="Times New Roman"/>
        </w:rPr>
        <w:t>3.  Pritom nový §</w:t>
      </w:r>
      <w:r>
        <w:rPr>
          <w:rFonts w:ascii="Symbol" w:hAnsi="Symbol" w:cs="Times New Roman"/>
        </w:rPr>
        <w:sym w:font="Symbol" w:char="F020"/>
      </w:r>
      <w:r>
        <w:rPr>
          <w:rFonts w:ascii="Times New Roman" w:hAnsi="Times New Roman" w:cs="Times New Roman"/>
        </w:rPr>
        <w:t>151me ods.</w:t>
      </w:r>
      <w:r>
        <w:rPr>
          <w:rFonts w:ascii="Symbol" w:hAnsi="Symbol" w:cs="Times New Roman"/>
        </w:rPr>
        <w:sym w:font="Symbol" w:char="F020"/>
      </w:r>
      <w:r>
        <w:rPr>
          <w:rFonts w:ascii="Times New Roman" w:hAnsi="Times New Roman" w:cs="Times New Roman"/>
        </w:rPr>
        <w:t>1 a</w:t>
      </w:r>
      <w:r>
        <w:rPr>
          <w:rFonts w:ascii="Symbol" w:hAnsi="Symbol" w:cs="Times New Roman"/>
        </w:rPr>
        <w:sym w:font="Symbol" w:char="F020"/>
      </w:r>
      <w:r>
        <w:rPr>
          <w:rFonts w:ascii="Times New Roman" w:hAnsi="Times New Roman" w:cs="Times New Roman"/>
        </w:rPr>
        <w:t>2 a nový §</w:t>
      </w:r>
      <w:r>
        <w:rPr>
          <w:rFonts w:ascii="Symbol" w:hAnsi="Symbol" w:cs="Times New Roman"/>
        </w:rPr>
        <w:sym w:font="Symbol" w:char="F020"/>
      </w:r>
      <w:r>
        <w:rPr>
          <w:rFonts w:ascii="Times New Roman" w:hAnsi="Times New Roman" w:cs="Times New Roman"/>
        </w:rPr>
        <w:t>783 ods.</w:t>
      </w:r>
      <w:r>
        <w:rPr>
          <w:rFonts w:ascii="Symbol" w:hAnsi="Symbol" w:cs="Times New Roman"/>
        </w:rPr>
        <w:sym w:font="Symbol" w:char="F020"/>
      </w:r>
      <w:r>
        <w:rPr>
          <w:rFonts w:ascii="Times New Roman" w:hAnsi="Times New Roman" w:cs="Times New Roman"/>
        </w:rPr>
        <w:t>3 je potrebný v záujme dosiahnutia súladu (harm</w:t>
      </w:r>
      <w:r>
        <w:rPr>
          <w:rFonts w:ascii="Times New Roman" w:hAnsi="Times New Roman" w:cs="Times New Roman"/>
        </w:rPr>
        <w:t>onizácie) so Smernicou 2002/47/ES Európskeho parlamentu a Rady zo 6.</w:t>
      </w:r>
      <w:r>
        <w:rPr>
          <w:rFonts w:ascii="Symbol" w:hAnsi="Symbol" w:cs="Times New Roman"/>
        </w:rPr>
        <w:sym w:font="Symbol" w:char="F020"/>
      </w:r>
      <w:r>
        <w:rPr>
          <w:rFonts w:ascii="Times New Roman" w:hAnsi="Times New Roman" w:cs="Times New Roman"/>
        </w:rPr>
        <w:t>6.</w:t>
      </w:r>
      <w:r>
        <w:rPr>
          <w:rFonts w:ascii="Symbol" w:hAnsi="Symbol" w:cs="Times New Roman"/>
        </w:rPr>
        <w:sym w:font="Symbol" w:char="F020"/>
      </w:r>
      <w:r>
        <w:rPr>
          <w:rFonts w:ascii="Times New Roman" w:hAnsi="Times New Roman" w:cs="Times New Roman"/>
        </w:rPr>
        <w:t>2002 o dohodách o finančných zárukách (finančných kolateráloch).</w:t>
      </w:r>
    </w:p>
    <w:p>
      <w:pPr>
        <w:ind w:firstLine="709"/>
        <w:jc w:val="both"/>
        <w:rPr>
          <w:rFonts w:ascii="Times New Roman" w:hAnsi="Times New Roman" w:cs="Times New Roman"/>
        </w:rPr>
      </w:pPr>
      <w:r>
        <w:rPr>
          <w:rFonts w:ascii="Times New Roman" w:hAnsi="Times New Roman" w:cs="Times New Roman"/>
        </w:rPr>
        <w:t>Ustanovenia §</w:t>
      </w:r>
      <w:r>
        <w:rPr>
          <w:rFonts w:ascii="Symbol" w:hAnsi="Symbol" w:cs="Times New Roman"/>
        </w:rPr>
        <w:sym w:font="Symbol" w:char="F020"/>
      </w:r>
      <w:r>
        <w:rPr>
          <w:rFonts w:ascii="Times New Roman" w:hAnsi="Times New Roman" w:cs="Times New Roman"/>
        </w:rPr>
        <w:t>879h odsekov</w:t>
      </w:r>
      <w:r>
        <w:rPr>
          <w:rFonts w:ascii="Symbol" w:hAnsi="Symbol" w:cs="Times New Roman"/>
        </w:rPr>
        <w:sym w:font="Symbol" w:char="F020"/>
      </w:r>
      <w:r>
        <w:rPr>
          <w:rFonts w:ascii="Times New Roman" w:hAnsi="Times New Roman" w:cs="Times New Roman"/>
        </w:rPr>
        <w:t>2 až</w:t>
      </w:r>
      <w:r>
        <w:rPr>
          <w:rFonts w:ascii="Symbol" w:hAnsi="Symbol" w:cs="Times New Roman"/>
        </w:rPr>
        <w:sym w:font="Symbol" w:char="F020"/>
      </w:r>
      <w:r>
        <w:rPr>
          <w:rFonts w:ascii="Times New Roman" w:hAnsi="Times New Roman" w:cs="Times New Roman"/>
        </w:rPr>
        <w:t>5 novely Občianskeho zákonníka</w:t>
      </w:r>
      <w:r>
        <w:rPr>
          <w:rFonts w:ascii="Times New Roman" w:hAnsi="Times New Roman" w:cs="Times New Roman"/>
          <w:color w:val="000000"/>
          <w:szCs w:val="20"/>
          <w:lang w:eastAsia="en-US"/>
        </w:rPr>
        <w:t xml:space="preserve"> súvisia s tým, že </w:t>
      </w:r>
      <w:r>
        <w:rPr>
          <w:rFonts w:ascii="Times New Roman" w:hAnsi="Times New Roman" w:cs="Times New Roman"/>
        </w:rPr>
        <w:t>Občiansky zákonník v rámci svojich novelizácií (ktoré obsahuje zákon č.</w:t>
      </w:r>
      <w:r>
        <w:rPr>
          <w:rFonts w:ascii="Symbol" w:hAnsi="Symbol" w:cs="Times New Roman"/>
        </w:rPr>
        <w:sym w:font="Symbol" w:char="F020"/>
      </w:r>
      <w:r>
        <w:rPr>
          <w:rFonts w:ascii="Times New Roman" w:hAnsi="Times New Roman" w:cs="Times New Roman"/>
        </w:rPr>
        <w:t>261/2001</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a zákon č.</w:t>
      </w:r>
      <w:r>
        <w:rPr>
          <w:rFonts w:ascii="Symbol" w:hAnsi="Symbol" w:cs="Times New Roman"/>
        </w:rPr>
        <w:sym w:font="Symbol" w:char="F020"/>
      </w:r>
      <w:r>
        <w:rPr>
          <w:rFonts w:ascii="Times New Roman" w:hAnsi="Times New Roman" w:cs="Times New Roman"/>
        </w:rPr>
        <w:t>526/2002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bol doplnený o ustanovenia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ktoré upravujú záležitosti s vkladmi na doručiteľa (teda tzv. anonymnými vkladmi). Ustanovenie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Občianskeho zákonníka určuje, že banky a pobočky zahraničných bánk nesmú od 1.</w:t>
      </w:r>
      <w:r>
        <w:rPr>
          <w:rFonts w:ascii="Symbol" w:hAnsi="Symbol" w:cs="Times New Roman"/>
        </w:rPr>
        <w:sym w:font="Symbol" w:char="F020"/>
      </w:r>
      <w:r>
        <w:rPr>
          <w:rFonts w:ascii="Times New Roman" w:hAnsi="Times New Roman" w:cs="Times New Roman"/>
        </w:rPr>
        <w:t>9.</w:t>
      </w:r>
      <w:r>
        <w:rPr>
          <w:rFonts w:ascii="Symbol" w:hAnsi="Symbol" w:cs="Times New Roman"/>
        </w:rPr>
        <w:sym w:font="Symbol" w:char="F020"/>
      </w:r>
      <w:r>
        <w:rPr>
          <w:rFonts w:ascii="Times New Roman" w:hAnsi="Times New Roman" w:cs="Times New Roman"/>
        </w:rPr>
        <w:t>2001 prijímať vklady na doručiteľa. Následne ustanovenie §</w:t>
      </w:r>
      <w:r>
        <w:rPr>
          <w:rFonts w:ascii="Symbol" w:hAnsi="Symbol" w:cs="Times New Roman"/>
        </w:rPr>
        <w:sym w:font="Symbol" w:char="F020"/>
      </w:r>
      <w:r>
        <w:rPr>
          <w:rFonts w:ascii="Times New Roman" w:hAnsi="Times New Roman" w:cs="Times New Roman"/>
        </w:rPr>
        <w:t>879e odseku</w:t>
      </w:r>
      <w:r>
        <w:rPr>
          <w:rFonts w:ascii="Symbol" w:hAnsi="Symbol" w:cs="Times New Roman"/>
        </w:rPr>
        <w:sym w:font="Symbol" w:char="F020"/>
      </w:r>
      <w:r>
        <w:rPr>
          <w:rFonts w:ascii="Times New Roman" w:hAnsi="Times New Roman" w:cs="Times New Roman"/>
        </w:rPr>
        <w:t>4 Občianskeho zákonníka určilo, že vkladový vzťah pri vklade na doručiteľa, ktorý bol uložený pred 1.</w:t>
      </w:r>
      <w:r>
        <w:rPr>
          <w:rFonts w:ascii="Symbol" w:hAnsi="Symbol" w:cs="Times New Roman"/>
        </w:rPr>
        <w:sym w:font="Symbol" w:char="F020"/>
      </w:r>
      <w:r>
        <w:rPr>
          <w:rFonts w:ascii="Times New Roman" w:hAnsi="Times New Roman" w:cs="Times New Roman"/>
        </w:rPr>
        <w:t>1.</w:t>
      </w:r>
      <w:r>
        <w:rPr>
          <w:rFonts w:ascii="Symbol" w:hAnsi="Symbol" w:cs="Times New Roman"/>
        </w:rPr>
        <w:sym w:font="Symbol" w:char="F020"/>
      </w:r>
      <w:r>
        <w:rPr>
          <w:rFonts w:ascii="Times New Roman" w:hAnsi="Times New Roman" w:cs="Times New Roman"/>
        </w:rPr>
        <w:t>2003, sa zrušuje dňom 31.</w:t>
      </w:r>
      <w:r>
        <w:rPr>
          <w:rFonts w:ascii="Symbol" w:hAnsi="Symbol" w:cs="Times New Roman"/>
        </w:rPr>
        <w:sym w:font="Symbol" w:char="F020"/>
      </w:r>
      <w:r>
        <w:rPr>
          <w:rFonts w:ascii="Times New Roman" w:hAnsi="Times New Roman" w:cs="Times New Roman"/>
        </w:rPr>
        <w:t>12.</w:t>
      </w:r>
      <w:r>
        <w:rPr>
          <w:rFonts w:ascii="Symbol" w:hAnsi="Symbol" w:cs="Times New Roman"/>
        </w:rPr>
        <w:sym w:font="Symbol" w:char="F020"/>
      </w:r>
      <w:r>
        <w:rPr>
          <w:rFonts w:ascii="Times New Roman" w:hAnsi="Times New Roman" w:cs="Times New Roman"/>
        </w:rPr>
        <w:t>2003, pričom právo na výplatu  zostatkov zrušených vkladov si ich majitelia môžu uplatniť počas premlčacej lehoty.</w:t>
      </w:r>
    </w:p>
    <w:p>
      <w:pPr>
        <w:ind w:firstLine="709"/>
        <w:jc w:val="both"/>
        <w:rPr>
          <w:rFonts w:ascii="Times New Roman" w:hAnsi="Times New Roman" w:cs="Times New Roman"/>
          <w:color w:val="000000"/>
        </w:rPr>
      </w:pPr>
      <w:r>
        <w:rPr>
          <w:rFonts w:ascii="Times New Roman" w:hAnsi="Times New Roman" w:cs="Times New Roman"/>
        </w:rPr>
        <w:t>Podstatou ustanovení §</w:t>
      </w:r>
      <w:r>
        <w:rPr>
          <w:rFonts w:ascii="Symbol" w:hAnsi="Symbol" w:cs="Times New Roman"/>
        </w:rPr>
        <w:sym w:font="Symbol" w:char="F020"/>
      </w:r>
      <w:r>
        <w:rPr>
          <w:rFonts w:ascii="Times New Roman" w:hAnsi="Times New Roman" w:cs="Times New Roman"/>
        </w:rPr>
        <w:t>879h odsekov</w:t>
      </w:r>
      <w:r>
        <w:rPr>
          <w:rFonts w:ascii="Symbol" w:hAnsi="Symbol" w:cs="Times New Roman"/>
        </w:rPr>
        <w:sym w:font="Symbol" w:char="F020"/>
      </w:r>
      <w:r>
        <w:rPr>
          <w:rFonts w:ascii="Times New Roman" w:hAnsi="Times New Roman" w:cs="Times New Roman"/>
        </w:rPr>
        <w:t>2 až</w:t>
      </w:r>
      <w:r>
        <w:rPr>
          <w:rFonts w:ascii="Symbol" w:hAnsi="Symbol" w:cs="Times New Roman"/>
        </w:rPr>
        <w:sym w:font="Symbol" w:char="F020"/>
      </w:r>
      <w:r>
        <w:rPr>
          <w:rFonts w:ascii="Times New Roman" w:hAnsi="Times New Roman" w:cs="Times New Roman"/>
        </w:rPr>
        <w:t>5 novely Občianskeho zákonníka</w:t>
      </w:r>
      <w:r>
        <w:rPr>
          <w:rFonts w:ascii="Times New Roman" w:hAnsi="Times New Roman" w:cs="Times New Roman"/>
          <w:color w:val="000000"/>
          <w:szCs w:val="20"/>
          <w:lang w:eastAsia="en-US"/>
        </w:rPr>
        <w:t xml:space="preserve"> je doriešenie niektorých problémov, ktoré vyplývajú z faktu, že </w:t>
      </w:r>
      <w:r>
        <w:rPr>
          <w:rFonts w:ascii="Times New Roman" w:hAnsi="Times New Roman" w:cs="Times New Roman"/>
        </w:rPr>
        <w:t>zákon č.</w:t>
      </w:r>
      <w:r>
        <w:rPr>
          <w:rFonts w:ascii="Symbol" w:hAnsi="Symbol" w:cs="Times New Roman"/>
        </w:rPr>
        <w:sym w:font="Symbol" w:char="F020"/>
      </w:r>
      <w:r>
        <w:rPr>
          <w:rFonts w:ascii="Times New Roman" w:hAnsi="Times New Roman" w:cs="Times New Roman"/>
        </w:rPr>
        <w:t>526/2002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 xml:space="preserve">z. </w:t>
      </w:r>
      <w:r>
        <w:rPr>
          <w:rFonts w:ascii="Symbol" w:hAnsi="Symbol" w:cs="Times New Roman"/>
        </w:rPr>
        <w:sym w:font="Symbol" w:char="F05B"/>
      </w:r>
      <w:r>
        <w:rPr>
          <w:rFonts w:ascii="Times New Roman" w:hAnsi="Times New Roman" w:cs="Times New Roman"/>
        </w:rPr>
        <w:t>doplnením §</w:t>
      </w:r>
      <w:r>
        <w:rPr>
          <w:rFonts w:ascii="Symbol" w:hAnsi="Symbol" w:cs="Times New Roman"/>
        </w:rPr>
        <w:sym w:font="Symbol" w:char="F020"/>
      </w:r>
      <w:r>
        <w:rPr>
          <w:rFonts w:ascii="Times New Roman" w:hAnsi="Times New Roman" w:cs="Times New Roman"/>
        </w:rPr>
        <w:t>879e odseku</w:t>
      </w:r>
      <w:r>
        <w:rPr>
          <w:rFonts w:ascii="Symbol" w:hAnsi="Symbol" w:cs="Times New Roman"/>
        </w:rPr>
        <w:sym w:font="Symbol" w:char="F020"/>
      </w:r>
      <w:r>
        <w:rPr>
          <w:rFonts w:ascii="Times New Roman" w:hAnsi="Times New Roman" w:cs="Times New Roman"/>
        </w:rPr>
        <w:t xml:space="preserve">5 do </w:t>
      </w:r>
      <w:r>
        <w:rPr>
          <w:rFonts w:ascii="Times New Roman" w:hAnsi="Times New Roman" w:cs="Times New Roman"/>
          <w:color w:val="000000"/>
        </w:rPr>
        <w:t>Občianskeho zákonníka</w:t>
      </w:r>
      <w:r>
        <w:rPr>
          <w:rFonts w:ascii="Symbol" w:hAnsi="Symbol" w:cs="Times New Roman"/>
          <w:color w:val="000000"/>
        </w:rPr>
        <w:sym w:font="Symbol" w:char="F05D"/>
      </w:r>
      <w:r>
        <w:rPr>
          <w:rFonts w:ascii="Times New Roman" w:hAnsi="Times New Roman" w:cs="Times New Roman"/>
          <w:color w:val="000000"/>
          <w:szCs w:val="20"/>
          <w:lang w:eastAsia="en-US"/>
        </w:rPr>
        <w:t xml:space="preserve"> zrušil od 31.</w:t>
      </w:r>
      <w:r>
        <w:rPr>
          <w:rFonts w:ascii="Symbol" w:hAnsi="Symbol" w:cs="Times New Roman"/>
          <w:color w:val="000000"/>
          <w:szCs w:val="20"/>
          <w:lang w:eastAsia="en-US"/>
        </w:rPr>
        <w:sym w:font="Symbol" w:char="F020"/>
      </w:r>
      <w:r>
        <w:rPr>
          <w:rFonts w:ascii="Times New Roman" w:hAnsi="Times New Roman" w:cs="Times New Roman"/>
          <w:color w:val="000000"/>
          <w:szCs w:val="20"/>
          <w:lang w:eastAsia="en-US"/>
        </w:rPr>
        <w:t>12.</w:t>
      </w:r>
      <w:r>
        <w:rPr>
          <w:rFonts w:ascii="Symbol" w:hAnsi="Symbol" w:cs="Times New Roman"/>
          <w:color w:val="000000"/>
          <w:szCs w:val="20"/>
          <w:lang w:eastAsia="en-US"/>
        </w:rPr>
        <w:sym w:font="Symbol" w:char="F020"/>
      </w:r>
      <w:r>
        <w:rPr>
          <w:rFonts w:ascii="Times New Roman" w:hAnsi="Times New Roman" w:cs="Times New Roman"/>
          <w:color w:val="000000"/>
          <w:szCs w:val="20"/>
          <w:lang w:eastAsia="en-US"/>
        </w:rPr>
        <w:t xml:space="preserve">2003 všetky vklady na doručiteľa. Dôvodom pre toto nezvratné zrušenie vkladov na doručiteľa boli </w:t>
      </w:r>
      <w:r>
        <w:rPr>
          <w:rFonts w:ascii="Times New Roman" w:hAnsi="Times New Roman" w:cs="Times New Roman"/>
          <w:color w:val="000000"/>
        </w:rPr>
        <w:t xml:space="preserve">striktné a neodkladné požiadavky EÚ a </w:t>
      </w:r>
      <w:r>
        <w:rPr>
          <w:rFonts w:ascii="Times New Roman" w:hAnsi="Times New Roman" w:cs="Times New Roman"/>
        </w:rPr>
        <w:t>medzinárodne</w:t>
      </w:r>
      <w:r>
        <w:rPr>
          <w:rFonts w:ascii="Times New Roman" w:hAnsi="Times New Roman" w:cs="Times New Roman"/>
        </w:rPr>
        <w:t>j inštitúcie</w:t>
      </w:r>
      <w:r>
        <w:rPr>
          <w:rFonts w:ascii="Times New Roman" w:hAnsi="Times New Roman" w:cs="Times New Roman"/>
          <w:color w:val="000000"/>
        </w:rPr>
        <w:t xml:space="preserve"> FATF</w:t>
      </w:r>
      <w:r>
        <w:rPr>
          <w:rFonts w:ascii="Times New Roman" w:hAnsi="Times New Roman" w:cs="Times New Roman"/>
        </w:rPr>
        <w:t xml:space="preserve"> na </w:t>
      </w:r>
      <w:r>
        <w:rPr>
          <w:rFonts w:ascii="Times New Roman" w:hAnsi="Times New Roman" w:cs="Times New Roman"/>
          <w:color w:val="000000"/>
        </w:rPr>
        <w:t xml:space="preserve">boj proti praniu špinavých peňazí vrátane boja proti financovaniu terorizmu (Financial Action Task Force on Money Laundering so sekretariátom pri OECD v Paríži). Prípadné nesplnenie požiadaviek EÚ a FATF mohlo reálne ohroziť úspešné ukončenie prístupového procesu SR do EÚ. Práve kvôli akútnosti požadovaného termínu zrušenia </w:t>
      </w:r>
      <w:r>
        <w:rPr>
          <w:rFonts w:ascii="Times New Roman" w:hAnsi="Times New Roman" w:cs="Times New Roman"/>
          <w:color w:val="000000"/>
          <w:szCs w:val="20"/>
          <w:lang w:eastAsia="en-US"/>
        </w:rPr>
        <w:t xml:space="preserve">vkladov na doručiteľa </w:t>
      </w:r>
      <w:r>
        <w:rPr>
          <w:rFonts w:ascii="Times New Roman" w:hAnsi="Times New Roman" w:cs="Times New Roman"/>
          <w:color w:val="000000"/>
        </w:rPr>
        <w:t>zostali otvorené</w:t>
      </w:r>
      <w:r>
        <w:rPr>
          <w:rFonts w:ascii="Times New Roman" w:hAnsi="Times New Roman" w:cs="Times New Roman"/>
          <w:color w:val="000000"/>
          <w:szCs w:val="20"/>
          <w:lang w:eastAsia="en-US"/>
        </w:rPr>
        <w:t xml:space="preserve"> niektoré problémy, ktoré by – bez ich doriešenia – </w:t>
      </w:r>
      <w:r>
        <w:rPr>
          <w:rFonts w:ascii="Times New Roman" w:hAnsi="Times New Roman" w:cs="Times New Roman"/>
          <w:color w:val="000000"/>
        </w:rPr>
        <w:t>mali</w:t>
      </w:r>
      <w:r>
        <w:rPr>
          <w:rFonts w:ascii="Times New Roman" w:hAnsi="Times New Roman" w:cs="Times New Roman"/>
        </w:rPr>
        <w:t xml:space="preserve"> negatívne dôsledky na poctivých občanov. Podľa doterajšieho právneho s</w:t>
      </w:r>
      <w:r>
        <w:rPr>
          <w:rFonts w:ascii="Times New Roman" w:hAnsi="Times New Roman" w:cs="Times New Roman"/>
        </w:rPr>
        <w:t xml:space="preserve">tavu </w:t>
      </w:r>
      <w:r>
        <w:rPr>
          <w:rFonts w:ascii="Times New Roman" w:hAnsi="Times New Roman" w:cs="Times New Roman"/>
          <w:color w:val="000000"/>
          <w:szCs w:val="20"/>
          <w:lang w:eastAsia="en-US"/>
        </w:rPr>
        <w:t xml:space="preserve">banky môžu </w:t>
      </w:r>
      <w:r>
        <w:rPr>
          <w:rFonts w:ascii="Times New Roman" w:hAnsi="Times New Roman" w:cs="Times New Roman"/>
        </w:rPr>
        <w:t xml:space="preserve">od konca roku 2006 </w:t>
      </w:r>
      <w:r>
        <w:rPr>
          <w:rFonts w:ascii="Times New Roman" w:hAnsi="Times New Roman" w:cs="Times New Roman"/>
          <w:color w:val="000000"/>
          <w:szCs w:val="20"/>
          <w:lang w:eastAsia="en-US"/>
        </w:rPr>
        <w:t>namietať premlčanie práva vkladateľov na výplatu zostatkov zrušených vkladov na doručiteľa. Bez zmeny</w:t>
      </w:r>
      <w:r>
        <w:rPr>
          <w:rFonts w:ascii="Times New Roman" w:hAnsi="Times New Roman" w:cs="Times New Roman"/>
        </w:rPr>
        <w:t xml:space="preserve"> terajšieho právneho stavu</w:t>
      </w:r>
      <w:r>
        <w:rPr>
          <w:rFonts w:ascii="Times New Roman" w:hAnsi="Times New Roman" w:cs="Times New Roman"/>
          <w:color w:val="000000"/>
          <w:szCs w:val="20"/>
          <w:lang w:eastAsia="en-US"/>
        </w:rPr>
        <w:t xml:space="preserve"> by teda v</w:t>
      </w:r>
      <w:r>
        <w:rPr>
          <w:rFonts w:ascii="Times New Roman" w:hAnsi="Times New Roman" w:cs="Times New Roman"/>
        </w:rPr>
        <w:t>kladatelia od konca roku 2006 už nemali efektívne vymáhateľný nárok na vyplatenie zo</w:t>
      </w:r>
      <w:r>
        <w:rPr>
          <w:rFonts w:ascii="Times New Roman" w:hAnsi="Times New Roman" w:cs="Times New Roman"/>
        </w:rPr>
        <w:t xml:space="preserve">statkov </w:t>
      </w:r>
      <w:r>
        <w:rPr>
          <w:rFonts w:ascii="Times New Roman" w:hAnsi="Times New Roman" w:cs="Times New Roman"/>
          <w:color w:val="000000"/>
          <w:szCs w:val="20"/>
          <w:lang w:eastAsia="en-US"/>
        </w:rPr>
        <w:t>zrušených vkladov na doručiteľa.</w:t>
      </w:r>
      <w:r>
        <w:rPr>
          <w:rFonts w:ascii="Times New Roman" w:hAnsi="Times New Roman" w:cs="Times New Roman"/>
        </w:rPr>
        <w:t xml:space="preserve"> Cieľom navrhovaných ustanovení §</w:t>
      </w:r>
      <w:r>
        <w:rPr>
          <w:rFonts w:ascii="Symbol" w:hAnsi="Symbol" w:cs="Times New Roman"/>
        </w:rPr>
        <w:sym w:font="Symbol" w:char="F020"/>
      </w:r>
      <w:r>
        <w:rPr>
          <w:rFonts w:ascii="Times New Roman" w:hAnsi="Times New Roman" w:cs="Times New Roman"/>
        </w:rPr>
        <w:t>879h odsekov</w:t>
      </w:r>
      <w:r>
        <w:rPr>
          <w:rFonts w:ascii="Symbol" w:hAnsi="Symbol" w:cs="Times New Roman"/>
        </w:rPr>
        <w:sym w:font="Symbol" w:char="F020"/>
      </w:r>
      <w:r>
        <w:rPr>
          <w:rFonts w:ascii="Times New Roman" w:hAnsi="Times New Roman" w:cs="Times New Roman"/>
        </w:rPr>
        <w:t>2 až</w:t>
      </w:r>
      <w:r>
        <w:rPr>
          <w:rFonts w:ascii="Symbol" w:hAnsi="Symbol" w:cs="Times New Roman"/>
        </w:rPr>
        <w:sym w:font="Symbol" w:char="F020"/>
      </w:r>
      <w:r>
        <w:rPr>
          <w:rFonts w:ascii="Times New Roman" w:hAnsi="Times New Roman" w:cs="Times New Roman"/>
        </w:rPr>
        <w:t>5 novely Občianskeho zákonníka</w:t>
      </w:r>
      <w:r>
        <w:rPr>
          <w:rFonts w:ascii="Times New Roman" w:hAnsi="Times New Roman" w:cs="Times New Roman"/>
          <w:color w:val="000000"/>
          <w:szCs w:val="20"/>
          <w:lang w:eastAsia="en-US"/>
        </w:rPr>
        <w:t xml:space="preserve"> je </w:t>
      </w:r>
      <w:r>
        <w:rPr>
          <w:rFonts w:ascii="Times New Roman" w:hAnsi="Times New Roman" w:cs="Times New Roman"/>
        </w:rPr>
        <w:t>zmiernenie následkov</w:t>
      </w:r>
      <w:r>
        <w:rPr>
          <w:rFonts w:ascii="Times New Roman" w:hAnsi="Times New Roman" w:cs="Times New Roman"/>
          <w:color w:val="000000"/>
          <w:szCs w:val="20"/>
          <w:lang w:eastAsia="en-US"/>
        </w:rPr>
        <w:t xml:space="preserve"> už vykonaného nezvratného zrušenia vkladov na doručiteľa</w:t>
      </w:r>
      <w:r>
        <w:rPr>
          <w:rFonts w:ascii="Times New Roman" w:hAnsi="Times New Roman" w:cs="Times New Roman"/>
        </w:rPr>
        <w:t>. Pritom však treba rešpektovať, že spätné obnovenie</w:t>
      </w:r>
      <w:r>
        <w:rPr>
          <w:rFonts w:ascii="Times New Roman" w:hAnsi="Times New Roman" w:cs="Times New Roman"/>
          <w:color w:val="000000"/>
          <w:szCs w:val="20"/>
          <w:lang w:eastAsia="en-US"/>
        </w:rPr>
        <w:t xml:space="preserve"> už zrušených vkladov na doručiteľa by bolo ústavne neprípustnou priamou retroaktivitou a taktiež by bolo porušením </w:t>
      </w:r>
      <w:r>
        <w:rPr>
          <w:rFonts w:ascii="Times New Roman" w:hAnsi="Times New Roman" w:cs="Times New Roman"/>
          <w:color w:val="000000"/>
        </w:rPr>
        <w:t>požiadaviek EÚ a FATF na</w:t>
      </w:r>
      <w:r>
        <w:rPr>
          <w:rFonts w:ascii="Times New Roman" w:hAnsi="Times New Roman" w:cs="Times New Roman"/>
          <w:color w:val="000000"/>
          <w:szCs w:val="20"/>
          <w:lang w:eastAsia="en-US"/>
        </w:rPr>
        <w:t xml:space="preserve"> zrušenie vkladov na doručiteľa. Vzhľadom na tieto limity sa v</w:t>
      </w:r>
      <w:r>
        <w:rPr>
          <w:rFonts w:ascii="Times New Roman" w:hAnsi="Times New Roman" w:cs="Times New Roman"/>
        </w:rPr>
        <w:t xml:space="preserve"> §</w:t>
      </w:r>
      <w:r>
        <w:rPr>
          <w:rFonts w:ascii="Symbol" w:hAnsi="Symbol" w:cs="Times New Roman"/>
        </w:rPr>
        <w:sym w:font="Symbol" w:char="F020"/>
      </w:r>
      <w:r>
        <w:rPr>
          <w:rFonts w:ascii="Times New Roman" w:hAnsi="Times New Roman" w:cs="Times New Roman"/>
        </w:rPr>
        <w:t>879h odsekoch</w:t>
      </w:r>
      <w:r>
        <w:rPr>
          <w:rFonts w:ascii="Symbol" w:hAnsi="Symbol" w:cs="Times New Roman"/>
        </w:rPr>
        <w:sym w:font="Symbol" w:char="F020"/>
      </w:r>
      <w:r>
        <w:rPr>
          <w:rFonts w:ascii="Times New Roman" w:hAnsi="Times New Roman" w:cs="Times New Roman"/>
        </w:rPr>
        <w:t>2 až</w:t>
      </w:r>
      <w:r>
        <w:rPr>
          <w:rFonts w:ascii="Symbol" w:hAnsi="Symbol" w:cs="Times New Roman"/>
        </w:rPr>
        <w:sym w:font="Symbol" w:char="F020"/>
      </w:r>
      <w:r>
        <w:rPr>
          <w:rFonts w:ascii="Times New Roman" w:hAnsi="Times New Roman" w:cs="Times New Roman"/>
        </w:rPr>
        <w:t xml:space="preserve">5 novely Občianskeho zákonníka ustanovuje, že právo na výplatu zostatkov zrušených vkladov </w:t>
      </w:r>
      <w:r>
        <w:rPr>
          <w:rFonts w:ascii="Times New Roman" w:hAnsi="Times New Roman" w:cs="Times New Roman"/>
          <w:color w:val="000000"/>
          <w:szCs w:val="20"/>
          <w:lang w:eastAsia="en-US"/>
        </w:rPr>
        <w:t>na doručiteľa</w:t>
      </w:r>
      <w:r>
        <w:rPr>
          <w:rFonts w:ascii="Times New Roman" w:hAnsi="Times New Roman" w:cs="Times New Roman"/>
        </w:rPr>
        <w:t>, ktoré si vkladatelia alebo iné oprávnené osoby neuplatnili a nepreukázali najneskôr do 31.</w:t>
      </w:r>
      <w:r>
        <w:rPr>
          <w:rFonts w:ascii="Symbol" w:hAnsi="Symbol" w:cs="Times New Roman"/>
        </w:rPr>
        <w:sym w:font="Symbol" w:char="F020"/>
      </w:r>
      <w:r>
        <w:rPr>
          <w:rFonts w:ascii="Times New Roman" w:hAnsi="Times New Roman" w:cs="Times New Roman"/>
        </w:rPr>
        <w:t>decembra 2006, prechádza 31.</w:t>
      </w:r>
      <w:r>
        <w:rPr>
          <w:rFonts w:ascii="Symbol" w:hAnsi="Symbol" w:cs="Times New Roman"/>
        </w:rPr>
        <w:sym w:font="Symbol" w:char="F020"/>
      </w:r>
      <w:r>
        <w:rPr>
          <w:rFonts w:ascii="Times New Roman" w:hAnsi="Times New Roman" w:cs="Times New Roman"/>
        </w:rPr>
        <w:t>decembra 2006 na štát. Pritom banky budú k 31.</w:t>
      </w:r>
      <w:r>
        <w:rPr>
          <w:rFonts w:ascii="Symbol" w:hAnsi="Symbol" w:cs="Times New Roman"/>
        </w:rPr>
        <w:sym w:font="Symbol" w:char="F020"/>
      </w:r>
      <w:r>
        <w:rPr>
          <w:rFonts w:ascii="Times New Roman" w:hAnsi="Times New Roman" w:cs="Times New Roman"/>
        </w:rPr>
        <w:t xml:space="preserve">decembru 2006 musieť na určený účet štátnych finančných aktív previesť aktíva zo zostatkov zo zrušených vkladov </w:t>
      </w:r>
      <w:r>
        <w:rPr>
          <w:rFonts w:ascii="Times New Roman" w:hAnsi="Times New Roman" w:cs="Times New Roman"/>
          <w:color w:val="000000"/>
          <w:szCs w:val="20"/>
          <w:lang w:eastAsia="en-US"/>
        </w:rPr>
        <w:t xml:space="preserve">na doručiteľa. Paralelne s prevodom týchto vkladových aktív </w:t>
      </w:r>
      <w:r>
        <w:rPr>
          <w:rFonts w:ascii="Times New Roman" w:hAnsi="Times New Roman" w:cs="Times New Roman"/>
        </w:rPr>
        <w:t xml:space="preserve">zanikne záväzok (povinnosť) bánk na výplatu zostatkov zrušených vkladov </w:t>
      </w:r>
      <w:r>
        <w:rPr>
          <w:rFonts w:ascii="Times New Roman" w:hAnsi="Times New Roman" w:cs="Times New Roman"/>
          <w:color w:val="000000"/>
          <w:szCs w:val="20"/>
          <w:lang w:eastAsia="en-US"/>
        </w:rPr>
        <w:t xml:space="preserve">na doručiteľa. Súčasne </w:t>
      </w:r>
      <w:r>
        <w:rPr>
          <w:rFonts w:ascii="Times New Roman" w:hAnsi="Times New Roman" w:cs="Times New Roman"/>
        </w:rPr>
        <w:t xml:space="preserve">štátu vznikne záväzok na výplatu náhrad za zostatky zrušených vkladov v prospech tých oprávnených osôb (vkladateľov, ich dedičov alebo ich ďalších právnych nástupcov), ktorým by inak zostalo iba premlčaním znehodnotené právo na výplatu zostatkov zrušených vkladov na doručiteľa. Výška vyplácaných náhrad bude zhodná s výškou zostatkov zrušených vkladov (najviac však s výškou vkladových aktív prevedených z bánk na štát). Týmto sa zabezpečí, že oprávnené osoby dostanú adekvátnu náhradu za zostatky zrušených vkladov na doručiteľa. Keďže štát svojím zákonom zrušil vklady na doručiteľa (čo bolo vo verejnom záujme nevyhnutné na úspešné </w:t>
      </w:r>
      <w:r>
        <w:rPr>
          <w:rFonts w:ascii="Times New Roman" w:hAnsi="Times New Roman" w:cs="Times New Roman"/>
          <w:color w:val="000000"/>
        </w:rPr>
        <w:t xml:space="preserve">ukončenie prístupového procesu SR do EÚ), tak </w:t>
      </w:r>
      <w:r>
        <w:rPr>
          <w:rFonts w:ascii="Times New Roman" w:hAnsi="Times New Roman" w:cs="Times New Roman"/>
        </w:rPr>
        <w:t>vyplácanie náhrad za zostatky zrušených vkladov bude musieť zabezpečovať Ministerstvo financií Slovenskej republiky alebo ním poverený subjekt. Žiadatelia o vyplatenie náhrady za zostatky zrušených vkladov budú musieť splniť prakticky takmer rovnaké podmienky ako keby žiadali o vyplatenie zostatkov zrušených vkladov na doručiteľa. To znamená, že budú musieť predložiť vkladnú knižku alebo vkladový list k pôvodnému – teraz už zrušenému – vkladu na doručiteľa, budú musieť preukázať svoju totožnosť dokladom totožnosti, ale taktiež sa budú musieť podrobiť požiadavkám podľa zákona o ochrane pred legalizáciou príjmov z trestnej činnosti. Práve naplnenie požiadaviek podľa zákona o ochrane pred legalizáciou príjmov z trestnej činnosti zabezpečí, že navrhované ustanovenia §</w:t>
      </w:r>
      <w:r>
        <w:rPr>
          <w:rFonts w:ascii="Symbol" w:hAnsi="Symbol" w:cs="Times New Roman"/>
        </w:rPr>
        <w:sym w:font="Symbol" w:char="F020"/>
      </w:r>
      <w:r>
        <w:rPr>
          <w:rFonts w:ascii="Times New Roman" w:hAnsi="Times New Roman" w:cs="Times New Roman"/>
        </w:rPr>
        <w:t>879h odsekov</w:t>
      </w:r>
      <w:r>
        <w:rPr>
          <w:rFonts w:ascii="Symbol" w:hAnsi="Symbol" w:cs="Times New Roman"/>
        </w:rPr>
        <w:sym w:font="Symbol" w:char="F020"/>
      </w:r>
      <w:r>
        <w:rPr>
          <w:rFonts w:ascii="Times New Roman" w:hAnsi="Times New Roman" w:cs="Times New Roman"/>
        </w:rPr>
        <w:t>2 až</w:t>
      </w:r>
      <w:r>
        <w:rPr>
          <w:rFonts w:ascii="Symbol" w:hAnsi="Symbol" w:cs="Times New Roman"/>
        </w:rPr>
        <w:sym w:font="Symbol" w:char="F020"/>
      </w:r>
      <w:r>
        <w:rPr>
          <w:rFonts w:ascii="Times New Roman" w:hAnsi="Times New Roman" w:cs="Times New Roman"/>
        </w:rPr>
        <w:t xml:space="preserve">5 budú na prospech poctivých občanov, pričom zároveň budú rešpektované aj </w:t>
      </w:r>
      <w:r>
        <w:rPr>
          <w:rFonts w:ascii="Times New Roman" w:hAnsi="Times New Roman" w:cs="Times New Roman"/>
          <w:color w:val="000000"/>
        </w:rPr>
        <w:t>požiadavky EÚ a FATF v oblasti boja proti praniu špinavých peňazí vrátane boja proti financovaniu terorizmu.</w:t>
      </w:r>
      <w:r>
        <w:rPr>
          <w:rFonts w:ascii="Times New Roman" w:hAnsi="Times New Roman" w:cs="Times New Roman"/>
        </w:rPr>
        <w:t xml:space="preserve"> Zároveň sa prostredníctvom Ministerstva financií Slovenskej republiky zabezpečí (na základe §</w:t>
      </w:r>
      <w:r>
        <w:rPr>
          <w:rFonts w:ascii="Symbol" w:hAnsi="Symbol" w:cs="Times New Roman"/>
        </w:rPr>
        <w:sym w:font="Symbol" w:char="F020"/>
      </w:r>
      <w:r>
        <w:rPr>
          <w:rFonts w:ascii="Times New Roman" w:hAnsi="Times New Roman" w:cs="Times New Roman"/>
        </w:rPr>
        <w:t>879h odseku</w:t>
      </w:r>
      <w:r>
        <w:rPr>
          <w:rFonts w:ascii="Symbol" w:hAnsi="Symbol" w:cs="Times New Roman"/>
        </w:rPr>
        <w:sym w:font="Symbol" w:char="F020"/>
      </w:r>
      <w:r>
        <w:rPr>
          <w:rFonts w:ascii="Times New Roman" w:hAnsi="Times New Roman" w:cs="Times New Roman"/>
        </w:rPr>
        <w:t>5) aj vykonávanie doteraz absentujúcej kontroly postupu bánk z hľadiska správnosti a opodstatnenosti vyplácania zostatkov zrušených vkladov na doručiteľa a tiež z hľadiska využívania zostatkov zrušených vkladov na doručiteľa.</w:t>
      </w:r>
    </w:p>
    <w:p>
      <w:pPr>
        <w:rPr>
          <w:rFonts w:ascii="Times New Roman" w:hAnsi="Times New Roman" w:cs="Times New Roman"/>
        </w:rPr>
      </w:pPr>
      <w:r>
        <w:rPr>
          <w:rFonts w:ascii="Times New Roman" w:hAnsi="Times New Roman" w:cs="Times New Roman"/>
        </w:rPr>
        <w:tab/>
      </w:r>
    </w:p>
    <w:p>
      <w:pPr>
        <w:pStyle w:val="Heading2"/>
        <w:rPr>
          <w:rFonts w:ascii="Times New Roman" w:hAnsi="Times New Roman" w:cs="Times New Roman"/>
          <w:i w:val="0"/>
          <w:iCs w:val="0"/>
          <w:u w:val="single"/>
        </w:rPr>
      </w:pPr>
      <w:r>
        <w:rPr>
          <w:rFonts w:ascii="Times New Roman" w:hAnsi="Times New Roman" w:cs="Times New Roman"/>
          <w:i w:val="0"/>
          <w:iCs w:val="0"/>
          <w:u w:val="single"/>
        </w:rPr>
        <w:t>K Čl. V</w:t>
      </w:r>
    </w:p>
    <w:p>
      <w:pPr>
        <w:pStyle w:val="BodyTextIndent"/>
        <w:ind w:firstLine="708"/>
        <w:rPr>
          <w:rFonts w:ascii="Times New Roman" w:hAnsi="Times New Roman" w:cs="Times New Roman"/>
        </w:rPr>
      </w:pPr>
      <w:r>
        <w:rPr>
          <w:rFonts w:ascii="Times New Roman" w:hAnsi="Times New Roman" w:cs="Times New Roman"/>
        </w:rPr>
        <w:tab/>
      </w:r>
    </w:p>
    <w:p>
      <w:pPr>
        <w:pStyle w:val="BodyText"/>
        <w:jc w:val="both"/>
        <w:rPr>
          <w:rFonts w:ascii="Times New Roman" w:hAnsi="Times New Roman" w:cs="Times New Roman"/>
          <w:sz w:val="24"/>
          <w:szCs w:val="24"/>
          <w:u w:val="single"/>
          <w:lang w:val="sk-SK"/>
        </w:rPr>
      </w:pPr>
      <w:r>
        <w:rPr>
          <w:rFonts w:ascii="Times New Roman" w:hAnsi="Times New Roman" w:cs="Times New Roman"/>
          <w:sz w:val="24"/>
          <w:szCs w:val="24"/>
          <w:lang w:val="sk-SK"/>
        </w:rPr>
        <w:t>Účinnosť zákona  sa navrhuje od 1.januára 2005. V záujme dodržania termínu implementácie smernice č.2003/6/ES sa navrhuje účinnosť niektorých ustanovení od 1.novembra 2004.</w:t>
      </w:r>
    </w:p>
    <w:p>
      <w:pPr>
        <w:pStyle w:val="BodyText"/>
        <w:jc w:val="both"/>
        <w:rPr>
          <w:rFonts w:ascii="Times New Roman" w:hAnsi="Times New Roman" w:cs="Times New Roman"/>
          <w:sz w:val="24"/>
          <w:szCs w:val="24"/>
          <w:u w:val="single"/>
          <w:lang w:val="sk-SK"/>
        </w:rPr>
      </w:pPr>
    </w:p>
    <w:p>
      <w:pPr>
        <w:pStyle w:val="BodyText"/>
        <w:ind w:firstLine="708"/>
        <w:rPr>
          <w:rFonts w:ascii="Times New Roman" w:hAnsi="Times New Roman" w:cs="Times New Roman"/>
        </w:rPr>
      </w:pPr>
    </w:p>
    <w:p>
      <w:pPr>
        <w:pStyle w:val="BodyText"/>
        <w:rPr>
          <w:rFonts w:ascii="Times New Roman" w:hAnsi="Times New Roman" w:cs="Times New Roman"/>
          <w:sz w:val="24"/>
        </w:rPr>
      </w:pPr>
      <w:r>
        <w:rPr>
          <w:rFonts w:ascii="Times New Roman" w:hAnsi="Times New Roman" w:cs="Times New Roman"/>
          <w:sz w:val="24"/>
        </w:rPr>
        <w:t>V Bratislave 24. júna  2004</w:t>
      </w:r>
    </w:p>
    <w:p>
      <w:pPr>
        <w:pStyle w:val="BodyText"/>
        <w:ind w:firstLine="708"/>
        <w:rPr>
          <w:rFonts w:ascii="Times New Roman" w:hAnsi="Times New Roman" w:cs="Times New Roman"/>
        </w:rPr>
      </w:pPr>
    </w:p>
    <w:p>
      <w:pPr>
        <w:pStyle w:val="BodyText"/>
        <w:ind w:firstLine="708"/>
        <w:rPr>
          <w:rFonts w:ascii="Times New Roman" w:hAnsi="Times New Roman" w:cs="Times New Roman"/>
        </w:rPr>
      </w:pPr>
    </w:p>
    <w:p>
      <w:pPr>
        <w:pStyle w:val="BodyText"/>
        <w:ind w:left="4248" w:firstLine="708"/>
        <w:rPr>
          <w:rFonts w:ascii="Times New Roman" w:hAnsi="Times New Roman" w:cs="Times New Roman"/>
          <w:b/>
          <w:bCs/>
        </w:rPr>
      </w:pPr>
    </w:p>
    <w:p>
      <w:pPr>
        <w:pStyle w:val="BodyText"/>
        <w:ind w:left="4248" w:firstLine="708"/>
        <w:rPr>
          <w:rFonts w:ascii="Times New Roman" w:hAnsi="Times New Roman" w:cs="Times New Roman"/>
          <w:b/>
          <w:bCs/>
        </w:rPr>
      </w:pPr>
    </w:p>
    <w:p>
      <w:pPr>
        <w:pStyle w:val="BodyText"/>
        <w:ind w:left="4248" w:firstLine="708"/>
        <w:rPr>
          <w:rFonts w:ascii="Times New Roman" w:hAnsi="Times New Roman" w:cs="Times New Roman"/>
          <w:b/>
          <w:bCs/>
          <w:sz w:val="24"/>
        </w:rPr>
      </w:pPr>
    </w:p>
    <w:p>
      <w:pPr>
        <w:pStyle w:val="BodyText"/>
        <w:ind w:left="4248" w:firstLine="708"/>
        <w:rPr>
          <w:rFonts w:ascii="Times New Roman" w:hAnsi="Times New Roman" w:cs="Times New Roman"/>
          <w:b/>
          <w:bCs/>
          <w:sz w:val="24"/>
        </w:rPr>
      </w:pPr>
      <w:r>
        <w:rPr>
          <w:rFonts w:ascii="Times New Roman" w:hAnsi="Times New Roman" w:cs="Times New Roman"/>
          <w:b/>
          <w:bCs/>
          <w:sz w:val="24"/>
        </w:rPr>
        <w:t xml:space="preserve">Mikuláš Dzurinda v. r. </w:t>
      </w:r>
    </w:p>
    <w:p>
      <w:pPr>
        <w:pStyle w:val="BodyText"/>
        <w:ind w:firstLine="708"/>
        <w:rPr>
          <w:rFonts w:ascii="Times New Roman" w:hAnsi="Times New Roman" w:cs="Times New Roman"/>
          <w:sz w:val="24"/>
        </w:rPr>
      </w:pPr>
      <w:r>
        <w:rPr>
          <w:rFonts w:ascii="Times New Roman" w:hAnsi="Times New Roman" w:cs="Times New Roman"/>
          <w:sz w:val="24"/>
        </w:rPr>
        <w:t>´                                                            predseda vlády</w:t>
      </w:r>
      <w:r>
        <w:rPr>
          <w:rFonts w:ascii="Times New Roman" w:hAnsi="Times New Roman" w:cs="Times New Roman"/>
          <w:sz w:val="24"/>
        </w:rPr>
        <w:t xml:space="preserve"> Slovenskej republiky</w:t>
      </w:r>
    </w:p>
    <w:p>
      <w:pPr>
        <w:pStyle w:val="a2"/>
        <w:rPr>
          <w:rFonts w:ascii="Times New Roman" w:hAnsi="Times New Roman" w:cs="Times New Roman"/>
          <w:b/>
          <w:bCs/>
        </w:rPr>
      </w:pPr>
    </w:p>
    <w:p>
      <w:pPr>
        <w:pStyle w:val="a2"/>
        <w:rPr>
          <w:rFonts w:ascii="Times New Roman" w:hAnsi="Times New Roman" w:cs="Times New Roman"/>
          <w:b/>
          <w:bCs/>
        </w:rPr>
      </w:pPr>
    </w:p>
    <w:p>
      <w:pPr>
        <w:pStyle w:val="a2"/>
        <w:rPr>
          <w:rFonts w:ascii="Times New Roman" w:hAnsi="Times New Roman" w:cs="Times New Roman"/>
          <w:b/>
          <w:bCs/>
        </w:rPr>
      </w:pPr>
    </w:p>
    <w:p>
      <w:pPr>
        <w:pStyle w:val="a2"/>
        <w:spacing w:line="240" w:lineRule="auto"/>
        <w:ind w:left="4248" w:firstLine="706"/>
        <w:rPr>
          <w:rFonts w:ascii="Times New Roman" w:hAnsi="Times New Roman" w:cs="Times New Roman"/>
          <w:b/>
          <w:bCs/>
        </w:rPr>
      </w:pPr>
      <w:r>
        <w:rPr>
          <w:rFonts w:ascii="Times New Roman" w:hAnsi="Times New Roman" w:cs="Times New Roman"/>
          <w:b/>
          <w:bCs/>
        </w:rPr>
        <w:t xml:space="preserve">    Ivan Mikloš v. r. </w:t>
      </w:r>
    </w:p>
    <w:p>
      <w:pPr>
        <w:pStyle w:val="a2"/>
        <w:spacing w:line="240" w:lineRule="auto"/>
        <w:ind w:firstLine="706"/>
        <w:rPr>
          <w:rFonts w:ascii="Times New Roman" w:hAnsi="Times New Roman" w:cs="Times New Roman"/>
        </w:rPr>
      </w:pPr>
      <w:r>
        <w:rPr>
          <w:rFonts w:ascii="Times New Roman" w:hAnsi="Times New Roman" w:cs="Times New Roman"/>
        </w:rPr>
        <w:t xml:space="preserve">                                                                        podpredseda vlády </w:t>
      </w:r>
    </w:p>
    <w:p>
      <w:pPr>
        <w:pStyle w:val="a2"/>
        <w:spacing w:line="240" w:lineRule="auto"/>
        <w:ind w:firstLine="706"/>
        <w:rPr>
          <w:rFonts w:ascii="Times New Roman" w:hAnsi="Times New Roman" w:cs="Times New Roman"/>
          <w:b/>
          <w:bCs/>
        </w:rPr>
      </w:pPr>
      <w:r>
        <w:rPr>
          <w:rFonts w:ascii="Times New Roman" w:hAnsi="Times New Roman" w:cs="Times New Roman"/>
        </w:rPr>
        <w:t xml:space="preserve">                                                        a minister financií Slovenskej republiky</w:t>
      </w:r>
    </w:p>
    <w:p>
      <w:pPr>
        <w:rPr>
          <w:rFonts w:ascii="Times New Roman" w:hAnsi="Times New Roman" w:cs="Times New Roman"/>
        </w:rPr>
      </w:pPr>
    </w:p>
    <w:p>
      <w:pPr>
        <w:pStyle w:val="BodyText"/>
        <w:jc w:val="both"/>
        <w:rPr>
          <w:rFonts w:ascii="Times New Roman" w:hAnsi="Times New Roman" w:cs="Times New Roman"/>
          <w:sz w:val="24"/>
          <w:szCs w:val="24"/>
          <w:u w:val="single"/>
          <w:lang w:val="sk-SK"/>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footerReference w:type="even" r:id="rId4"/>
      <w:footerReference w:type="default" r:id="rId5"/>
      <w:pgSz w:w="11906" w:h="16838"/>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DED068"/>
    <w:lvl w:ilvl="0">
      <w:start w:val="0"/>
      <w:numFmt w:val="decimal"/>
      <w:lvlText w:val="*"/>
      <w:lvlJc w:val="left"/>
      <w:pPr>
        <w:ind w:left="0"/>
      </w:pPr>
    </w:lvl>
  </w:abstractNum>
  <w:abstractNum w:abstractNumId="1">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
    <w:nsid w:val="45214191"/>
    <w:multiLevelType w:val="hybridMultilevel"/>
    <w:tmpl w:val="2F6E1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B63449"/>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
    <w:nsid w:val="750F240C"/>
    <w:multiLevelType w:val="singleLevel"/>
    <w:tmpl w:val="131C959E"/>
    <w:lvl w:ilvl="0">
      <w:start w:val="2"/>
      <w:numFmt w:val="bullet"/>
      <w:lvlText w:val="-"/>
      <w:lvlJc w:val="left"/>
      <w:pPr>
        <w:tabs>
          <w:tab w:val="num" w:pos="720"/>
        </w:tabs>
        <w:ind w:left="720" w:hanging="360"/>
      </w:pPr>
      <w:rPr>
        <w:rFonts w:ascii="Times New Roman" w:hAnsi="Times New Roman" w:cs="Times New Roman"/>
        <w:rtl w:val="0"/>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cs="Times New Roman"/>
          <w:rtl w:val="0"/>
        </w:rPr>
      </w:lvl>
    </w:lvlOverride>
    <w:lvlOverride w:ilvl="1">
      <w:lvl w:ilvl="1">
        <w:start w:val="1"/>
        <w:numFmt w:val="bullet"/>
        <w:lvlText w:val="o"/>
        <w:lvlJc w:val="left"/>
        <w:pPr>
          <w:tabs>
            <w:tab w:val="num" w:pos="1440"/>
          </w:tabs>
          <w:ind w:left="1440" w:hanging="360"/>
        </w:pPr>
        <w:rPr>
          <w:rFonts w:ascii="Courier New" w:hAnsi="Courier New" w:cs="Courier New"/>
          <w:rtl w:val="0"/>
        </w:rPr>
      </w:lvl>
    </w:lvlOverride>
    <w:lvlOverride w:ilvl="2">
      <w:lvl w:ilvl="2">
        <w:start w:val="1"/>
        <w:numFmt w:val="bullet"/>
        <w:lvlText w:val=""/>
        <w:lvlJc w:val="left"/>
        <w:pPr>
          <w:tabs>
            <w:tab w:val="num" w:pos="2160"/>
          </w:tabs>
          <w:ind w:left="2160" w:hanging="360"/>
        </w:pPr>
        <w:rPr>
          <w:rFonts w:ascii="Wingdings" w:hAnsi="Wingdings" w:cs="Times New Roman"/>
          <w:rtl w:val="0"/>
        </w:rPr>
      </w:lvl>
    </w:lvlOverride>
    <w:lvlOverride w:ilvl="3">
      <w:lvl w:ilvl="3">
        <w:start w:val="1"/>
        <w:numFmt w:val="bullet"/>
        <w:lvlText w:val=""/>
        <w:lvlJc w:val="left"/>
        <w:pPr>
          <w:tabs>
            <w:tab w:val="num" w:pos="2880"/>
          </w:tabs>
          <w:ind w:left="2880" w:hanging="360"/>
        </w:pPr>
        <w:rPr>
          <w:rFonts w:ascii="Symbol" w:hAnsi="Symbol" w:cs="Times New Roman"/>
          <w:rtl w:val="0"/>
        </w:rPr>
      </w:lvl>
    </w:lvlOverride>
    <w:lvlOverride w:ilvl="4">
      <w:lvl w:ilvl="4">
        <w:start w:val="1"/>
        <w:numFmt w:val="bullet"/>
        <w:lvlText w:val="o"/>
        <w:lvlJc w:val="left"/>
        <w:pPr>
          <w:tabs>
            <w:tab w:val="num" w:pos="3600"/>
          </w:tabs>
          <w:ind w:left="3600" w:hanging="360"/>
        </w:pPr>
        <w:rPr>
          <w:rFonts w:ascii="Courier New" w:hAnsi="Courier New" w:cs="Courier New"/>
          <w:rtl w:val="0"/>
        </w:rPr>
      </w:lvl>
    </w:lvlOverride>
    <w:lvlOverride w:ilvl="5">
      <w:lvl w:ilvl="5">
        <w:start w:val="1"/>
        <w:numFmt w:val="bullet"/>
        <w:lvlText w:val=""/>
        <w:lvlJc w:val="left"/>
        <w:pPr>
          <w:tabs>
            <w:tab w:val="num" w:pos="4320"/>
          </w:tabs>
          <w:ind w:left="4320" w:hanging="360"/>
        </w:pPr>
        <w:rPr>
          <w:rFonts w:ascii="Wingdings" w:hAnsi="Wingdings" w:cs="Times New Roman"/>
          <w:rtl w:val="0"/>
        </w:rPr>
      </w:lvl>
    </w:lvlOverride>
    <w:lvlOverride w:ilvl="6">
      <w:lvl w:ilvl="6">
        <w:start w:val="1"/>
        <w:numFmt w:val="bullet"/>
        <w:lvlText w:val=""/>
        <w:lvlJc w:val="left"/>
        <w:pPr>
          <w:tabs>
            <w:tab w:val="num" w:pos="5040"/>
          </w:tabs>
          <w:ind w:left="5040" w:hanging="360"/>
        </w:pPr>
        <w:rPr>
          <w:rFonts w:ascii="Symbol" w:hAnsi="Symbol" w:cs="Times New Roman"/>
          <w:rtl w:val="0"/>
        </w:rPr>
      </w:lvl>
    </w:lvlOverride>
    <w:lvlOverride w:ilvl="7">
      <w:lvl w:ilvl="7">
        <w:start w:val="1"/>
        <w:numFmt w:val="bullet"/>
        <w:lvlText w:val="o"/>
        <w:lvlJc w:val="left"/>
        <w:pPr>
          <w:tabs>
            <w:tab w:val="num" w:pos="5760"/>
          </w:tabs>
          <w:ind w:left="5760" w:hanging="360"/>
        </w:pPr>
        <w:rPr>
          <w:rFonts w:ascii="Courier New" w:hAnsi="Courier New" w:cs="Courier New"/>
          <w:rtl w:val="0"/>
        </w:rPr>
      </w:lvl>
    </w:lvlOverride>
    <w:lvlOverride w:ilvl="8">
      <w:lvl w:ilvl="8">
        <w:start w:val="1"/>
        <w:numFmt w:val="bullet"/>
        <w:lvlText w:val=""/>
        <w:lvlJc w:val="left"/>
        <w:pPr>
          <w:tabs>
            <w:tab w:val="num" w:pos="6480"/>
          </w:tabs>
          <w:ind w:left="6480" w:hanging="360"/>
        </w:pPr>
        <w:rPr>
          <w:rFonts w:ascii="Wingdings" w:hAnsi="Wingdings" w:cs="Times New Roman"/>
          <w:rtl w:val="0"/>
        </w:rPr>
      </w:lvl>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b/>
      <w:bCs/>
    </w:rPr>
  </w:style>
  <w:style w:type="paragraph" w:styleId="Heading2">
    <w:name w:val="heading 2"/>
    <w:basedOn w:val="Normal"/>
    <w:next w:val="Normal"/>
    <w:uiPriority w:val="9"/>
    <w:qFormat/>
    <w:pPr>
      <w:keepNext/>
      <w:ind w:left="540" w:hanging="540"/>
      <w:jc w:val="both"/>
      <w:outlineLvl w:val="1"/>
    </w:pPr>
    <w:rPr>
      <w:b/>
      <w:bCs/>
      <w:i/>
      <w:iCs/>
    </w:rPr>
  </w:style>
  <w:style w:type="paragraph" w:styleId="Heading4">
    <w:name w:val="heading 4"/>
    <w:basedOn w:val="Normal"/>
    <w:next w:val="NormalIndent"/>
    <w:uiPriority w:val="9"/>
    <w:qFormat/>
    <w:pPr>
      <w:ind w:left="360"/>
      <w:jc w:val="left"/>
      <w:outlineLvl w:val="3"/>
    </w:pPr>
    <w:rPr>
      <w:u w:val="single"/>
    </w:rPr>
  </w:style>
  <w:style w:type="paragraph" w:styleId="Heading6">
    <w:name w:val="heading 6"/>
    <w:basedOn w:val="Normal"/>
    <w:next w:val="NormalIndent"/>
    <w:uiPriority w:val="9"/>
    <w:qFormat/>
    <w:pPr>
      <w:ind w:left="720"/>
      <w:jc w:val="left"/>
      <w:outlineLvl w:val="5"/>
    </w:pPr>
    <w:rPr>
      <w:sz w:val="20"/>
      <w:szCs w:val="20"/>
      <w:u w:val="single"/>
    </w:rPr>
  </w:style>
  <w:style w:type="character" w:default="1" w:styleId="DefaultParagraphFont">
    <w:name w:val="Default Paragraph Font"/>
  </w:style>
  <w:style w:type="character" w:styleId="PageNumber">
    <w:name w:val="page number"/>
    <w:basedOn w:val="DefaultParagraphFont"/>
  </w:style>
  <w:style w:type="paragraph" w:styleId="BodyText">
    <w:name w:val="Body Text"/>
    <w:basedOn w:val="Normal"/>
    <w:pPr>
      <w:autoSpaceDE/>
      <w:autoSpaceDN/>
      <w:jc w:val="left"/>
    </w:pPr>
    <w:rPr>
      <w:color w:val="000000"/>
      <w:sz w:val="20"/>
      <w:szCs w:val="20"/>
      <w:lang w:val="cs-CZ"/>
    </w:rPr>
  </w:style>
  <w:style w:type="paragraph" w:styleId="BodyTextIndent">
    <w:name w:val="Body Text Indent"/>
    <w:basedOn w:val="Normal"/>
    <w:pPr>
      <w:jc w:val="both"/>
    </w:pPr>
  </w:style>
  <w:style w:type="paragraph" w:customStyle="1" w:styleId="a">
    <w:name w:val="a)"/>
    <w:basedOn w:val="Normal"/>
    <w:pPr>
      <w:spacing w:before="120" w:after="120" w:line="360" w:lineRule="auto"/>
      <w:jc w:val="both"/>
    </w:pPr>
    <w:rPr>
      <w:lang w:val="cs-CZ"/>
    </w:rPr>
  </w:style>
  <w:style w:type="paragraph" w:styleId="NormalIndent">
    <w:name w:val="Normal Indent"/>
    <w:basedOn w:val="Normal"/>
    <w:pPr>
      <w:ind w:left="708"/>
      <w:jc w:val="left"/>
    </w:pPr>
  </w:style>
  <w:style w:type="paragraph" w:styleId="BodyTextIndent2">
    <w:name w:val="Body Text Indent 2"/>
    <w:basedOn w:val="Normal"/>
    <w:pPr>
      <w:ind w:firstLine="720"/>
      <w:jc w:val="both"/>
    </w:pPr>
  </w:style>
  <w:style w:type="paragraph" w:customStyle="1" w:styleId="Point1">
    <w:name w:val="Point 1"/>
    <w:basedOn w:val="Normal"/>
    <w:pPr>
      <w:spacing w:before="120" w:after="120"/>
      <w:ind w:left="1417" w:hanging="567"/>
      <w:jc w:val="both"/>
    </w:pPr>
    <w:rPr>
      <w:lang w:val="en-GB" w:eastAsia="ko-KR"/>
    </w:rPr>
  </w:style>
  <w:style w:type="paragraph" w:customStyle="1" w:styleId="NumPar1">
    <w:name w:val="NumPar 1"/>
    <w:basedOn w:val="Normal"/>
    <w:next w:val="Text1"/>
    <w:pPr>
      <w:numPr>
        <w:ilvl w:val="0"/>
        <w:numId w:val="3"/>
      </w:numPr>
      <w:tabs>
        <w:tab w:val="left" w:pos="720"/>
      </w:tabs>
      <w:spacing w:before="120" w:after="120"/>
      <w:ind w:left="720" w:hanging="360"/>
      <w:jc w:val="both"/>
    </w:pPr>
    <w:rPr>
      <w:lang w:val="en-GB" w:eastAsia="ko-KR"/>
    </w:rPr>
  </w:style>
  <w:style w:type="paragraph" w:customStyle="1" w:styleId="Text1">
    <w:name w:val="Text 1"/>
    <w:basedOn w:val="Normal"/>
    <w:pPr>
      <w:spacing w:before="120" w:after="120"/>
      <w:ind w:left="850"/>
      <w:jc w:val="both"/>
    </w:pPr>
    <w:rPr>
      <w:lang w:val="en-GB" w:eastAsia="ko-KR"/>
    </w:rPr>
  </w:style>
  <w:style w:type="paragraph" w:styleId="Footer">
    <w:name w:val="footer"/>
    <w:basedOn w:val="Normal"/>
    <w:pPr>
      <w:tabs>
        <w:tab w:val="center" w:pos="4536"/>
        <w:tab w:val="right" w:pos="9072"/>
      </w:tabs>
      <w:jc w:val="left"/>
    </w:pPr>
  </w:style>
  <w:style w:type="paragraph" w:customStyle="1" w:styleId="a2">
    <w:name w:val="a)2"/>
    <w:basedOn w:val="Normal"/>
    <w:pPr>
      <w:spacing w:line="360" w:lineRule="auto"/>
      <w:jc w:val="both"/>
    </w:pPr>
    <w:rPr>
      <w:szCs w:val="20"/>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28</Pages>
  <Words>10109</Words>
  <Characters>57622</Characters>
  <Application>Microsoft Office Word</Application>
  <DocSecurity>0</DocSecurity>
  <Lines>0</Lines>
  <Paragraphs>0</Paragraphs>
  <ScaleCrop>false</ScaleCrop>
  <Company/>
  <LinksUpToDate>false</LinksUpToDate>
  <CharactersWithSpaces>70763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Marta Gulárová</dc:creator>
  <cp:lastModifiedBy>Marta Gulárová</cp:lastModifiedBy>
  <cp:revision>1</cp:revision>
  <dcterms:created xsi:type="dcterms:W3CDTF">2004-06-24T08:54:00Z</dcterms:created>
  <dcterms:modified xsi:type="dcterms:W3CDTF">2004-06-24T08:56:00Z</dcterms:modified>
</cp:coreProperties>
</file>