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4"/>
        <w:jc w:val="center"/>
        <w:rPr>
          <w:rFonts w:ascii="Times New Roman" w:hAnsi="Times New Roman" w:cs="Times New Roman"/>
          <w:b/>
          <w:bCs/>
          <w:sz w:val="30"/>
          <w:szCs w:val="30"/>
          <w:u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none"/>
        </w:rPr>
        <w:t>Dôvodová správa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Všeobecná časť: 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novely zákona, ktorým sa mení a dopĺňa zákon č. 566/2001 Z. z. o cenných papieroch a investičných službách a o zmene a doplnení niektorých zákonov (zákon o cenných papieroch) v znení neskorších predpisov a o zm</w:t>
      </w:r>
      <w:r>
        <w:rPr>
          <w:rFonts w:ascii="Times New Roman" w:hAnsi="Times New Roman" w:cs="Times New Roman"/>
        </w:rPr>
        <w:t xml:space="preserve">ene a doplnení niektorých zákonov </w:t>
      </w: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vypracovalo Ministerstvo financií Slovenskej republiky v súlade s Plánom legislatívnych úloh vlády Slovenskej republiky na rok 2004. Pri spracovaní predkladaného návrhu zákona boli využité skúsenosti a poznatky z aplikácie doterajšej právnej úpravy a právnych predpisov Európskej únie upravujúcich oblasť obchodovania na finančných trhoch. 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Zámerom predkladaného návrhu zákona je predovšetkým</w:t>
      </w:r>
    </w:p>
    <w:p>
      <w:pPr>
        <w:pStyle w:val="BodyText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plne harmonizovať zákazy manipulácie s trhom s pravidlami EÚ, najmä so smernicou Európskeho parlamentu a Európskej rady zo dňa 28. januára 2003 o obchodovaní s využitím dôverných informácií (zneužívanie trhu) č.2003/6/ES a s implementačnými opatreniami  prijatými na jej vykonanie,</w:t>
      </w:r>
    </w:p>
    <w:p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harmonizovať úpravu dohľadu nad činnosťou obchodníkov s cennými papiermi a správcovskými spoločnosťami so smernicou Európskeho parlamentu a Európskej rady č.2002/87/ES o doplńujúcom dohľade nad finančnými konglomerátmi,</w:t>
      </w:r>
    </w:p>
    <w:p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harmonizovať úpravu záložného práva k cenným papierom so smernicou Európskeho parlamentu a Európskej rady č.2002/47/ES o finančných kolateráloch,</w:t>
      </w:r>
    </w:p>
    <w:p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posilniť právomoci orgánu dohľadu nad obchodovaním s finančnými nástrojmi a vybaviť ho ďalšími nástrojmi prostredníctvom ktorých bude môcť účinne zasahovať v prípade porušenia zákona,     </w:t>
      </w:r>
    </w:p>
    <w:p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reagovať na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zmeny v eurolegislatíve v oblasti kapitálového trhu, ktoré boli vykonané v roku 2003, </w:t>
      </w:r>
    </w:p>
    <w:p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zvýšiť úroveň ochrany účastníkov finančného trhu.</w:t>
      </w:r>
    </w:p>
    <w:p>
      <w:pPr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Indent"/>
        <w:overflowPunct w:val="0"/>
        <w:autoSpaceDE/>
        <w:autoSpaceDN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Budovanie jednotného európskeho trhu pre finančné služby je založené na nevyhnutnosti jeho integrity, bezproblémového fungovania, dôvery verejnosti a právnej istoty. Zneužívanie trhu poškodzuje integritu finančných trhov a dôveru verejnosti v cenné papiere a deriváty.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č.2003/6/ES o obchodovaní s  využitím  dôverných informácií a o manipulácii s trhom (zneužívanie trhu) bola prijatá v rámci  „Akčného plánu“, určujúceho súbor krokov, ktoré sú potrebné na to, aby sa dokončil jednotný trh pre finančné služby (Financial services action plan – FSAP). Európska rada v Lisabone v apríli 2000  vyzvala na splnenie tohto akčného plánu do roku 2005. Akčný plán zdôrazňuje potrebu vypracovať smernicu proti manipulácii s trhom. </w:t>
      </w:r>
    </w:p>
    <w:p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Potreba vypracovania novej smernice o zneužívaní trhu vznikla z dôvodu stále nových finančných a technických trendov zvyšujúcich motiváciu, prostriedky a príležitosti na zneužívanie trhu: pomocou nových produktov, nových technológií, zvýšených cezhraničných aktivít a Internetu. Zneužívanie trhu spočíva v obchodovaní s využitím dôverných informácií a manipulácie s trhom.  Cieľ právnych predpisov zameraných proti obchodovaniu s využitím dôverných informácií je ten istý ako pri právnych predpisoch proti manipulácii s trhom: zabezpečiť  integritu finančných trhov spoločenstva a zvýšiť dôveru investorov v tieto trhy.  Preto je vhodné prijať univerzálne pravidlá na boj proti obchodovaniu s využitím dôverných informácií a manipulácii s trhom. </w:t>
      </w:r>
    </w:p>
    <w:p>
      <w:pPr>
        <w:ind w:firstLine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Obchodovanie s využitím  dôverných informácií a manipulácia s trhom bránia úplnej a riadnej transparentnosti trhu, čo je nevyhnutnou podmienkou obchodovania všetkých účastníkov hospodárskeho diania na integrovaných finančných trhoch.</w:t>
      </w:r>
    </w:p>
    <w:p>
      <w:pPr>
        <w:ind w:firstLine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Moderné metódy komunikácie na jednej strane umožňujú odborníkom na finančných trhoch a súkromným investorom mať rovnocennejší prístup k finančným informáciám, no na druhej strane zvyšu</w:t>
      </w:r>
      <w:r>
        <w:rPr>
          <w:rFonts w:ascii="Times New Roman" w:hAnsi="Times New Roman" w:cs="Times New Roman"/>
        </w:rPr>
        <w:t xml:space="preserve">jú aj riziko šírenia falošných alebo zavádzajúcich informácií. </w:t>
      </w:r>
    </w:p>
    <w:p>
      <w:pPr>
        <w:ind w:firstLine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Rýchle a čestné zverejnenie informácií verejnosti zvyšuje integritu trhu, pričom selektívne zverejnenie emitentmi môže viesť k strate dôvery investorov v integritu finančných trhov. Profesionálni účastníci hospodárskeho diania  by mali prispievať k integrite trhu rôznymi prostriedkami. Vyžaduje si to klásť dôraz na transparentnosť obchodov uskutočňovaných osobami plniacimi si manažérske povinnosti u emitentov a osobami s nimi úzko spojenými, čo je  preventívnym opatrením  proti zneužívaniu trhu. Aj uverejnenie takýchto transakcií prinajmenšom individuálne môže byť vysoko cenným zdrojom informácií pre investorov. </w:t>
      </w: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Potreba tejto právnej úpravy vyplynula z vývoja na finančných trhoch, ktorý viedol k vzniku finančných služieb poskytujúcich služby a produkty v rôznych sektoroch finančných trhov, ktoré sa označujú ako finančné konglomeráty. Až doteraz neexistovala žiadna forma celoskupinového dohľadu nad obozretným podnikaním úverových ústavov, poisťovní a obchodníkov s cennými papiermi, ktoré sú súčasťou takéhoto konglomerátu, najmä čo sa týka platobnej schopnosti a koncentrácie rizík na úrovni konglomerátu, vnútroskupinových transakcií, interných postupov riadenia rizík na úrovni konglomer</w:t>
      </w:r>
      <w:r>
        <w:rPr>
          <w:rFonts w:ascii="Times New Roman" w:hAnsi="Times New Roman" w:cs="Times New Roman"/>
          <w:sz w:val="24"/>
          <w:szCs w:val="24"/>
          <w:lang w:val="sk-SK"/>
        </w:rPr>
        <w:t>átu a primeraného a vhodného charakteru riadenia.</w:t>
      </w: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Niektoré tieto konglomeráty patria medzi najväčšie finančné skupiny, ktoré sú aktívne na finančných trhoch. Ak by sa tieto konglomeráty, dostali do finančných ťažkostí, tieto by mohli vážne destabilizovať finančný systém a mohli by mať negatívny vplyv na individuálnych vkladateľov, majiteľov poistiek a investorov.</w:t>
      </w:r>
    </w:p>
    <w:p>
      <w:pPr>
        <w:pStyle w:val="BodyText"/>
        <w:jc w:val="both"/>
        <w:rPr>
          <w:rFonts w:ascii="Times New Roman" w:hAnsi="Times New Roman" w:cs="Times New Roman"/>
          <w:lang w:val="sk-SK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č.2002/87/ES o doplňujúcom dohľade nad úverovými ústavmi, poisťovňami a obchodníkmi s cennými papiermi vo finančnom konglomeráte, ktorou sa menia a dopĺňajú smernice Rady 73/239/EHS, 79/267/EHS, 92/49/EHS, 92/96/EHS, 93/6/EHS a 93/22/EHS a smernice 98/78/ES a 2000/12/ES Európskeho parlamentu a Rady bola tiež prijatá v rámci  FSAP. 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doplňujúci dohľad nad úverovými ústavmi, poisťovňami a obchodníkmi s cennými papiermi vo finančnom konglomeráte bol účinný, musí sa vzťahovať na všetky finančné činnosti identifikované vo finančnej legislatíve platnej pre sektor a do predmetu doplňujúceho dohľadu by mali patriť všetky subjekty, ktoré sa prvorado angažujú v takýchto činnostiach, vrátane správcovských spoločností. Vzhľadom k tomu, že finančné konglomeráty sú často riadené podľa odvetvia podnikateľskej činnosti, ktoré nie je úplne v zhode s právnou štruktúrou konglomerátu, bolo treba ďalej rozšíriť požiadavky na riadenie, najmä pokiaľ ide o riadenie zmiešanej holdingovej spoločnosti.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pStyle w:val="BodyTextInden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všetky finančné konglomeráty, na ktoré sa vzťahuje doplňujúci dohľad, musí byť vymenovaný koordinátor z radov zainteresovaných príslušných orgánov. Zainteresované príslušné orgány, a najmä koordinátor, musia mať prostriedky na získavanie informácií od subjektov vo finančnom konglomeráte alebo od iných príslušných orgánov, ktoré sú potrebné na výkon doplňujúceho dohľadu.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súlade s uvedenými zásadami bol vypracovaný predkladaný návrh zákona, ktorého cieľom je akceptovať uvedené zásady a prispieť tak integrite a transparentnosti finančného trhu. 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Prekladaný návrh zákona je v súlade s Ústavou Slovenskej republiky, zákonmi Slovenskej republiky, ako aj medzinárodnými zmluvami a inými medzinárodnými dokumentmi, ktorými je Slovenská republika viazaná. Je predložený tiež v súlade s článkami 69 a 70 Európskej dohody zo 4.10.1993 o pridružení Slovenskej republiky k Európskym spoločenstvám (oznámenie č. 158/1997 Z. z.).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Prijatie navrhovaného zákona nebude mať dopad na štátny rozpočet, rozpočty vyšších územných celkov, rozpočty obcí a nebude mať dopad na zamestnanosť ani na tvorbu pracovných miest a organizačné zabezpečenie.</w:t>
      </w:r>
    </w:p>
    <w:p>
      <w:pPr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DED068"/>
    <w:lvl w:ilvl="0">
      <w:start w:val="0"/>
      <w:numFmt w:val="decimal"/>
      <w:lvlText w:val="*"/>
      <w:lvlJc w:val="left"/>
      <w:pPr>
        <w:ind w:left="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/>
          <w:rtl w:val="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/>
          <w:rtl w:val="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Times New Roman"/>
          <w:rtl w:val="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Times New Roman"/>
          <w:rtl w:val="0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/>
          <w:rtl w:val="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Times New Roman"/>
          <w:rtl w:val="0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Times New Roman"/>
          <w:rtl w:val="0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/>
          <w:rtl w:val="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Times New Roman"/>
          <w:rtl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Indent"/>
    <w:uiPriority w:val="9"/>
    <w:qFormat/>
    <w:pPr>
      <w:ind w:left="360"/>
      <w:jc w:val="left"/>
      <w:outlineLvl w:val="3"/>
    </w:pPr>
    <w:rPr>
      <w:u w:val="single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jc w:val="both"/>
    </w:pPr>
  </w:style>
  <w:style w:type="paragraph" w:styleId="BodyText">
    <w:name w:val="Body Text"/>
    <w:basedOn w:val="Normal"/>
    <w:pPr>
      <w:autoSpaceDE/>
      <w:autoSpaceDN/>
      <w:jc w:val="left"/>
    </w:pPr>
    <w:rPr>
      <w:color w:val="000000"/>
      <w:sz w:val="20"/>
      <w:szCs w:val="20"/>
      <w:lang w:val="cs-CZ"/>
    </w:rPr>
  </w:style>
  <w:style w:type="paragraph" w:styleId="BodyTextIndent3">
    <w:name w:val="Body Text Indent 3"/>
    <w:basedOn w:val="Normal"/>
    <w:pPr>
      <w:ind w:firstLine="708"/>
      <w:jc w:val="both"/>
    </w:pPr>
  </w:style>
  <w:style w:type="paragraph" w:styleId="NormalIndent">
    <w:name w:val="Normal Indent"/>
    <w:basedOn w:val="Normal"/>
    <w:pPr>
      <w:ind w:left="708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1072</Words>
  <Characters>6111</Characters>
  <Application>Microsoft Office Word</Application>
  <DocSecurity>0</DocSecurity>
  <Lines>0</Lines>
  <Paragraphs>0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Marta Gulárová</dc:creator>
  <cp:lastModifiedBy>Marta Gulárová</cp:lastModifiedBy>
  <cp:revision>2</cp:revision>
  <dcterms:created xsi:type="dcterms:W3CDTF">2004-06-24T08:48:00Z</dcterms:created>
  <dcterms:modified xsi:type="dcterms:W3CDTF">2004-06-24T08:49:00Z</dcterms:modified>
</cp:coreProperties>
</file>