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rPr>
          <w:rFonts w:ascii="Times New Roman" w:hAnsi="Times New Roman" w:cs="Times New Roman"/>
          <w:lang w:val="sk-SK"/>
        </w:rPr>
      </w:pPr>
      <w:r>
        <w:rPr>
          <w:rFonts w:ascii="Times New Roman" w:hAnsi="Times New Roman" w:cs="Times New Roman"/>
          <w:lang w:val="sk-SK"/>
        </w:rPr>
        <w:t xml:space="preserve">                                                                              </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jc w:val="center"/>
        <w:rPr>
          <w:rFonts w:ascii="Times New Roman" w:hAnsi="Times New Roman" w:cs="Times New Roman"/>
          <w:b/>
          <w:lang w:val="sk-SK"/>
        </w:rPr>
      </w:pPr>
      <w:r>
        <w:rPr>
          <w:rFonts w:ascii="Times New Roman" w:hAnsi="Times New Roman" w:cs="Times New Roman"/>
          <w:b/>
          <w:lang w:val="sk-SK"/>
        </w:rPr>
        <w:t>TABUĽKA ZHODY</w:t>
      </w:r>
    </w:p>
    <w:p>
      <w:pPr>
        <w:pStyle w:val="BodyText2"/>
        <w:rPr>
          <w:rFonts w:ascii="Times New Roman" w:hAnsi="Times New Roman" w:cs="Times New Roman"/>
          <w:bCs/>
        </w:rPr>
      </w:pPr>
      <w:r>
        <w:rPr>
          <w:rFonts w:ascii="Times New Roman" w:hAnsi="Times New Roman" w:cs="Times New Roman"/>
        </w:rPr>
        <w:t xml:space="preserve">návrhu zákona, ktorým sa mení a dopĺňa zákon č. 95/2002 Z. z. o poisťovníctve a o zmene a doplnení niektorých zákonov v znení neskorších </w:t>
      </w:r>
      <w:r>
        <w:rPr>
          <w:rFonts w:ascii="Times New Roman" w:hAnsi="Times New Roman" w:cs="Times New Roman"/>
          <w:bCs/>
        </w:rPr>
        <w:t>predpisov</w:t>
      </w:r>
    </w:p>
    <w:p>
      <w:pPr>
        <w:jc w:val="center"/>
        <w:rPr>
          <w:rFonts w:ascii="Times New Roman" w:hAnsi="Times New Roman" w:cs="Times New Roman"/>
          <w:b/>
          <w:lang w:val="sk-SK"/>
        </w:rPr>
      </w:pPr>
      <w:r>
        <w:rPr>
          <w:rFonts w:ascii="Times New Roman" w:hAnsi="Times New Roman" w:cs="Times New Roman"/>
          <w:b/>
          <w:lang w:val="sk-SK"/>
        </w:rPr>
        <w:t>s právom Európskych spoločenstiev a právom Európskej únie</w:t>
      </w:r>
    </w:p>
    <w:p>
      <w:pPr>
        <w:rPr>
          <w:rFonts w:ascii="Times New Roman" w:hAnsi="Times New Roman" w:cs="Times New Roman"/>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457"/>
        <w:gridCol w:w="694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4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rPr>
            </w:pPr>
            <w:r>
              <w:rPr>
                <w:rFonts w:ascii="Times New Roman" w:hAnsi="Times New Roman" w:cs="Times New Roman"/>
              </w:rPr>
              <w:t>Právny akt EÚ</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lang w:val="sk-SK"/>
              </w:rPr>
              <w:t xml:space="preserve">Smernica Rady č. </w:t>
            </w:r>
            <w:r>
              <w:rPr>
                <w:rFonts w:ascii="Times New Roman" w:hAnsi="Times New Roman" w:cs="Times New Roman"/>
                <w:b/>
                <w:lang w:val="sk-SK"/>
              </w:rPr>
              <w:t>88/357/EHS</w:t>
            </w:r>
            <w:r>
              <w:rPr>
                <w:rFonts w:ascii="Times New Roman" w:hAnsi="Times New Roman" w:cs="Times New Roman"/>
                <w:lang w:val="sk-SK"/>
              </w:rPr>
              <w:t xml:space="preserve"> </w:t>
            </w:r>
            <w:r>
              <w:rPr>
                <w:rFonts w:ascii="Times New Roman" w:hAnsi="Times New Roman" w:cs="Times New Roman"/>
              </w:rPr>
              <w:t>z 22. júna 1988 o koordinácii právnych predpisov, nariadení a administratívnych ustanovení týkajúcich sa priameho poistenia iného ako životné poistenie a stanovujúce ustanovenia na uľahčenie efektívneho uplatňovania slobody poskytovať služby a pozmeňujúca a doplňujúca smernicu 73/239/EHS</w:t>
            </w:r>
          </w:p>
          <w:p>
            <w:pPr>
              <w:rPr>
                <w:rFonts w:ascii="Times New Roman" w:hAnsi="Times New Roman" w:cs="Times New Roman"/>
                <w:b/>
                <w:lang w:val="sk-SK"/>
              </w:rPr>
            </w:pPr>
          </w:p>
        </w:tc>
        <w:tc>
          <w:tcPr>
            <w:tcW w:w="69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Všeobecne záväzné právne predpisy SR</w:t>
            </w:r>
          </w:p>
          <w:p>
            <w:pPr>
              <w:rPr>
                <w:rFonts w:ascii="Times New Roman" w:hAnsi="Times New Roman" w:cs="Times New Roman"/>
                <w:b/>
                <w:lang w:val="sk-SK"/>
              </w:rPr>
            </w:pPr>
          </w:p>
          <w:p>
            <w:pPr>
              <w:rPr>
                <w:rFonts w:ascii="Times New Roman" w:hAnsi="Times New Roman" w:cs="Times New Roman"/>
                <w:b/>
                <w:lang w:val="sk-SK"/>
              </w:rPr>
            </w:pPr>
            <w:r>
              <w:rPr>
                <w:rFonts w:ascii="Times New Roman" w:hAnsi="Times New Roman" w:cs="Times New Roman"/>
                <w:b/>
                <w:lang w:val="sk-SK"/>
              </w:rPr>
              <w:t>Návrh zákona, ktorým sa mení a dopĺňa zákon č. 95/2002 Z.z. o poisťovníctve v znení neskorší</w:t>
            </w:r>
            <w:r>
              <w:rPr>
                <w:rFonts w:ascii="Times New Roman" w:hAnsi="Times New Roman" w:cs="Times New Roman"/>
                <w:b/>
                <w:lang w:val="sk-SK"/>
              </w:rPr>
              <w:t>ch predpisov</w:t>
            </w:r>
          </w:p>
          <w:p>
            <w:pPr>
              <w:rPr>
                <w:rFonts w:ascii="Times New Roman" w:hAnsi="Times New Roman" w:cs="Times New Roman"/>
                <w:b/>
                <w:lang w:val="sk-SK"/>
              </w:rPr>
            </w:pPr>
          </w:p>
          <w:p>
            <w:pPr>
              <w:rPr>
                <w:rFonts w:ascii="Times New Roman" w:hAnsi="Times New Roman" w:cs="Times New Roman"/>
                <w:b/>
                <w:lang w:val="sk-SK"/>
              </w:rPr>
            </w:pPr>
            <w:r>
              <w:rPr>
                <w:rFonts w:ascii="Times New Roman" w:hAnsi="Times New Roman" w:cs="Times New Roman"/>
                <w:lang w:val="sk-SK"/>
              </w:rPr>
              <w:t>40/1964 Zb. Občiansky zákonníkv znení neskorších prepdisov</w:t>
            </w:r>
          </w:p>
        </w:tc>
      </w:tr>
    </w:tbl>
    <w:p>
      <w:pPr>
        <w:rPr>
          <w:rFonts w:ascii="Times New Roman" w:hAnsi="Times New Roman" w:cs="Times New Roman"/>
        </w:rPr>
      </w:pPr>
      <w:r>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637"/>
        <w:gridCol w:w="3969"/>
        <w:gridCol w:w="851"/>
        <w:gridCol w:w="709"/>
        <w:gridCol w:w="567"/>
        <w:gridCol w:w="3402"/>
        <w:gridCol w:w="567"/>
        <w:gridCol w:w="992"/>
        <w:gridCol w:w="709"/>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lang w:val="sk-SK"/>
              </w:rPr>
              <w:t xml:space="preserve">   </w:t>
            </w:r>
            <w:r>
              <w:rPr>
                <w:rFonts w:ascii="Times New Roman" w:hAnsi="Times New Roman" w:cs="Times New Roman"/>
                <w:b/>
                <w:lang w:val="sk-SK"/>
              </w:rPr>
              <w:t>č.</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2"/>
              <w:rPr>
                <w:rFonts w:ascii="Times New Roman" w:hAnsi="Times New Roman" w:cs="Times New Roman"/>
              </w:rPr>
            </w:pPr>
            <w:r>
              <w:rPr>
                <w:rFonts w:ascii="Times New Roman" w:hAnsi="Times New Roman" w:cs="Times New Roman"/>
              </w:rPr>
              <w:t>Text</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sz w:val="20"/>
                <w:lang w:val="sk-SK"/>
              </w:rPr>
            </w:pPr>
            <w:r>
              <w:rPr>
                <w:rFonts w:ascii="Times New Roman" w:hAnsi="Times New Roman" w:cs="Times New Roman"/>
                <w:b/>
                <w:sz w:val="20"/>
                <w:lang w:val="sk-SK"/>
              </w:rPr>
              <w:t>Spô sob trans-pozície</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Článok</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Text</w:t>
            </w: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Zhoda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sz w:val="20"/>
                <w:lang w:val="sk-SK"/>
              </w:rPr>
            </w:pPr>
            <w:r>
              <w:rPr>
                <w:rFonts w:ascii="Times New Roman" w:hAnsi="Times New Roman" w:cs="Times New Roman"/>
                <w:b/>
                <w:sz w:val="20"/>
                <w:lang w:val="sk-SK"/>
              </w:rPr>
              <w:t>Administratívna infraštruktúra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Poznámky</w:t>
            </w: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čl.7</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1. Právo platné pro pojistné smlouvy zmíněné touto směrnicí a kryjící rizika nacházející se v členských státech se určí v souladu s následujícími ustanoveními:</w:t>
            </w:r>
          </w:p>
          <w:p>
            <w:pPr>
              <w:rPr>
                <w:rFonts w:ascii="Times New Roman" w:hAnsi="Times New Roman" w:cs="Times New Roman"/>
                <w:lang w:val="sk-SK"/>
              </w:rPr>
            </w:pPr>
            <w:r>
              <w:rPr>
                <w:rFonts w:ascii="Times New Roman" w:hAnsi="Times New Roman" w:cs="Times New Roman"/>
                <w:lang w:val="sk-SK"/>
              </w:rPr>
              <w:br/>
              <w:t>a) Pokud má pojistník své obvyklé sídlo nebo ústředí v členském státě, kde se nachází riziko, platí pro pojistnou smlouvu právo tohoto členského státu. Pokud to však právo tohoto členského státu připouští, smluvní strany mohou zvolit právo jiného státu.</w:t>
              <w:br/>
            </w:r>
          </w:p>
          <w:p>
            <w:pPr>
              <w:rPr>
                <w:rFonts w:ascii="Times New Roman" w:hAnsi="Times New Roman" w:cs="Times New Roman"/>
                <w:lang w:val="sk-SK"/>
              </w:rPr>
            </w:pPr>
            <w:r>
              <w:rPr>
                <w:rFonts w:ascii="Times New Roman" w:hAnsi="Times New Roman" w:cs="Times New Roman"/>
                <w:lang w:val="sk-SK"/>
              </w:rPr>
              <w:t>b) Pokud pojistník nemá své obvyklé sídlo nebo ústředí v členském státě, kde se nachází riziko, mohou smluvní strany zvolit uplatnění buď práva členského státu, kde se nachází riziko, nebo práva státu, kde má pojistník své obvyklé sídlo nebo ústředí.</w:t>
              <w:br/>
            </w:r>
          </w:p>
          <w:p>
            <w:pPr>
              <w:rPr>
                <w:rFonts w:ascii="Times New Roman" w:hAnsi="Times New Roman" w:cs="Times New Roman"/>
                <w:lang w:val="sk-SK"/>
              </w:rPr>
            </w:pPr>
            <w:r>
              <w:rPr>
                <w:rFonts w:ascii="Times New Roman" w:hAnsi="Times New Roman" w:cs="Times New Roman"/>
                <w:lang w:val="sk-SK"/>
              </w:rPr>
              <w:t>c) Pokud pojistník provozuje obchodní nebo průmyslovou činnost nebo svobodné povolání a smlouva kryje dvě nebo více rizik spojených s těmito činnostmi a nacházejících se v různých členských státech, rozšiřuje se svoboda volby práva platného pro smlouvy i na právo těchto členských států a státu, kde pojistník má své obvyklé sídlo nebo ústředí.</w:t>
              <w:br/>
            </w:r>
          </w:p>
          <w:p>
            <w:pPr>
              <w:rPr>
                <w:rFonts w:ascii="Times New Roman" w:hAnsi="Times New Roman" w:cs="Times New Roman"/>
                <w:lang w:val="sk-SK"/>
              </w:rPr>
            </w:pPr>
            <w:r>
              <w:rPr>
                <w:rFonts w:ascii="Times New Roman" w:hAnsi="Times New Roman" w:cs="Times New Roman"/>
                <w:lang w:val="sk-SK"/>
              </w:rPr>
              <w:t>d) Bez ohledu na ustanovení pod písm. b) a c), pokud členské státy zmíněné v uvedených odstavcích poskytují větší svobodu volby práva platného pro smlouvu, mohou smluvní strany této svobody využít.</w:t>
              <w:br/>
            </w:r>
          </w:p>
          <w:p>
            <w:pPr>
              <w:rPr>
                <w:rFonts w:ascii="Times New Roman" w:hAnsi="Times New Roman" w:cs="Times New Roman"/>
                <w:lang w:val="sk-SK"/>
              </w:rPr>
            </w:pPr>
            <w:r>
              <w:rPr>
                <w:rFonts w:ascii="Times New Roman" w:hAnsi="Times New Roman" w:cs="Times New Roman"/>
                <w:lang w:val="sk-SK"/>
              </w:rPr>
              <w:t>e) Bez ohledu na ustanovení pod písm. a), b) a c), pokud jsou rizika krytá smlouvou omezena na události, ke kterým dochází v jiném členském státě, než ve kterém se nachází riziko, jak je uvedeno v čl. 2 písm. d), mohou smluvní strany zvolit právo tohoto jiného státu.</w:t>
              <w:br/>
            </w:r>
          </w:p>
          <w:p>
            <w:pPr>
              <w:rPr>
                <w:rFonts w:ascii="Times New Roman" w:hAnsi="Times New Roman" w:cs="Times New Roman"/>
              </w:rPr>
            </w:pPr>
            <w:r>
              <w:rPr>
                <w:rFonts w:ascii="Times New Roman" w:hAnsi="Times New Roman" w:cs="Times New Roman"/>
                <w:lang w:val="sk-SK"/>
              </w:rPr>
              <w:t>f) Pro rizika uvedená v čl. 5 písm. d) bod i) První směrnice mohou smluvní strany zvolit kterékoliv právo.</w:t>
              <w:br/>
            </w:r>
            <w:r>
              <w:rPr>
                <w:rFonts w:ascii="Times New Roman" w:hAnsi="Times New Roman" w:cs="Times New Roman"/>
              </w:rPr>
              <w:t>7) OJ čís. L 193, 18.</w:t>
            </w:r>
            <w:r>
              <w:rPr>
                <w:rFonts w:ascii="Times New Roman" w:hAnsi="Times New Roman" w:cs="Times New Roman"/>
              </w:rPr>
              <w:t xml:space="preserve"> 7. 1983, str. 1</w:t>
              <w:br/>
            </w:r>
          </w:p>
          <w:p>
            <w:pPr>
              <w:rPr>
                <w:rFonts w:ascii="Times New Roman" w:hAnsi="Times New Roman" w:cs="Times New Roman"/>
              </w:rPr>
            </w:pPr>
            <w:r>
              <w:rPr>
                <w:rFonts w:ascii="Times New Roman" w:hAnsi="Times New Roman" w:cs="Times New Roman"/>
              </w:rPr>
              <w:t>g) Skutečnost, že v případech zmíněných pod písm. a) nebo f) zvolily strany některé právo, pokud všechny ostatní aspekty týkající se situace v době volby práva jsou spojeny pouze s jedním státem, nemůže mít žádný vliv na použití kogentních pravidel práva tohoto členského státu, to znamená pravidel, ze kterých právo daného státu nepřipouští odchylky ve smluvních ustanoveních.</w:t>
              <w:br/>
            </w:r>
          </w:p>
          <w:p>
            <w:pPr>
              <w:rPr>
                <w:rFonts w:ascii="Times New Roman" w:hAnsi="Times New Roman" w:cs="Times New Roman"/>
              </w:rPr>
            </w:pPr>
            <w:r>
              <w:rPr>
                <w:rFonts w:ascii="Times New Roman" w:hAnsi="Times New Roman" w:cs="Times New Roman"/>
              </w:rPr>
              <w:t>h) Volba práva zmíněná v předchozích ustanoveních tohoto článku musí být vyjádřena nebo projevena s dostatečnou určitostí podmínkami smlouvy nebo okolnostmi případu. Není-li tomu tak nebo pokud k volbě nedošlo, uplatní se na smlouvu právo státu, který je se smlouvou ze všech států zmíněných v příslušných výše uvedených ustanoveních tohoto článku v nejtěsnější spojitosti. Na oddělitelnou část smlouvy, která má s některým ze států uvedených v příslušných ustanoveních tohoto článku těsnější spojitost, může být jako výjimka uplatněno právo tohoto jiného státu. Pokud není zjištěno něco jiného, předpokládá se, že smlouva má nejtěsnější spojitost s členským státem, kde se nachází riziko.</w:t>
              <w:br/>
            </w:r>
          </w:p>
          <w:p>
            <w:pPr>
              <w:rPr>
                <w:rFonts w:ascii="Times New Roman" w:hAnsi="Times New Roman" w:cs="Times New Roman"/>
              </w:rPr>
            </w:pPr>
            <w:r>
              <w:rPr>
                <w:rFonts w:ascii="Times New Roman" w:hAnsi="Times New Roman" w:cs="Times New Roman"/>
              </w:rPr>
              <w:t>i) Sestává-li stát z několika územních jednotek, z nichž každá má svá zákonná ustanovení pro smluvní závazky, pak pro účely určení zákona uplatňovaného podle této směrnice se každá tato jednotka pokládá za stát.</w:t>
              <w:br/>
              <w:t>Členské státy, v nichž různé územní jednotky mají svá vlastní zákonná ustanovení pro smluvní závazky, nejsou povinny uplatňovat opatření této směrnice na rozpory, které vznikají mezi zákony těchto jednotek.</w:t>
              <w:br/>
            </w:r>
          </w:p>
          <w:p>
            <w:pPr>
              <w:rPr>
                <w:rFonts w:ascii="Times New Roman" w:hAnsi="Times New Roman" w:cs="Times New Roman"/>
              </w:rPr>
            </w:pPr>
            <w:r>
              <w:rPr>
                <w:rFonts w:ascii="Times New Roman" w:hAnsi="Times New Roman" w:cs="Times New Roman"/>
              </w:rPr>
              <w:t>2. Tento článek neomezuje použití pravidel zákonných ustanovení o soudech tam, kde jsou závazná, bez ohledu na právo, které by jinak pro smlouvu platilo. Pokud tak stanoví právo členského státu, kogentní právní ustanovení členského státu, ve kterém se nachází riziko, nebo členského státu, který stanoví povinnost uzavřít pojištění, mohou být uplatňována pouze tehdy, když podle práva těchto států, tato ustanovení musí být použita bez ohledu na to, které právo platí pro smlouvu.</w:t>
              <w:br/>
              <w:t>Pokud smlouva kryje rizika, která se nacházejí ve více než jednom členském státě, je smlouva pro účely aplikace tohoto odstavce pokládána za několik smluv, z nichž každá se týká pouze jednoho členského státu.</w:t>
              <w:br/>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lang w:val="sk-SK"/>
              </w:rPr>
            </w:pPr>
            <w:r>
              <w:rPr>
                <w:rFonts w:ascii="Times New Roman" w:hAnsi="Times New Roman" w:cs="Times New Roman"/>
              </w:rPr>
              <w:t>3. S výhradou předcházejících odstavců uplatňují členské státy na pojistné smlouvy zmíněné touto směrnicí svá obecná ustanovení mezinárodního práva soukromého týkající se smluvních závazků.</w:t>
              <w:br/>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X/</w:t>
            </w:r>
          </w:p>
          <w:p>
            <w:pPr>
              <w:rPr>
                <w:rFonts w:ascii="Times New Roman" w:hAnsi="Times New Roman" w:cs="Times New Roman"/>
                <w:lang w:val="sk-SK"/>
              </w:rPr>
            </w:pPr>
            <w:r>
              <w:rPr>
                <w:rFonts w:ascii="Times New Roman" w:hAnsi="Times New Roman" w:cs="Times New Roman"/>
                <w:b/>
                <w:lang w:val="sk-SK"/>
              </w:rPr>
              <w:t>2004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40/</w:t>
            </w:r>
          </w:p>
          <w:p>
            <w:pPr>
              <w:rPr>
                <w:rFonts w:ascii="Times New Roman" w:hAnsi="Times New Roman" w:cs="Times New Roman"/>
                <w:lang w:val="sk-SK"/>
              </w:rPr>
            </w:pPr>
            <w:r>
              <w:rPr>
                <w:rFonts w:ascii="Times New Roman" w:hAnsi="Times New Roman" w:cs="Times New Roman"/>
                <w:lang w:val="sk-SK"/>
              </w:rPr>
              <w:t>1964</w:t>
            </w:r>
          </w:p>
          <w:p>
            <w:pPr>
              <w:rPr>
                <w:rFonts w:ascii="Times New Roman" w:hAnsi="Times New Roman" w:cs="Times New Roman"/>
                <w:lang w:val="sk-SK"/>
              </w:rPr>
            </w:pPr>
            <w:r>
              <w:rPr>
                <w:rFonts w:ascii="Times New Roman" w:hAnsi="Times New Roman" w:cs="Times New Roman"/>
                <w:lang w:val="sk-SK"/>
              </w:rPr>
              <w:t>Zb.</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b/>
                <w:lang w:val="sk-SK"/>
              </w:rPr>
            </w:pPr>
            <w:r>
              <w:rPr>
                <w:rFonts w:ascii="Times New Roman" w:hAnsi="Times New Roman" w:cs="Times New Roman"/>
                <w:b/>
                <w:lang w:val="sk-SK"/>
              </w:rPr>
              <w:t>X/</w:t>
            </w:r>
          </w:p>
          <w:p>
            <w:pPr>
              <w:rPr>
                <w:rFonts w:ascii="Times New Roman" w:hAnsi="Times New Roman" w:cs="Times New Roman"/>
                <w:lang w:val="sk-SK"/>
              </w:rPr>
            </w:pPr>
            <w:r>
              <w:rPr>
                <w:rFonts w:ascii="Times New Roman" w:hAnsi="Times New Roman" w:cs="Times New Roman"/>
                <w:b/>
                <w:lang w:val="sk-SK"/>
              </w:rPr>
              <w:t>2004</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§65a</w:t>
            </w: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lang w:val="sk-SK"/>
              </w:rPr>
            </w:pPr>
            <w:r>
              <w:rPr>
                <w:rFonts w:ascii="Times New Roman" w:hAnsi="Times New Roman" w:cs="Times New Roman"/>
                <w:lang w:val="sk-SK"/>
              </w:rPr>
              <w:t>§792a</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b/>
                <w:lang w:val="sk-SK"/>
              </w:rPr>
            </w:pPr>
            <w:r>
              <w:rPr>
                <w:rFonts w:ascii="Times New Roman" w:hAnsi="Times New Roman" w:cs="Times New Roman"/>
                <w:b/>
                <w:lang w:val="sk-SK"/>
              </w:rPr>
              <w:t>§65a</w:t>
            </w: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r>
              <w:rPr>
                <w:rFonts w:ascii="Times New Roman" w:hAnsi="Times New Roman" w:cs="Times New Roman"/>
                <w:b/>
                <w:lang w:val="sk-SK"/>
              </w:rPr>
              <w:t>§65a</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rPr>
                <w:rFonts w:ascii="Times New Roman" w:hAnsi="Times New Roman" w:cs="Times New Roman"/>
                <w:b/>
                <w:sz w:val="24"/>
              </w:rPr>
            </w:pPr>
            <w:r>
              <w:rPr>
                <w:rFonts w:ascii="Times New Roman" w:hAnsi="Times New Roman" w:cs="Times New Roman"/>
                <w:b/>
                <w:sz w:val="24"/>
              </w:rPr>
              <w:t xml:space="preserve">(1) Právnym poriadkom členského štátu, v ktorom je umiestnené poistné riziko sa riadi poistná zmluva v neživotnom poistení, ak sa zmluvné strany nedohodli na použití iného </w:t>
            </w:r>
            <w:r>
              <w:rPr>
                <w:rFonts w:ascii="Times New Roman" w:hAnsi="Times New Roman" w:cs="Times New Roman"/>
                <w:b/>
                <w:sz w:val="24"/>
              </w:rPr>
              <w:t>právneho poriadku.</w:t>
            </w:r>
          </w:p>
          <w:p>
            <w:pPr>
              <w:pStyle w:val="BodyText"/>
              <w:rPr>
                <w:rFonts w:ascii="Times New Roman" w:hAnsi="Times New Roman" w:cs="Times New Roman"/>
                <w:b/>
                <w:sz w:val="24"/>
              </w:rPr>
            </w:pPr>
          </w:p>
          <w:p>
            <w:pPr>
              <w:pStyle w:val="BodyText"/>
              <w:rPr>
                <w:rFonts w:ascii="Times New Roman" w:hAnsi="Times New Roman" w:cs="Times New Roman"/>
                <w:b/>
                <w:sz w:val="24"/>
              </w:rPr>
            </w:pPr>
            <w:r>
              <w:rPr>
                <w:rFonts w:ascii="Times New Roman" w:hAnsi="Times New Roman" w:cs="Times New Roman"/>
                <w:b/>
                <w:sz w:val="24"/>
              </w:rPr>
              <w:t>(2) Ak poistná zmluva podľa odseku 1 obsahuje jedno alebo viac poistných rizík, ktoré sa nachádzajú vo viacerých členských štátoch považuje sa táto zmluva za niekoľko poistných zmlúv, z ktorých sa každá spravuje právnym poriadkom členského štátu, v ktorom sa nachádza poistné riziko alebo jeho časť, ak sa zmluvné strany nedohodli na použití iného právneho poriadku.</w:t>
            </w:r>
          </w:p>
          <w:p>
            <w:pPr>
              <w:pStyle w:val="BodyText"/>
              <w:rPr>
                <w:rFonts w:ascii="Times New Roman" w:hAnsi="Times New Roman" w:cs="Times New Roman"/>
                <w:b/>
                <w:sz w:val="24"/>
              </w:rPr>
            </w:pPr>
          </w:p>
          <w:p>
            <w:pPr>
              <w:pStyle w:val="BodyText"/>
              <w:rPr>
                <w:rFonts w:ascii="Times New Roman" w:hAnsi="Times New Roman" w:cs="Times New Roman"/>
                <w:b/>
                <w:sz w:val="24"/>
              </w:rPr>
            </w:pPr>
            <w:r>
              <w:rPr>
                <w:rFonts w:ascii="Times New Roman" w:hAnsi="Times New Roman" w:cs="Times New Roman"/>
                <w:b/>
                <w:sz w:val="24"/>
              </w:rPr>
              <w:t xml:space="preserve">(3) Ustanovenia odsekov 1 a 2  sa nepoužijú, ak osobitný predpis ustanoví, že poistná zmluva sa musí riadiť slovenským právnym poriadkom alebo ak právny poriadok členského štátu, v ktorom je umiestnené poistné riziko, alebo ktorého právne predpisy ustanovujú povinnosť uzavrieť poistenie, ustanoví použitie tohto právneho poriadku bez ohľadu na to, ktorým právnym poriadkom by sa </w:t>
            </w:r>
            <w:r>
              <w:rPr>
                <w:rFonts w:ascii="Times New Roman" w:hAnsi="Times New Roman" w:cs="Times New Roman"/>
                <w:b/>
                <w:sz w:val="24"/>
              </w:rPr>
              <w:t>inak poistná zmluva riadila.</w:t>
            </w: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lang w:val="sk-SK"/>
              </w:rPr>
            </w:pPr>
            <w:r>
              <w:rPr>
                <w:rFonts w:ascii="Times New Roman" w:hAnsi="Times New Roman" w:cs="Times New Roman"/>
                <w:lang w:val="sk-SK"/>
              </w:rPr>
              <w:t>(2) V  prípade   poistenia  osôb  poisťovateľ   poskytne  pred</w:t>
            </w:r>
          </w:p>
          <w:p>
            <w:pPr>
              <w:rPr>
                <w:rFonts w:ascii="Times New Roman" w:hAnsi="Times New Roman" w:cs="Times New Roman"/>
                <w:lang w:val="sk-SK"/>
              </w:rPr>
            </w:pPr>
            <w:r>
              <w:rPr>
                <w:rFonts w:ascii="Times New Roman" w:hAnsi="Times New Roman" w:cs="Times New Roman"/>
                <w:lang w:val="sk-SK"/>
              </w:rPr>
              <w:t>uzavretím poistnej zmluvy tomu, kto s ním uzaviera poistnú zmluvu,</w:t>
            </w:r>
          </w:p>
          <w:p>
            <w:pPr>
              <w:rPr>
                <w:rFonts w:ascii="Times New Roman" w:hAnsi="Times New Roman" w:cs="Times New Roman"/>
                <w:lang w:val="sk-SK"/>
              </w:rPr>
            </w:pPr>
            <w:r>
              <w:rPr>
                <w:rFonts w:ascii="Times New Roman" w:hAnsi="Times New Roman" w:cs="Times New Roman"/>
                <w:lang w:val="sk-SK"/>
              </w:rPr>
              <w:t>okrem údajov podľa odseku 1 aj tieto ďalšie údaje:</w:t>
            </w:r>
          </w:p>
          <w:p>
            <w:pPr>
              <w:rPr>
                <w:rFonts w:ascii="Times New Roman" w:hAnsi="Times New Roman" w:cs="Times New Roman"/>
                <w:lang w:val="sk-SK"/>
              </w:rPr>
            </w:pPr>
            <w:r>
              <w:rPr>
                <w:rFonts w:ascii="Times New Roman" w:hAnsi="Times New Roman" w:cs="Times New Roman"/>
                <w:lang w:val="sk-SK"/>
              </w:rPr>
              <w:t>m) právo štátu,  ktoré platí pre poistnú  zmluvu tam, kde zmluvné strany  nemajú  možnosť  zvoliť  si  právo  platné pre poistnú zmluvu,  alebo  právo  štátu,  ktoré  navrhuje poisťovateľ, ak zmluvné strany majú možnosť zvoliť si právo.</w:t>
            </w: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rPr>
            </w:pPr>
            <w:r>
              <w:rPr>
                <w:rFonts w:ascii="Times New Roman" w:hAnsi="Times New Roman" w:cs="Times New Roman"/>
                <w:b/>
              </w:rPr>
              <w:t>(5) Ak členský štát pozostáva z niekoľkých územných jednotiek, a v územnej jednotke sa zmluvné vzťahy riadia osobitnými predpismi tejto územnej jednotky, potom sa  každá takáto územná jednotka považuje na účely odsekov 1 až 4 za samostatný členský štát.</w:t>
            </w: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pStyle w:val="BodyText"/>
              <w:rPr>
                <w:rFonts w:ascii="Times New Roman" w:hAnsi="Times New Roman" w:cs="Times New Roman"/>
                <w:b/>
                <w:sz w:val="24"/>
              </w:rPr>
            </w:pPr>
            <w:r>
              <w:rPr>
                <w:rFonts w:ascii="Times New Roman" w:hAnsi="Times New Roman" w:cs="Times New Roman"/>
                <w:b/>
                <w:sz w:val="24"/>
              </w:rPr>
              <w:t>(2) Ak poistná zmluva podľa odseku 1 obsahuje jedno alebo viac poistných rizík, ktoré sa nachádzajú vo viacerých členských štátoch považuje sa táto zmluva za niekoľko poistných zmlúv, z ktorých sa každá spravuje právnym poriadkom členského štátu, v ktorom sa nachádza poistné riziko alebo jeho časť, ak sa zmluvné strany nedohodli na použití iného právneho poriadku.</w:t>
            </w: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sz w:val="18"/>
                <w:lang w:val="sk-SK"/>
              </w:rPr>
            </w:pPr>
          </w:p>
          <w:p>
            <w:pPr>
              <w:rPr>
                <w:rFonts w:ascii="Times New Roman" w:hAnsi="Times New Roman" w:cs="Times New Roman"/>
                <w:lang w:val="sk-SK"/>
              </w:rPr>
            </w:pPr>
            <w:r>
              <w:rPr>
                <w:rFonts w:ascii="Times New Roman" w:hAnsi="Times New Roman" w:cs="Times New Roman"/>
                <w:lang w:val="sk-SK"/>
              </w:rPr>
              <w:t>Tieto ustanovenia sú obsiahnute v zákone č. 97/1963 Zb. v §9 a nasl.</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lang w:val="sk-SK"/>
              </w:rPr>
            </w:pPr>
          </w:p>
        </w:tc>
      </w:tr>
    </w:tbl>
    <w:p>
      <w:pPr>
        <w:rPr>
          <w:rFonts w:ascii="Times New Roman" w:hAnsi="Times New Roman" w:cs="Times New Roman"/>
          <w:sz w:val="18"/>
          <w:lang w:val="sk-SK"/>
        </w:rPr>
      </w:pPr>
    </w:p>
    <w:sectPr>
      <w:footerReference w:type="even" r:id="rId4"/>
      <w:footerReference w:type="default" r:id="rId5"/>
      <w:pgSz w:w="16840" w:h="11907" w:orient="landscape" w:code="9"/>
      <w:pgMar w:top="1134" w:right="2880" w:bottom="1134" w:left="1440" w:header="1797" w:footer="17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6</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1">
    <w:nsid w:val="43B07377"/>
    <w:multiLevelType w:val="singleLevel"/>
    <w:tmpl w:val="C8F01C3E"/>
    <w:lvl w:ilvl="0">
      <w:start w:val="1"/>
      <w:numFmt w:val="decimal"/>
      <w:lvlText w:val="(%1) "/>
      <w:legacy w:legacy="1" w:legacySpace="0" w:legacyIndent="283"/>
      <w:lvlJc w:val="left"/>
      <w:pPr>
        <w:ind w:left="848" w:hanging="283"/>
      </w:pPr>
      <w:rPr>
        <w:b w:val="0"/>
        <w:i w:val="0"/>
        <w:sz w:val="24"/>
        <w:rtl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en-US" w:bidi="ar-SA"/>
    </w:rPr>
  </w:style>
  <w:style w:type="paragraph" w:styleId="Heading1">
    <w:name w:val="heading 1"/>
    <w:basedOn w:val="Normal"/>
    <w:next w:val="Normal"/>
    <w:uiPriority w:val="9"/>
    <w:qFormat/>
    <w:pPr>
      <w:keepNext/>
      <w:jc w:val="left"/>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paragraph" w:styleId="Heading3">
    <w:name w:val="heading 3"/>
    <w:basedOn w:val="Normal"/>
    <w:next w:val="Normal"/>
    <w:uiPriority w:val="9"/>
    <w:qFormat/>
    <w:pPr>
      <w:keepNext/>
      <w:jc w:val="center"/>
      <w:outlineLvl w:val="2"/>
    </w:pPr>
    <w:rPr>
      <w:b/>
      <w:noProof/>
      <w:lang w:val="sk-SK"/>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left"/>
    </w:pPr>
    <w:rPr>
      <w:sz w:val="18"/>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2">
    <w:name w:val="Body Text Indent 2"/>
    <w:basedOn w:val="Normal"/>
    <w:pPr>
      <w:autoSpaceDE/>
      <w:autoSpaceDN/>
      <w:ind w:left="360" w:firstLine="360"/>
      <w:jc w:val="both"/>
    </w:pPr>
    <w:rPr>
      <w:noProof/>
      <w:sz w:val="20"/>
      <w:lang w:val="sk-SK"/>
    </w:rPr>
  </w:style>
  <w:style w:type="paragraph" w:styleId="BodyText2">
    <w:name w:val="Body Text 2"/>
    <w:basedOn w:val="Normal"/>
    <w:pPr>
      <w:jc w:val="center"/>
    </w:pPr>
    <w:rPr>
      <w:b/>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1088</Words>
  <Characters>6204</Characters>
  <Application>Microsoft Office Word</Application>
  <DocSecurity>0</DocSecurity>
  <Lines>0</Lines>
  <Paragraphs>0</Paragraphs>
  <ScaleCrop>false</ScaleCrop>
  <Company>Ministry of Finance</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Černá</dc:creator>
  <cp:lastModifiedBy>Daša Kučerová</cp:lastModifiedBy>
  <cp:revision>2</cp:revision>
  <cp:lastPrinted>2004-05-19T10:01:00Z</cp:lastPrinted>
  <dcterms:created xsi:type="dcterms:W3CDTF">2004-06-24T10:29:00Z</dcterms:created>
  <dcterms:modified xsi:type="dcterms:W3CDTF">2004-06-24T10:29:00Z</dcterms:modified>
</cp:coreProperties>
</file>