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TABUKA-nadpis"/>
        <w:spacing w:after="120"/>
        <w:rPr>
          <w:rFonts w:ascii="Times New Roman" w:hAnsi="Times New Roman" w:cs="Times New Roman"/>
        </w:rPr>
      </w:pPr>
      <w:r>
        <w:rPr>
          <w:rFonts w:ascii="Times New Roman" w:hAnsi="Times New Roman" w:cs="Times New Roman"/>
        </w:rPr>
        <w:t>TABUĽKA  ZHODY</w:t>
      </w:r>
    </w:p>
    <w:p>
      <w:pPr>
        <w:pStyle w:val="TABUKA-nadpis"/>
        <w:rPr>
          <w:rFonts w:ascii="Times New Roman" w:hAnsi="Times New Roman" w:cs="Times New Roman"/>
        </w:rPr>
      </w:pPr>
      <w:r>
        <w:rPr>
          <w:rFonts w:ascii="Times New Roman" w:hAnsi="Times New Roman" w:cs="Times New Roman"/>
        </w:rPr>
        <w:t>návrhu zákona, ktorým sa mení a dopĺňa zákon č. 95/2002 Z. z. o poisťovníctve a o zmene a doplnení niektorých zákonov v znení neskorších predpisov</w:t>
      </w:r>
    </w:p>
    <w:p>
      <w:pPr>
        <w:pStyle w:val="TABUKA-nadpis"/>
        <w:rPr>
          <w:rFonts w:ascii="Times New Roman" w:hAnsi="Times New Roman" w:cs="Times New Roman"/>
        </w:rPr>
      </w:pPr>
      <w:r>
        <w:rPr>
          <w:rFonts w:ascii="Times New Roman" w:hAnsi="Times New Roman" w:cs="Times New Roman"/>
        </w:rPr>
        <w:t>s právom Európskych spoločenstiev a právom Európskej únie</w:t>
      </w:r>
    </w:p>
    <w:p>
      <w:pPr>
        <w:pStyle w:val="TABUKA-nadpis"/>
        <w:rPr>
          <w:rFonts w:ascii="Times New Roman" w:hAnsi="Times New Roman" w:cs="Times New Roman"/>
        </w:rPr>
      </w:pPr>
    </w:p>
    <w:tbl>
      <w:tblPr>
        <w:tblW w:w="1573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496"/>
        <w:gridCol w:w="5175"/>
        <w:gridCol w:w="425"/>
        <w:gridCol w:w="851"/>
        <w:gridCol w:w="708"/>
        <w:gridCol w:w="5246"/>
        <w:gridCol w:w="425"/>
        <w:gridCol w:w="709"/>
        <w:gridCol w:w="992"/>
        <w:gridCol w:w="105"/>
        <w:gridCol w:w="605"/>
      </w:tblGrid>
      <w:tr>
        <w:tblPrEx>
          <w:tblW w:w="1573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Height w:val="724"/>
        </w:trPr>
        <w:tc>
          <w:tcPr>
            <w:tcW w:w="6096"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nadpismal"/>
              <w:rPr>
                <w:rFonts w:ascii="Times New Roman" w:hAnsi="Times New Roman" w:cs="Times New Roman"/>
              </w:rPr>
            </w:pPr>
            <w:r>
              <w:rPr>
                <w:rFonts w:ascii="Times New Roman" w:hAnsi="Times New Roman" w:cs="Times New Roman"/>
              </w:rPr>
              <w:t>Právny akt ES/EÚ</w:t>
            </w:r>
          </w:p>
          <w:p>
            <w:pPr>
              <w:pStyle w:val="TABUKA-nadpismal"/>
              <w:rPr>
                <w:rFonts w:ascii="Times New Roman" w:hAnsi="Times New Roman" w:cs="Times New Roman"/>
              </w:rPr>
            </w:pPr>
          </w:p>
          <w:p>
            <w:pPr>
              <w:pStyle w:val="TABUKA-nadpismal"/>
              <w:rPr>
                <w:rFonts w:ascii="Times New Roman" w:hAnsi="Times New Roman" w:cs="Times New Roman"/>
              </w:rPr>
            </w:pPr>
            <w:r>
              <w:rPr>
                <w:rFonts w:ascii="Times New Roman" w:hAnsi="Times New Roman" w:cs="Times New Roman"/>
              </w:rPr>
              <w:t>Smernica 2002/87/</w:t>
            </w:r>
            <w:r>
              <w:rPr>
                <w:rFonts w:ascii="Times New Roman" w:hAnsi="Times New Roman" w:cs="Times New Roman"/>
              </w:rPr>
              <w:t>ES EURÓPSKEHO PARLAMENTU A RADY zo 16. decembra 2002</w:t>
            </w:r>
          </w:p>
          <w:p>
            <w:pPr>
              <w:pStyle w:val="TABUKA-nadpismal"/>
              <w:rPr>
                <w:rFonts w:ascii="Times New Roman" w:hAnsi="Times New Roman" w:cs="Times New Roman"/>
              </w:rPr>
            </w:pPr>
            <w:r>
              <w:rPr>
                <w:rFonts w:ascii="Times New Roman" w:hAnsi="Times New Roman" w:cs="Times New Roman"/>
              </w:rPr>
              <w:t>o doplňujúcom dohľade nad úverovým ústavmi, poisťovňami a investičnými firmami vo finančnom konglomeráte, ktorou sa menia dopĺňajú smernice Rady 73/239/EHS, 79/267/EHS, 92/49/EHS, 92/96/EHS, 93/6/EHS, 93</w:t>
            </w:r>
            <w:r>
              <w:rPr>
                <w:rFonts w:ascii="Times New Roman" w:hAnsi="Times New Roman" w:cs="Times New Roman"/>
              </w:rPr>
              <w:t>/22/EHS a smernice 98/78/ES a 2002/12/ES Európskeho parlamentu a Rady</w:t>
            </w:r>
          </w:p>
        </w:tc>
        <w:tc>
          <w:tcPr>
            <w:tcW w:w="9641" w:type="dxa"/>
            <w:gridSpan w:val="8"/>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nadpismal"/>
              <w:rPr>
                <w:rFonts w:ascii="Times New Roman" w:hAnsi="Times New Roman" w:cs="Times New Roman"/>
              </w:rPr>
            </w:pPr>
            <w:r>
              <w:rPr>
                <w:rFonts w:ascii="Times New Roman" w:hAnsi="Times New Roman" w:cs="Times New Roman"/>
              </w:rPr>
              <w:t>Všeobecne záväzné právne predpisy SR</w:t>
            </w:r>
          </w:p>
          <w:p>
            <w:pPr>
              <w:pStyle w:val="TABUKA-nadpismal"/>
              <w:rPr>
                <w:rFonts w:ascii="Times New Roman" w:hAnsi="Times New Roman" w:cs="Times New Roman"/>
              </w:rPr>
            </w:pPr>
          </w:p>
          <w:p>
            <w:pPr>
              <w:pStyle w:val="TABUKA-nadpismal"/>
              <w:spacing w:after="120"/>
              <w:jc w:val="both"/>
              <w:rPr>
                <w:rFonts w:ascii="Times New Roman" w:hAnsi="Times New Roman" w:cs="Times New Roman"/>
              </w:rPr>
            </w:pPr>
            <w:r>
              <w:rPr>
                <w:rFonts w:ascii="Times New Roman" w:hAnsi="Times New Roman" w:cs="Times New Roman"/>
              </w:rPr>
              <w:t>Návrh zákona, ktorým sa mení a dopĺňa zákon č. 95/2002 Z. z. o poisťovníctve a o zmene a doplnení niektorých zákonov v znení zákona č. 430/2003 Z.z. a zákona č. 186/2004 Z.z.</w:t>
            </w:r>
          </w:p>
          <w:p>
            <w:pPr>
              <w:pStyle w:val="TABUKA-nadpismal"/>
              <w:spacing w:after="120"/>
              <w:jc w:val="both"/>
              <w:rPr>
                <w:rFonts w:ascii="Times New Roman" w:hAnsi="Times New Roman" w:cs="Times New Roman"/>
              </w:rPr>
            </w:pPr>
            <w:r>
              <w:rPr>
                <w:rFonts w:ascii="Times New Roman" w:hAnsi="Times New Roman" w:cs="Times New Roman"/>
              </w:rPr>
              <w:t>Zákon č. 95/2002 Z.z. o poisťovníctve a o zmene a doplnení niektorých zákonov v znení neskorších predpisov</w:t>
            </w:r>
          </w:p>
          <w:p>
            <w:pPr>
              <w:pStyle w:val="TABUKA-nadpismal"/>
              <w:spacing w:after="120"/>
              <w:jc w:val="both"/>
              <w:rPr>
                <w:rFonts w:ascii="Times New Roman" w:hAnsi="Times New Roman" w:cs="Times New Roman"/>
              </w:rPr>
            </w:pPr>
            <w:r>
              <w:rPr>
                <w:rFonts w:ascii="Times New Roman" w:hAnsi="Times New Roman" w:cs="Times New Roman"/>
              </w:rPr>
              <w:t>Zákon č. 566/1992 Z.z. o Národnej banke Slovenska v znení neskorších predpisov</w:t>
            </w:r>
          </w:p>
          <w:p>
            <w:pPr>
              <w:pStyle w:val="TABUKA-nadpismal"/>
              <w:spacing w:after="120"/>
              <w:jc w:val="both"/>
              <w:rPr>
                <w:rFonts w:ascii="Times New Roman" w:hAnsi="Times New Roman" w:cs="Times New Roman"/>
              </w:rPr>
            </w:pPr>
            <w:r>
              <w:rPr>
                <w:rFonts w:ascii="Times New Roman" w:hAnsi="Times New Roman" w:cs="Times New Roman"/>
              </w:rPr>
              <w:t xml:space="preserve">Zákon č. 483/2001 Z.z. o bankách a o zmene </w:t>
            </w:r>
            <w:r>
              <w:rPr>
                <w:rFonts w:ascii="Times New Roman" w:hAnsi="Times New Roman" w:cs="Times New Roman"/>
              </w:rPr>
              <w:t>a doplnení niektorých zákonov v znení neskorších predpisov</w:t>
            </w:r>
          </w:p>
          <w:p>
            <w:pPr>
              <w:pStyle w:val="TABUKA-nadpismal"/>
              <w:spacing w:after="120"/>
              <w:jc w:val="both"/>
              <w:rPr>
                <w:rFonts w:ascii="Times New Roman" w:hAnsi="Times New Roman" w:cs="Times New Roman"/>
              </w:rPr>
            </w:pPr>
            <w:r>
              <w:rPr>
                <w:rFonts w:ascii="Times New Roman" w:hAnsi="Times New Roman" w:cs="Times New Roman"/>
              </w:rPr>
              <w:t>Zákon č. 566/2001 Z.z. o cenných papieroch v znení neskorších predpisov</w:t>
            </w:r>
          </w:p>
          <w:p>
            <w:pPr>
              <w:pStyle w:val="TABUKA-nadpismal"/>
              <w:spacing w:after="120"/>
              <w:jc w:val="both"/>
              <w:rPr>
                <w:rFonts w:ascii="Times New Roman" w:hAnsi="Times New Roman" w:cs="Times New Roman"/>
              </w:rPr>
            </w:pPr>
            <w:r>
              <w:rPr>
                <w:rFonts w:ascii="Times New Roman" w:hAnsi="Times New Roman" w:cs="Times New Roman"/>
              </w:rPr>
              <w:t>Zákon č. 96/2002 Z.z. o dohľade nad finančným trhom a o zmene a doplnení niektorých zákonov v znení neskorších predpisov</w:t>
            </w:r>
          </w:p>
          <w:p>
            <w:pPr>
              <w:pStyle w:val="TABUKA-nadpismal"/>
              <w:spacing w:after="120"/>
              <w:jc w:val="both"/>
              <w:rPr>
                <w:rFonts w:ascii="Times New Roman" w:hAnsi="Times New Roman" w:cs="Times New Roman"/>
              </w:rPr>
            </w:pPr>
            <w:r>
              <w:rPr>
                <w:rFonts w:ascii="Times New Roman" w:hAnsi="Times New Roman" w:cs="Times New Roman"/>
              </w:rPr>
              <w:t>Zákon č. 594/2003 Z.z. o kolektívnom investovaní a o zmene a doplnení niektorých zákonov v znení neskorších predpisov</w:t>
            </w:r>
          </w:p>
          <w:p>
            <w:pPr>
              <w:pStyle w:val="TABUKA-nadpismal"/>
              <w:rPr>
                <w:rFonts w:ascii="Times New Roman" w:hAnsi="Times New Roman" w:cs="Times New Roman"/>
              </w:rPr>
            </w:pPr>
          </w:p>
        </w:tc>
      </w:tr>
      <w:tr>
        <w:tblPrEx>
          <w:tblW w:w="15737"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nadpisstpcov"/>
              <w:rPr>
                <w:rFonts w:ascii="Times New Roman" w:hAnsi="Times New Roman" w:cs="Times New Roman"/>
                <w:sz w:val="20"/>
                <w:szCs w:val="20"/>
              </w:rPr>
            </w:pPr>
            <w:r>
              <w:rPr>
                <w:rFonts w:ascii="Times New Roman" w:hAnsi="Times New Roman" w:cs="Times New Roman"/>
                <w:sz w:val="20"/>
                <w:szCs w:val="20"/>
              </w:rPr>
              <w:t>Čl.</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nadpisstpcov"/>
              <w:rPr>
                <w:rFonts w:ascii="Times New Roman" w:hAnsi="Times New Roman" w:cs="Times New Roman"/>
                <w:sz w:val="20"/>
                <w:szCs w:val="20"/>
              </w:rPr>
            </w:pPr>
            <w:r>
              <w:rPr>
                <w:rFonts w:ascii="Times New Roman" w:hAnsi="Times New Roman" w:cs="Times New Roman"/>
                <w:sz w:val="20"/>
                <w:szCs w:val="20"/>
              </w:rPr>
              <w:t>Text</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nadpisstpcov"/>
              <w:rPr>
                <w:rFonts w:ascii="Times New Roman" w:hAnsi="Times New Roman" w:cs="Times New Roman"/>
                <w:sz w:val="20"/>
                <w:szCs w:val="20"/>
              </w:rPr>
            </w:pPr>
            <w:r>
              <w:rPr>
                <w:rFonts w:ascii="Times New Roman" w:hAnsi="Times New Roman" w:cs="Times New Roman"/>
                <w:sz w:val="20"/>
                <w:szCs w:val="20"/>
              </w:rPr>
              <w:t>Spôsob transpozície</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nadpisstpcov"/>
              <w:rPr>
                <w:rFonts w:ascii="Times New Roman" w:hAnsi="Times New Roman" w:cs="Times New Roman"/>
                <w:sz w:val="20"/>
                <w:szCs w:val="20"/>
              </w:rPr>
            </w:pPr>
            <w:r>
              <w:rPr>
                <w:rFonts w:ascii="Times New Roman" w:hAnsi="Times New Roman" w:cs="Times New Roman"/>
                <w:sz w:val="20"/>
                <w:szCs w:val="20"/>
              </w:rPr>
              <w:t>Číslo</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nadpisstpcov"/>
              <w:rPr>
                <w:rFonts w:ascii="Times New Roman" w:hAnsi="Times New Roman" w:cs="Times New Roman"/>
                <w:sz w:val="20"/>
                <w:szCs w:val="20"/>
              </w:rPr>
            </w:pPr>
            <w:r>
              <w:rPr>
                <w:rFonts w:ascii="Times New Roman" w:hAnsi="Times New Roman" w:cs="Times New Roman"/>
                <w:sz w:val="20"/>
                <w:szCs w:val="20"/>
              </w:rPr>
              <w:t>Článok</w:t>
            </w:r>
          </w:p>
        </w:tc>
        <w:tc>
          <w:tcPr>
            <w:tcW w:w="52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nadpisstpcov"/>
              <w:rPr>
                <w:rFonts w:ascii="Times New Roman" w:hAnsi="Times New Roman" w:cs="Times New Roman"/>
                <w:sz w:val="20"/>
                <w:szCs w:val="20"/>
              </w:rPr>
            </w:pPr>
            <w:r>
              <w:rPr>
                <w:rFonts w:ascii="Times New Roman" w:hAnsi="Times New Roman" w:cs="Times New Roman"/>
                <w:sz w:val="20"/>
                <w:szCs w:val="20"/>
              </w:rPr>
              <w:t>Text</w:t>
            </w:r>
          </w:p>
          <w:p>
            <w:pPr>
              <w:pStyle w:val="TABUKA-nadpisstpcov"/>
              <w:rPr>
                <w:rFonts w:ascii="Times New Roman" w:hAnsi="Times New Roman" w:cs="Times New Roman"/>
                <w:sz w:val="20"/>
                <w:szCs w:val="20"/>
              </w:rPr>
            </w:pPr>
          </w:p>
          <w:p>
            <w:pPr>
              <w:pStyle w:val="TABUKA-nadpisstpcov"/>
              <w:rPr>
                <w:rFonts w:ascii="Times New Roman" w:hAnsi="Times New Roman" w:cs="Times New Roman"/>
                <w:sz w:val="20"/>
                <w:szCs w:val="20"/>
              </w:rPr>
            </w:pPr>
          </w:p>
          <w:p>
            <w:pPr>
              <w:pStyle w:val="TABUKA-nadpisstpcov"/>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nadpisstpcov"/>
              <w:rPr>
                <w:rFonts w:ascii="Times New Roman" w:hAnsi="Times New Roman" w:cs="Times New Roman"/>
                <w:sz w:val="20"/>
                <w:szCs w:val="20"/>
              </w:rPr>
            </w:pPr>
            <w:r>
              <w:rPr>
                <w:rFonts w:ascii="Times New Roman" w:hAnsi="Times New Roman" w:cs="Times New Roman"/>
                <w:sz w:val="20"/>
                <w:szCs w:val="20"/>
              </w:rPr>
              <w:t>Zhoda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nadpisstpcov"/>
              <w:rPr>
                <w:rFonts w:ascii="Times New Roman" w:hAnsi="Times New Roman" w:cs="Times New Roman"/>
                <w:sz w:val="20"/>
                <w:szCs w:val="20"/>
              </w:rPr>
            </w:pPr>
            <w:r>
              <w:rPr>
                <w:rFonts w:ascii="Times New Roman" w:hAnsi="Times New Roman" w:cs="Times New Roman"/>
                <w:sz w:val="20"/>
                <w:szCs w:val="20"/>
              </w:rPr>
              <w:t>Administratívna infraštruktúra</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nadpisstpcov"/>
              <w:rPr>
                <w:rFonts w:ascii="Times New Roman" w:hAnsi="Times New Roman" w:cs="Times New Roman"/>
                <w:sz w:val="20"/>
                <w:szCs w:val="20"/>
              </w:rPr>
            </w:pPr>
            <w:r>
              <w:rPr>
                <w:rFonts w:ascii="Times New Roman" w:hAnsi="Times New Roman" w:cs="Times New Roman"/>
                <w:sz w:val="20"/>
                <w:szCs w:val="20"/>
              </w:rPr>
              <w:t>Pozná</w:t>
            </w:r>
          </w:p>
          <w:p>
            <w:pPr>
              <w:pStyle w:val="TABUKA-nadpisstpcov"/>
              <w:rPr>
                <w:rFonts w:ascii="Times New Roman" w:hAnsi="Times New Roman" w:cs="Times New Roman"/>
                <w:sz w:val="20"/>
                <w:szCs w:val="20"/>
              </w:rPr>
            </w:pPr>
            <w:r>
              <w:rPr>
                <w:rFonts w:ascii="Times New Roman" w:hAnsi="Times New Roman" w:cs="Times New Roman"/>
                <w:sz w:val="20"/>
                <w:szCs w:val="20"/>
              </w:rPr>
              <w:t>mky</w:t>
            </w:r>
          </w:p>
        </w:tc>
        <w:tc>
          <w:tcPr>
            <w:tcW w:w="71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nadpisstpcov"/>
              <w:rPr>
                <w:rFonts w:ascii="Times New Roman" w:hAnsi="Times New Roman" w:cs="Times New Roman"/>
                <w:sz w:val="20"/>
                <w:szCs w:val="20"/>
              </w:rPr>
            </w:pPr>
            <w:r>
              <w:rPr>
                <w:rFonts w:ascii="Times New Roman" w:hAnsi="Times New Roman" w:cs="Times New Roman"/>
                <w:sz w:val="20"/>
                <w:szCs w:val="20"/>
              </w:rPr>
              <w:t>Štádium legislatívneho procesu</w:t>
            </w:r>
          </w:p>
        </w:tc>
      </w:tr>
      <w:tr>
        <w:tblPrEx>
          <w:tblW w:w="15737"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Čl. 1</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spacing w:after="0"/>
              <w:rPr>
                <w:rFonts w:ascii="Times New Roman" w:hAnsi="Times New Roman" w:cs="Times New Roman"/>
                <w:b/>
                <w:sz w:val="18"/>
                <w:szCs w:val="18"/>
                <w:lang w:val="sk-SK"/>
              </w:rPr>
            </w:pPr>
            <w:r>
              <w:rPr>
                <w:rFonts w:ascii="Times New Roman" w:hAnsi="Times New Roman" w:cs="Times New Roman"/>
                <w:b/>
                <w:sz w:val="18"/>
                <w:szCs w:val="18"/>
                <w:lang w:val="sk-SK"/>
              </w:rPr>
              <w:t>Cieľ</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Táto smernica ustanovuje predpisy na doplňujúci dohľad nad regulovanými subjektami, ktorým bolo udelené oprávnenie podľa článku 6 smernice 73/239/EHS, článku 6 smernice 79/267/EHS článku 3 ods. 1 smernice 93/22/EHS alebo článku 4 smernice 2000/12/ES a ktoré sú súčasťou finančného koglomerátu. Taktiež mení príslušné sektorové predpisy platné pre subjekty, ktorých činnosť upravujú smernice uvedené vyššie.</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3"/>
              <w:rPr>
                <w:rFonts w:ascii="Times New Roman" w:hAnsi="Times New Roman" w:cs="Times New Roman"/>
                <w:sz w:val="18"/>
                <w:szCs w:val="18"/>
                <w:lang w:val="de-DE"/>
              </w:rPr>
            </w:pPr>
            <w:r>
              <w:rPr>
                <w:rFonts w:ascii="Times New Roman" w:hAnsi="Times New Roman" w:cs="Times New Roman"/>
                <w:sz w:val="18"/>
                <w:szCs w:val="18"/>
                <w:lang w:val="de-DE"/>
              </w:rPr>
              <w:t>N</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95/2002 Z.z.</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X/2004 Z.z.</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 1</w:t>
            </w:r>
          </w:p>
          <w:p>
            <w:pPr>
              <w:pStyle w:val="TABUKA-textsmernice"/>
              <w:rPr>
                <w:rFonts w:ascii="Times New Roman" w:hAnsi="Times New Roman" w:cs="Times New Roman"/>
                <w:sz w:val="18"/>
                <w:szCs w:val="18"/>
              </w:rPr>
            </w:pPr>
            <w:r>
              <w:rPr>
                <w:rFonts w:ascii="Times New Roman" w:hAnsi="Times New Roman" w:cs="Times New Roman"/>
                <w:sz w:val="18"/>
                <w:szCs w:val="18"/>
              </w:rPr>
              <w:t>ods. 1</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48a</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52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rPr>
                <w:rFonts w:ascii="Times New Roman" w:hAnsi="Times New Roman" w:cs="Times New Roman"/>
                <w:bCs/>
                <w:iCs/>
                <w:sz w:val="18"/>
                <w:szCs w:val="18"/>
              </w:rPr>
            </w:pPr>
            <w:r>
              <w:rPr>
                <w:rFonts w:ascii="Times New Roman" w:hAnsi="Times New Roman" w:cs="Times New Roman"/>
                <w:bCs/>
                <w:iCs/>
                <w:sz w:val="18"/>
                <w:szCs w:val="18"/>
              </w:rPr>
              <w:t xml:space="preserve">Tento zákon upravuje  </w:t>
            </w:r>
          </w:p>
          <w:p>
            <w:pPr>
              <w:pStyle w:val="BodyText"/>
              <w:numPr>
                <w:ilvl w:val="0"/>
                <w:numId w:val="44"/>
              </w:numPr>
              <w:tabs>
                <w:tab w:val="left" w:pos="720"/>
              </w:tabs>
              <w:overflowPunct w:val="0"/>
              <w:autoSpaceDE/>
              <w:autoSpaceDN/>
              <w:textAlignment w:val="baseline"/>
              <w:rPr>
                <w:rFonts w:ascii="Times New Roman" w:hAnsi="Times New Roman" w:cs="Times New Roman"/>
                <w:bCs/>
                <w:iCs/>
                <w:sz w:val="18"/>
                <w:szCs w:val="18"/>
              </w:rPr>
            </w:pPr>
            <w:r>
              <w:rPr>
                <w:rFonts w:ascii="Times New Roman" w:hAnsi="Times New Roman" w:cs="Times New Roman"/>
                <w:bCs/>
                <w:iCs/>
                <w:sz w:val="18"/>
                <w:szCs w:val="18"/>
              </w:rPr>
              <w:t>niektoré vzťahy súvisiace so vznikom, organizáciou, riadením, vykonávaním činnosti a zánikom poisťovní a zaisťovní,</w:t>
            </w:r>
          </w:p>
          <w:p>
            <w:pPr>
              <w:pStyle w:val="BodyText"/>
              <w:numPr>
                <w:ilvl w:val="0"/>
                <w:numId w:val="44"/>
              </w:numPr>
              <w:tabs>
                <w:tab w:val="left" w:pos="720"/>
              </w:tabs>
              <w:overflowPunct w:val="0"/>
              <w:autoSpaceDE/>
              <w:autoSpaceDN/>
              <w:textAlignment w:val="baseline"/>
              <w:rPr>
                <w:rFonts w:ascii="Times New Roman" w:hAnsi="Times New Roman" w:cs="Times New Roman"/>
                <w:bCs/>
                <w:iCs/>
                <w:sz w:val="18"/>
                <w:szCs w:val="18"/>
              </w:rPr>
            </w:pPr>
            <w:r>
              <w:rPr>
                <w:rFonts w:ascii="Times New Roman" w:hAnsi="Times New Roman" w:cs="Times New Roman"/>
                <w:bCs/>
                <w:iCs/>
                <w:sz w:val="18"/>
                <w:szCs w:val="18"/>
              </w:rPr>
              <w:t>niektoré vzťahy súvisiace s pôsobením poisťovní z iných členských štátov a ich pobočiek na území Slovenskej republiky,</w:t>
            </w:r>
          </w:p>
          <w:p>
            <w:pPr>
              <w:pStyle w:val="BodyText"/>
              <w:numPr>
                <w:ilvl w:val="0"/>
                <w:numId w:val="44"/>
              </w:numPr>
              <w:tabs>
                <w:tab w:val="left" w:pos="720"/>
              </w:tabs>
              <w:overflowPunct w:val="0"/>
              <w:autoSpaceDE/>
              <w:autoSpaceDN/>
              <w:textAlignment w:val="baseline"/>
              <w:rPr>
                <w:rFonts w:ascii="Times New Roman" w:hAnsi="Times New Roman" w:cs="Times New Roman"/>
                <w:bCs/>
                <w:iCs/>
                <w:sz w:val="18"/>
                <w:szCs w:val="18"/>
              </w:rPr>
            </w:pPr>
            <w:r>
              <w:rPr>
                <w:rFonts w:ascii="Times New Roman" w:hAnsi="Times New Roman" w:cs="Times New Roman"/>
                <w:bCs/>
                <w:iCs/>
                <w:sz w:val="18"/>
                <w:szCs w:val="18"/>
              </w:rPr>
              <w:t>niektoré vzťahy súvisiace s pôsobením zahraničných poisťovní a ich pobočiek a zahraničných zaisťovní a ich pobočiek na území Slovenskej republiky,</w:t>
            </w:r>
          </w:p>
          <w:p>
            <w:pPr>
              <w:pStyle w:val="BodyText"/>
              <w:numPr>
                <w:ilvl w:val="0"/>
                <w:numId w:val="44"/>
              </w:numPr>
              <w:tabs>
                <w:tab w:val="left" w:pos="720"/>
              </w:tabs>
              <w:overflowPunct w:val="0"/>
              <w:autoSpaceDE/>
              <w:autoSpaceDN/>
              <w:textAlignment w:val="baseline"/>
              <w:rPr>
                <w:rFonts w:ascii="Times New Roman" w:hAnsi="Times New Roman" w:cs="Times New Roman"/>
                <w:bCs/>
                <w:iCs/>
                <w:sz w:val="18"/>
                <w:szCs w:val="18"/>
              </w:rPr>
            </w:pPr>
            <w:r>
              <w:rPr>
                <w:rFonts w:ascii="Times New Roman" w:hAnsi="Times New Roman" w:cs="Times New Roman"/>
                <w:bCs/>
                <w:iCs/>
                <w:sz w:val="18"/>
                <w:szCs w:val="18"/>
              </w:rPr>
              <w:t>sprostredkovanie poistenia,</w:t>
            </w:r>
          </w:p>
          <w:p>
            <w:pPr>
              <w:pStyle w:val="BodyText"/>
              <w:numPr>
                <w:ilvl w:val="0"/>
                <w:numId w:val="44"/>
              </w:numPr>
              <w:tabs>
                <w:tab w:val="left" w:pos="720"/>
              </w:tabs>
              <w:overflowPunct w:val="0"/>
              <w:autoSpaceDE/>
              <w:autoSpaceDN/>
              <w:textAlignment w:val="baseline"/>
              <w:rPr>
                <w:rFonts w:ascii="Times New Roman" w:hAnsi="Times New Roman" w:cs="Times New Roman"/>
                <w:bCs/>
                <w:iCs/>
                <w:sz w:val="18"/>
                <w:szCs w:val="18"/>
              </w:rPr>
            </w:pPr>
            <w:r>
              <w:rPr>
                <w:rFonts w:ascii="Times New Roman" w:hAnsi="Times New Roman" w:cs="Times New Roman"/>
                <w:bCs/>
                <w:iCs/>
                <w:sz w:val="18"/>
                <w:szCs w:val="18"/>
              </w:rPr>
              <w:t>výkon dohľadu nad poisťovníctvom.</w:t>
            </w:r>
          </w:p>
          <w:p>
            <w:pPr>
              <w:pStyle w:val="TABUKA-textsmernice"/>
              <w:rPr>
                <w:rFonts w:ascii="Times New Roman" w:hAnsi="Times New Roman" w:cs="Times New Roman"/>
                <w:iCs/>
                <w:sz w:val="18"/>
                <w:szCs w:val="18"/>
              </w:rPr>
            </w:pPr>
          </w:p>
          <w:p>
            <w:pPr>
              <w:rPr>
                <w:rFonts w:ascii="Times New Roman" w:hAnsi="Times New Roman" w:cs="Times New Roman"/>
                <w:sz w:val="18"/>
                <w:szCs w:val="18"/>
                <w:lang w:val="sk-SK"/>
              </w:rPr>
            </w:pPr>
            <w:r>
              <w:rPr>
                <w:rFonts w:ascii="Times New Roman" w:hAnsi="Times New Roman" w:cs="Times New Roman"/>
                <w:iCs/>
                <w:sz w:val="18"/>
                <w:lang w:val="sk-SK"/>
              </w:rPr>
              <w:t xml:space="preserve">Doplňujúcim dohľadom je sledovanie a regulácia rizík </w:t>
            </w:r>
            <w:r>
              <w:rPr>
                <w:rFonts w:ascii="Times New Roman" w:hAnsi="Times New Roman" w:cs="Times New Roman"/>
                <w:iCs/>
                <w:color w:val="000000"/>
                <w:sz w:val="18"/>
                <w:szCs w:val="20"/>
                <w:lang w:val="sk-SK"/>
              </w:rPr>
              <w:t>finančných  konglomeráto</w:t>
            </w:r>
            <w:r>
              <w:rPr>
                <w:rFonts w:ascii="Times New Roman" w:hAnsi="Times New Roman" w:cs="Times New Roman"/>
                <w:iCs/>
                <w:color w:val="000000"/>
                <w:sz w:val="18"/>
                <w:szCs w:val="20"/>
                <w:lang w:val="sk-SK"/>
              </w:rPr>
              <w:t xml:space="preserve">v, </w:t>
            </w:r>
            <w:r>
              <w:rPr>
                <w:rFonts w:ascii="Times New Roman" w:hAnsi="Times New Roman" w:cs="Times New Roman"/>
                <w:iCs/>
                <w:sz w:val="18"/>
                <w:lang w:val="sk-SK"/>
              </w:rPr>
              <w:t>ktorých súčasťou sú poisťovne alebo zaisťovne, obchodníci s cennými papiermi, banky, inštitúcie elektronických peňazí, správcovské spoločnosti, na účely obmedzenia rizík, ktorým je poisťovňa, zaisťovňa alebo iná regulovaná osoba vystavená z dôvodu svojej účasti vo finančnom konglomeráte.</w:t>
            </w:r>
          </w:p>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Ú</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Úrad pre finančný trh</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71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7"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jc w:val="left"/>
              <w:rPr>
                <w:rFonts w:ascii="Times New Roman" w:hAnsi="Times New Roman" w:cs="Times New Roman"/>
                <w:sz w:val="18"/>
                <w:szCs w:val="18"/>
              </w:rPr>
            </w:pPr>
            <w:r>
              <w:rPr>
                <w:rFonts w:ascii="Times New Roman" w:hAnsi="Times New Roman" w:cs="Times New Roman"/>
                <w:sz w:val="18"/>
                <w:szCs w:val="18"/>
              </w:rPr>
              <w:t>Čl. 2</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spacing w:after="0"/>
              <w:rPr>
                <w:rFonts w:ascii="Times New Roman" w:hAnsi="Times New Roman" w:cs="Times New Roman"/>
                <w:b/>
                <w:sz w:val="18"/>
                <w:szCs w:val="18"/>
                <w:lang w:val="sk-SK"/>
              </w:rPr>
            </w:pPr>
            <w:r>
              <w:rPr>
                <w:rFonts w:ascii="Times New Roman" w:hAnsi="Times New Roman" w:cs="Times New Roman"/>
                <w:b/>
                <w:sz w:val="18"/>
                <w:szCs w:val="18"/>
                <w:lang w:val="sk-SK"/>
              </w:rPr>
              <w:t>Na účel tejto smernice:</w:t>
            </w:r>
          </w:p>
          <w:p>
            <w:pPr>
              <w:numPr>
                <w:ilvl w:val="0"/>
                <w:numId w:val="28"/>
              </w:numPr>
              <w:tabs>
                <w:tab w:val="left" w:pos="360"/>
              </w:tabs>
              <w:spacing w:after="0"/>
              <w:ind w:left="0" w:firstLine="0"/>
              <w:rPr>
                <w:rFonts w:ascii="Times New Roman" w:hAnsi="Times New Roman" w:cs="Times New Roman"/>
                <w:sz w:val="18"/>
                <w:szCs w:val="18"/>
                <w:lang w:val="sk-SK"/>
              </w:rPr>
            </w:pPr>
            <w:r>
              <w:rPr>
                <w:rFonts w:ascii="Times New Roman" w:hAnsi="Times New Roman" w:cs="Times New Roman"/>
                <w:sz w:val="18"/>
                <w:szCs w:val="18"/>
                <w:lang w:val="sk-SK"/>
              </w:rPr>
              <w:t>“úverový ústav” znanemá úverový ústav v zmysle druhého pododseku článku 1 ods. 1 smernice 2000/12/ES;</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numPr>
                <w:ilvl w:val="0"/>
                <w:numId w:val="28"/>
              </w:numPr>
              <w:tabs>
                <w:tab w:val="left" w:pos="360"/>
              </w:tabs>
              <w:spacing w:after="0"/>
              <w:ind w:left="0" w:firstLine="0"/>
              <w:rPr>
                <w:rFonts w:ascii="Times New Roman" w:hAnsi="Times New Roman" w:cs="Times New Roman"/>
                <w:sz w:val="18"/>
                <w:szCs w:val="18"/>
                <w:lang w:val="sk-SK"/>
              </w:rPr>
            </w:pPr>
            <w:r>
              <w:rPr>
                <w:rFonts w:ascii="Times New Roman" w:hAnsi="Times New Roman" w:cs="Times New Roman"/>
                <w:sz w:val="18"/>
                <w:szCs w:val="18"/>
                <w:lang w:val="sk-SK"/>
              </w:rPr>
              <w:t>“poisťovňa” znamená posťovňu v zmysle článku 6 smernice 73/239/EHS, článku 6 smernice 79/267/EHS alebo článku 1 ods. b smernice 98/78/ES;</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numPr>
                <w:ilvl w:val="0"/>
                <w:numId w:val="28"/>
              </w:numPr>
              <w:tabs>
                <w:tab w:val="left" w:pos="360"/>
              </w:tabs>
              <w:spacing w:after="0"/>
              <w:ind w:left="0" w:firstLine="0"/>
              <w:rPr>
                <w:rFonts w:ascii="Times New Roman" w:hAnsi="Times New Roman" w:cs="Times New Roman"/>
                <w:sz w:val="18"/>
                <w:szCs w:val="18"/>
                <w:lang w:val="sk-SK"/>
              </w:rPr>
            </w:pPr>
            <w:r>
              <w:rPr>
                <w:rFonts w:ascii="Times New Roman" w:hAnsi="Times New Roman" w:cs="Times New Roman"/>
                <w:sz w:val="18"/>
                <w:szCs w:val="18"/>
                <w:lang w:val="sk-SK"/>
              </w:rPr>
              <w:t>“investičná firma” znamená investičnú firmu v zmysle článku 1 ods. 2 smernice 93/22/EHS vrátane podnikateľských subjektov ustanovených v článku 2 ods. 4 smernice</w:t>
            </w:r>
            <w:r>
              <w:rPr>
                <w:rFonts w:ascii="Times New Roman" w:hAnsi="Times New Roman" w:cs="Times New Roman"/>
                <w:sz w:val="18"/>
                <w:szCs w:val="18"/>
                <w:lang w:val="sk-SK"/>
              </w:rPr>
              <w:t xml:space="preserve"> 93/6/ EHS;</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numPr>
                <w:ilvl w:val="0"/>
                <w:numId w:val="28"/>
              </w:numPr>
              <w:tabs>
                <w:tab w:val="left" w:pos="360"/>
              </w:tabs>
              <w:spacing w:after="0"/>
              <w:ind w:left="0" w:firstLine="0"/>
              <w:rPr>
                <w:rFonts w:ascii="Times New Roman" w:hAnsi="Times New Roman" w:cs="Times New Roman"/>
                <w:sz w:val="18"/>
                <w:szCs w:val="18"/>
                <w:lang w:val="sk-SK"/>
              </w:rPr>
            </w:pPr>
            <w:r>
              <w:rPr>
                <w:rFonts w:ascii="Times New Roman" w:hAnsi="Times New Roman" w:cs="Times New Roman"/>
                <w:sz w:val="18"/>
                <w:szCs w:val="18"/>
                <w:lang w:val="sk-SK"/>
              </w:rPr>
              <w:t>“regulovaný subjekt” znamená úverový ústav, poisťovňu alebo investičnú firmu;</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numPr>
                <w:ilvl w:val="0"/>
                <w:numId w:val="28"/>
              </w:numPr>
              <w:tabs>
                <w:tab w:val="left" w:pos="360"/>
              </w:tabs>
              <w:spacing w:after="0"/>
              <w:ind w:left="0" w:firstLine="0"/>
              <w:rPr>
                <w:rFonts w:ascii="Times New Roman" w:hAnsi="Times New Roman" w:cs="Times New Roman"/>
                <w:sz w:val="18"/>
                <w:szCs w:val="18"/>
                <w:lang w:val="sk-SK"/>
              </w:rPr>
            </w:pPr>
            <w:r>
              <w:rPr>
                <w:rFonts w:ascii="Times New Roman" w:hAnsi="Times New Roman" w:cs="Times New Roman"/>
                <w:sz w:val="18"/>
                <w:szCs w:val="18"/>
                <w:lang w:val="sk-SK"/>
              </w:rPr>
              <w:t>“spoločnosť zaoberajúca sa správou investičného majetku“ znamená spoločnosť zaoberajúcu sa správou v zmysle článku 1a ods. 2 smernice Rady 85/611/EHS z 20. decembra 1985 o koordinácii zákonov, nariadení a administratívnych opatrení týkajúcich sa podnikov kolektívneho investovania do prevoditeľných cenných papierov (UCITS), ako aj spoločnosť, ktorej registrované sídlo sa  nachádza mimo Spoločenstva a ktorá by vyžadovala oprávnenie podľa článku 5 ods. 1 uvedenej smernice, ak by mala registrované sídlo v Spoločenstve;</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numPr>
                <w:ilvl w:val="0"/>
                <w:numId w:val="28"/>
              </w:numPr>
              <w:tabs>
                <w:tab w:val="left" w:pos="360"/>
              </w:tabs>
              <w:spacing w:after="0"/>
              <w:ind w:left="0" w:firstLine="0"/>
              <w:rPr>
                <w:rFonts w:ascii="Times New Roman" w:hAnsi="Times New Roman" w:cs="Times New Roman"/>
                <w:sz w:val="18"/>
                <w:szCs w:val="18"/>
                <w:lang w:val="sk-SK"/>
              </w:rPr>
            </w:pPr>
            <w:r>
              <w:rPr>
                <w:rFonts w:ascii="Times New Roman" w:hAnsi="Times New Roman" w:cs="Times New Roman"/>
                <w:sz w:val="18"/>
                <w:szCs w:val="18"/>
                <w:lang w:val="sk-SK"/>
              </w:rPr>
              <w:t>„zaisťovňa“ znamená zaisťovňu v zmysle článku 1 písm. c smernice 98/78/ES;</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numPr>
                <w:ilvl w:val="0"/>
                <w:numId w:val="28"/>
              </w:numPr>
              <w:tabs>
                <w:tab w:val="left" w:pos="360"/>
              </w:tabs>
              <w:spacing w:after="0"/>
              <w:ind w:left="0" w:firstLine="0"/>
              <w:rPr>
                <w:rFonts w:ascii="Times New Roman" w:hAnsi="Times New Roman" w:cs="Times New Roman"/>
                <w:sz w:val="18"/>
                <w:szCs w:val="18"/>
                <w:lang w:val="sk-SK"/>
              </w:rPr>
            </w:pPr>
            <w:r>
              <w:rPr>
                <w:rFonts w:ascii="Times New Roman" w:hAnsi="Times New Roman" w:cs="Times New Roman"/>
                <w:sz w:val="18"/>
                <w:szCs w:val="18"/>
                <w:lang w:val="sk-SK"/>
              </w:rPr>
              <w:t>„sektorové predpisy“ znamenajú legislatívu Spoločenstva týkajúcu sa dohľadu nad obozretným podnikaním regulovaných subjektov, ustanovenú najmä v smerniciach 73/239/EHS, 79/267/EHS, 98/78/ES, 93/6/EHS, 93/22/EHS a 2000/12/ES;</w:t>
            </w:r>
          </w:p>
          <w:p>
            <w:pPr>
              <w:spacing w:after="0"/>
              <w:rPr>
                <w:rFonts w:ascii="Times New Roman" w:hAnsi="Times New Roman" w:cs="Times New Roman"/>
                <w:sz w:val="18"/>
                <w:szCs w:val="18"/>
                <w:lang w:val="sk-SK"/>
              </w:rPr>
            </w:pPr>
          </w:p>
          <w:p>
            <w:pPr>
              <w:numPr>
                <w:ilvl w:val="0"/>
                <w:numId w:val="28"/>
              </w:numPr>
              <w:tabs>
                <w:tab w:val="left" w:pos="360"/>
              </w:tabs>
              <w:spacing w:after="0"/>
              <w:ind w:left="0" w:firstLine="0"/>
              <w:rPr>
                <w:rFonts w:ascii="Times New Roman" w:hAnsi="Times New Roman" w:cs="Times New Roman"/>
                <w:sz w:val="18"/>
                <w:szCs w:val="18"/>
                <w:lang w:val="sk-SK"/>
              </w:rPr>
            </w:pPr>
            <w:r>
              <w:rPr>
                <w:rFonts w:ascii="Times New Roman" w:hAnsi="Times New Roman" w:cs="Times New Roman"/>
                <w:sz w:val="18"/>
                <w:szCs w:val="18"/>
                <w:lang w:val="sk-SK"/>
              </w:rPr>
              <w:t>„finančný sektor“ znamená sektor, ktorý tvorí jeden alebo viaceré nasledujúce subjekty:</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(a) úverový ústav, finančný ústav alebo podnik pomocných bankových služieb v zmysle článku 1 ods. 5 a 23 smernice 2000/12/ES (bankový sektor);</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(b) poisťovňa, zaisťovňa alebo poisťovacia holdingová spoločnosť v zmysle článku 1 písm. i smernice 98/78/ES (sektor  poisťovníctva);</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(c) investičná firma alebo finančný ústav v zmysle článku 2 ods. 7 smernice 93/6/EHS (sektor investičných služieb);</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(d) zmiešaná finančná holdingová spoločnosť;</w:t>
            </w:r>
          </w:p>
          <w:p>
            <w:pPr>
              <w:spacing w:after="0"/>
              <w:rPr>
                <w:rFonts w:ascii="Times New Roman" w:hAnsi="Times New Roman" w:cs="Times New Roman"/>
                <w:sz w:val="18"/>
                <w:szCs w:val="18"/>
                <w:lang w:val="sk-SK"/>
              </w:rPr>
            </w:pPr>
          </w:p>
          <w:p>
            <w:pPr>
              <w:numPr>
                <w:ilvl w:val="0"/>
                <w:numId w:val="28"/>
              </w:numPr>
              <w:tabs>
                <w:tab w:val="left" w:pos="0"/>
                <w:tab w:val="left" w:pos="356"/>
                <w:tab w:val="clear" w:pos="360"/>
              </w:tabs>
              <w:spacing w:after="0"/>
              <w:ind w:left="0" w:firstLine="0"/>
              <w:rPr>
                <w:rFonts w:ascii="Times New Roman" w:hAnsi="Times New Roman" w:cs="Times New Roman"/>
                <w:sz w:val="18"/>
                <w:szCs w:val="18"/>
                <w:lang w:val="sk-SK"/>
              </w:rPr>
            </w:pPr>
            <w:r>
              <w:rPr>
                <w:rFonts w:ascii="Times New Roman" w:hAnsi="Times New Roman" w:cs="Times New Roman"/>
                <w:sz w:val="18"/>
                <w:szCs w:val="18"/>
                <w:lang w:val="sk-SK"/>
              </w:rPr>
              <w:t>„materská spoločnosť“ znamená materskú spoločnosť v zmysle článku 1 siedmej smernice Rady 83/349/EHS z 13.júna 1983 o konsolidovaných účtoch a každú spoločnosť, ktorá podľa názoru príslušných orgánov efektívne uplatňuje dominantný vplyv nad inou spoločnosťou.</w:t>
            </w:r>
          </w:p>
          <w:p>
            <w:pPr>
              <w:spacing w:after="0"/>
              <w:ind w:firstLine="0"/>
              <w:rPr>
                <w:rFonts w:ascii="Times New Roman" w:hAnsi="Times New Roman" w:cs="Times New Roman"/>
                <w:sz w:val="18"/>
                <w:szCs w:val="18"/>
                <w:lang w:val="sk-SK"/>
              </w:rPr>
            </w:pPr>
          </w:p>
          <w:p>
            <w:pPr>
              <w:numPr>
                <w:ilvl w:val="0"/>
                <w:numId w:val="28"/>
              </w:numPr>
              <w:tabs>
                <w:tab w:val="left" w:pos="0"/>
                <w:tab w:val="clear" w:pos="360"/>
              </w:tabs>
              <w:spacing w:after="0"/>
              <w:ind w:left="0" w:firstLine="0"/>
              <w:rPr>
                <w:rFonts w:ascii="Times New Roman" w:hAnsi="Times New Roman" w:cs="Times New Roman"/>
                <w:sz w:val="18"/>
                <w:szCs w:val="18"/>
                <w:lang w:val="sk-SK"/>
              </w:rPr>
            </w:pPr>
            <w:r>
              <w:rPr>
                <w:rFonts w:ascii="Times New Roman" w:hAnsi="Times New Roman" w:cs="Times New Roman"/>
                <w:sz w:val="18"/>
                <w:szCs w:val="18"/>
                <w:lang w:val="sk-SK"/>
              </w:rPr>
              <w:t>„dcérska spoločnosť“ znamená dcérsku spoločnosť v zmysle článku 1 smernice 83/349/EHS a každú spoločnosť, nad ktorou podľa názoru príslušných orgánov materská spoločnosť efektívne uplatňuje dominantný vplyv; všetky dcérske spoločnosti dcérskych spoločností sa považujú za dcérske spoločnosti materskej spoločnosti;</w:t>
            </w:r>
          </w:p>
          <w:p>
            <w:pPr>
              <w:spacing w:after="0"/>
              <w:ind w:firstLine="0"/>
              <w:rPr>
                <w:rFonts w:ascii="Times New Roman" w:hAnsi="Times New Roman" w:cs="Times New Roman"/>
                <w:sz w:val="18"/>
                <w:szCs w:val="18"/>
                <w:lang w:val="sk-SK"/>
              </w:rPr>
            </w:pPr>
          </w:p>
          <w:p>
            <w:pPr>
              <w:numPr>
                <w:ilvl w:val="0"/>
                <w:numId w:val="28"/>
              </w:numPr>
              <w:tabs>
                <w:tab w:val="left" w:pos="0"/>
                <w:tab w:val="clear" w:pos="360"/>
              </w:tabs>
              <w:spacing w:after="0"/>
              <w:ind w:left="0" w:firstLine="0"/>
              <w:rPr>
                <w:rFonts w:ascii="Times New Roman" w:hAnsi="Times New Roman" w:cs="Times New Roman"/>
                <w:sz w:val="18"/>
                <w:szCs w:val="18"/>
                <w:lang w:val="sk-SK"/>
              </w:rPr>
            </w:pPr>
            <w:r>
              <w:rPr>
                <w:rFonts w:ascii="Times New Roman" w:hAnsi="Times New Roman" w:cs="Times New Roman"/>
                <w:sz w:val="18"/>
                <w:szCs w:val="18"/>
                <w:lang w:val="sk-SK"/>
              </w:rPr>
              <w:t>„majetková účasť“ znamená účasť v zmysle prvej vety článku 17 štvrtej smernice Rady 78/660/EHS z 25. júla 1978 o ročných účtovných závierkách určitých druhov spoločností alebo priame alebo nepriame vlastníctvo 20% alebo viac hlasovacích práv alebo kapitálu spoločnosti</w:t>
            </w:r>
            <w:r>
              <w:rPr>
                <w:rFonts w:ascii="Times New Roman" w:hAnsi="Times New Roman" w:cs="Times New Roman"/>
                <w:sz w:val="18"/>
                <w:szCs w:val="18"/>
                <w:lang w:val="sk-SK"/>
              </w:rPr>
              <w:t>;</w:t>
            </w:r>
          </w:p>
          <w:p>
            <w:pPr>
              <w:spacing w:after="0"/>
              <w:ind w:firstLine="0"/>
              <w:rPr>
                <w:rFonts w:ascii="Times New Roman" w:hAnsi="Times New Roman" w:cs="Times New Roman"/>
                <w:sz w:val="18"/>
                <w:szCs w:val="18"/>
                <w:lang w:val="sk-SK"/>
              </w:rPr>
            </w:pPr>
          </w:p>
          <w:p>
            <w:pPr>
              <w:numPr>
                <w:ilvl w:val="0"/>
                <w:numId w:val="28"/>
              </w:numPr>
              <w:tabs>
                <w:tab w:val="left" w:pos="360"/>
              </w:tabs>
              <w:spacing w:after="0"/>
              <w:ind w:left="0" w:firstLine="0"/>
              <w:rPr>
                <w:rFonts w:ascii="Times New Roman" w:hAnsi="Times New Roman" w:cs="Times New Roman"/>
                <w:sz w:val="18"/>
                <w:szCs w:val="18"/>
                <w:lang w:val="sk-SK"/>
              </w:rPr>
            </w:pPr>
            <w:r>
              <w:rPr>
                <w:rFonts w:ascii="Times New Roman" w:hAnsi="Times New Roman" w:cs="Times New Roman"/>
                <w:sz w:val="18"/>
                <w:szCs w:val="18"/>
                <w:lang w:val="sk-SK"/>
              </w:rPr>
              <w:t>„skupina“ znamená skupinu spoločností, ktorá sa skladá z materskej spoločnosti, jej dcérskych spoločností a subjektov, v ktorých materská spoločnosť alebo jej dcérske spoločnosti majú majetkovú účasť, ako aj spoločností navzájom spojených vzťahom v zmysle článku 12 ods. 1 smernice 83/349/EHS;</w:t>
            </w: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numPr>
                <w:ilvl w:val="0"/>
                <w:numId w:val="28"/>
              </w:numPr>
              <w:tabs>
                <w:tab w:val="left" w:pos="360"/>
              </w:tabs>
              <w:spacing w:after="0"/>
              <w:ind w:left="0" w:firstLine="0"/>
              <w:rPr>
                <w:rFonts w:ascii="Times New Roman" w:hAnsi="Times New Roman" w:cs="Times New Roman"/>
                <w:sz w:val="18"/>
                <w:szCs w:val="18"/>
                <w:lang w:val="sk-SK"/>
              </w:rPr>
            </w:pPr>
            <w:r>
              <w:rPr>
                <w:rFonts w:ascii="Times New Roman" w:hAnsi="Times New Roman" w:cs="Times New Roman"/>
                <w:sz w:val="18"/>
                <w:szCs w:val="18"/>
                <w:lang w:val="sk-SK"/>
              </w:rPr>
              <w:t>„úzke prepojenie“ znamená situáciu, pri ktorej dve alebo viaceré fyzické alebo právnické osoby sú prepojené:</w:t>
            </w:r>
          </w:p>
          <w:p>
            <w:pPr>
              <w:spacing w:after="0"/>
              <w:ind w:firstLine="0"/>
              <w:rPr>
                <w:rFonts w:ascii="Times New Roman" w:hAnsi="Times New Roman" w:cs="Times New Roman"/>
                <w:sz w:val="18"/>
                <w:szCs w:val="18"/>
                <w:lang w:val="sk-SK"/>
              </w:rPr>
            </w:pPr>
            <w:r>
              <w:rPr>
                <w:rFonts w:ascii="Times New Roman" w:hAnsi="Times New Roman" w:cs="Times New Roman"/>
                <w:sz w:val="18"/>
                <w:szCs w:val="18"/>
                <w:lang w:val="sk-SK"/>
              </w:rPr>
              <w:t xml:space="preserve"> </w:t>
            </w:r>
          </w:p>
          <w:p>
            <w:pPr>
              <w:spacing w:after="0"/>
              <w:ind w:firstLine="0"/>
              <w:rPr>
                <w:rFonts w:ascii="Times New Roman" w:hAnsi="Times New Roman" w:cs="Times New Roman"/>
                <w:sz w:val="18"/>
                <w:szCs w:val="18"/>
                <w:lang w:val="sk-SK"/>
              </w:rPr>
            </w:pPr>
            <w:r>
              <w:rPr>
                <w:rFonts w:ascii="Times New Roman" w:hAnsi="Times New Roman" w:cs="Times New Roman"/>
                <w:sz w:val="18"/>
                <w:szCs w:val="18"/>
                <w:lang w:val="sk-SK"/>
              </w:rPr>
              <w:t>(a) „majetkovou účasťou“, ktorá znamená vlastníctvo, priame alebo vo forme kontroly, 20% alebo viac hlasovacích práv, alebo kapitálu spoločnosti, alebo</w:t>
            </w: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r>
              <w:rPr>
                <w:rFonts w:ascii="Times New Roman" w:hAnsi="Times New Roman" w:cs="Times New Roman"/>
                <w:sz w:val="18"/>
                <w:szCs w:val="18"/>
                <w:lang w:val="sk-SK"/>
              </w:rPr>
              <w:t>(b) „kontrolou“, ktorá znamená vzťah medzi materskou spoločnosťou a dcérskou spoločnosťou, vo všetkých prípadoch ustanovených v článku 1 ods. 1 a 2 smernice 83/349/EHS, alebo podobný vzťah medzi akoukoľvek právnickou alebo fyzickou osobou a spoločnosťou; každá dcérska spoločnosť dcérskej spoločnosti sa tiež považuje za dcérsku spoločnosť materskej spoločnosti, ktorá je na vrchole týchto spoločností.</w:t>
            </w: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r>
              <w:rPr>
                <w:rFonts w:ascii="Times New Roman" w:hAnsi="Times New Roman" w:cs="Times New Roman"/>
                <w:sz w:val="18"/>
                <w:szCs w:val="18"/>
                <w:lang w:val="sk-SK"/>
              </w:rPr>
              <w:t>Situácia, v ktorej sú dve alebo viaceré fyzické alebo právnické osoby trvalo spojené s jednou a tou istou osobou vzťahom kontroly, sa tiež  považuje za predstavujúcu úzke prepojenie medzi týmito osobami.</w:t>
            </w: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r>
              <w:rPr>
                <w:rFonts w:ascii="Times New Roman" w:hAnsi="Times New Roman" w:cs="Times New Roman"/>
                <w:sz w:val="18"/>
                <w:szCs w:val="18"/>
                <w:lang w:val="sk-SK"/>
              </w:rPr>
              <w:t>14.  „finančný konglomerát“ znamená skupinu, ktorá spĺňa, vo väzbe na článok 3, tieto pod</w:t>
            </w:r>
            <w:r>
              <w:rPr>
                <w:rFonts w:ascii="Times New Roman" w:hAnsi="Times New Roman" w:cs="Times New Roman"/>
                <w:sz w:val="18"/>
                <w:szCs w:val="18"/>
                <w:lang w:val="sk-SK"/>
              </w:rPr>
              <w:t>mienky:</w:t>
            </w:r>
          </w:p>
          <w:p>
            <w:pPr>
              <w:spacing w:after="0"/>
              <w:ind w:firstLine="0"/>
              <w:rPr>
                <w:rFonts w:ascii="Times New Roman" w:hAnsi="Times New Roman" w:cs="Times New Roman"/>
                <w:sz w:val="18"/>
                <w:szCs w:val="18"/>
                <w:lang w:val="sk-SK"/>
              </w:rPr>
            </w:pPr>
          </w:p>
          <w:p>
            <w:pPr>
              <w:numPr>
                <w:ilvl w:val="0"/>
                <w:numId w:val="29"/>
              </w:numPr>
              <w:tabs>
                <w:tab w:val="left" w:pos="355"/>
                <w:tab w:val="clear" w:pos="720"/>
              </w:tabs>
              <w:spacing w:after="0"/>
              <w:ind w:left="0" w:firstLine="0"/>
              <w:rPr>
                <w:rFonts w:ascii="Times New Roman" w:hAnsi="Times New Roman" w:cs="Times New Roman"/>
                <w:sz w:val="18"/>
                <w:szCs w:val="18"/>
                <w:lang w:val="sk-SK"/>
              </w:rPr>
            </w:pPr>
            <w:r>
              <w:rPr>
                <w:rFonts w:ascii="Times New Roman" w:hAnsi="Times New Roman" w:cs="Times New Roman"/>
                <w:sz w:val="18"/>
                <w:szCs w:val="18"/>
                <w:lang w:val="sk-SK"/>
              </w:rPr>
              <w:t>na vrchole skupiny je regulovaný subjekt v zmysle článku 1 alebo aspoň jedna z dcérskych spoločností v skupine je regulovanými subjektom v zmysle článku 1;</w:t>
            </w:r>
          </w:p>
          <w:p>
            <w:pPr>
              <w:spacing w:after="0"/>
              <w:ind w:firstLine="0"/>
              <w:rPr>
                <w:rFonts w:ascii="Times New Roman" w:hAnsi="Times New Roman" w:cs="Times New Roman"/>
                <w:sz w:val="18"/>
                <w:szCs w:val="18"/>
                <w:lang w:val="sk-SK"/>
              </w:rPr>
            </w:pPr>
          </w:p>
          <w:p>
            <w:pPr>
              <w:numPr>
                <w:ilvl w:val="0"/>
                <w:numId w:val="29"/>
              </w:numPr>
              <w:tabs>
                <w:tab w:val="left" w:pos="355"/>
                <w:tab w:val="clear" w:pos="720"/>
              </w:tabs>
              <w:spacing w:after="0"/>
              <w:ind w:left="0" w:firstLine="0"/>
              <w:rPr>
                <w:rFonts w:ascii="Times New Roman" w:hAnsi="Times New Roman" w:cs="Times New Roman"/>
                <w:sz w:val="18"/>
                <w:szCs w:val="18"/>
                <w:lang w:val="sk-SK"/>
              </w:rPr>
            </w:pPr>
            <w:r>
              <w:rPr>
                <w:rFonts w:ascii="Times New Roman" w:hAnsi="Times New Roman" w:cs="Times New Roman"/>
                <w:sz w:val="18"/>
                <w:szCs w:val="18"/>
                <w:lang w:val="sk-SK"/>
              </w:rPr>
              <w:t xml:space="preserve"> ak na vrchole skupiny je regulovaný subjekt v zmysle článku 1, tento je buď materskou spoločnosťou subjektu vo finančnom sektore, subjektom, ktorý vlastní majetkovú účasť v subjekte vo finančnom sektore, alebo je subjektom prepojeným so subjektom vo finančnom sektore vzťahom v zmysle článku 12 ods. 1 smernice 83/349/EHS;</w:t>
            </w: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numPr>
                <w:ilvl w:val="0"/>
                <w:numId w:val="29"/>
              </w:numPr>
              <w:tabs>
                <w:tab w:val="left" w:pos="355"/>
                <w:tab w:val="clear" w:pos="720"/>
              </w:tabs>
              <w:spacing w:after="0"/>
              <w:ind w:left="0" w:firstLine="0"/>
              <w:rPr>
                <w:rFonts w:ascii="Times New Roman" w:hAnsi="Times New Roman" w:cs="Times New Roman"/>
                <w:sz w:val="18"/>
                <w:szCs w:val="18"/>
                <w:lang w:val="sk-SK"/>
              </w:rPr>
            </w:pPr>
            <w:r>
              <w:rPr>
                <w:rFonts w:ascii="Times New Roman" w:hAnsi="Times New Roman" w:cs="Times New Roman"/>
                <w:sz w:val="18"/>
                <w:szCs w:val="18"/>
                <w:lang w:val="sk-SK"/>
              </w:rPr>
              <w:t xml:space="preserve"> ak na vrchole skupiny nie je regulovaný subjekt v zmysle článku 1, činnosti skupiny sa sústreďujú prevažne vo finančnom sektore v zmysle článku 3 ods. 1;</w:t>
            </w:r>
          </w:p>
          <w:p>
            <w:pPr>
              <w:spacing w:after="0"/>
              <w:ind w:firstLine="0"/>
              <w:rPr>
                <w:rFonts w:ascii="Times New Roman" w:hAnsi="Times New Roman" w:cs="Times New Roman"/>
                <w:sz w:val="18"/>
                <w:szCs w:val="18"/>
                <w:lang w:val="sk-SK"/>
              </w:rPr>
            </w:pPr>
            <w:r>
              <w:rPr>
                <w:rFonts w:ascii="Times New Roman" w:hAnsi="Times New Roman" w:cs="Times New Roman"/>
                <w:sz w:val="18"/>
                <w:szCs w:val="18"/>
                <w:lang w:val="sk-SK"/>
              </w:rPr>
              <w:t>(d) aspoň jeden zo subjektov v skupine sa nachádza v sektore poisťovníctva a aspoň jeden v bankovom sektore alebo sektore investičných služieb;</w:t>
            </w:r>
          </w:p>
          <w:p>
            <w:pPr>
              <w:spacing w:after="0"/>
              <w:ind w:firstLine="0"/>
              <w:rPr>
                <w:rFonts w:ascii="Times New Roman" w:hAnsi="Times New Roman" w:cs="Times New Roman"/>
                <w:sz w:val="18"/>
                <w:szCs w:val="18"/>
                <w:lang w:val="sk-SK"/>
              </w:rPr>
            </w:pPr>
            <w:r>
              <w:rPr>
                <w:rFonts w:ascii="Times New Roman" w:hAnsi="Times New Roman" w:cs="Times New Roman"/>
                <w:sz w:val="18"/>
                <w:szCs w:val="18"/>
                <w:lang w:val="sk-SK"/>
              </w:rPr>
              <w:t>(e) konsolidované resp. agregované činnosti subjektov skupiny v sektore poisťovníctva a konsolidované resp. agregované činnosti subjektov skupiny v bankovom sektore a v sektore investičných služieb sú významné v zmysle článkov 3 ods.</w:t>
            </w:r>
            <w:r>
              <w:rPr>
                <w:rFonts w:ascii="Times New Roman" w:hAnsi="Times New Roman" w:cs="Times New Roman"/>
                <w:sz w:val="18"/>
                <w:szCs w:val="18"/>
                <w:lang w:val="sk-SK"/>
              </w:rPr>
              <w:t xml:space="preserve"> 2, ako aj 3;</w:t>
            </w: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r>
              <w:rPr>
                <w:rFonts w:ascii="Times New Roman" w:hAnsi="Times New Roman" w:cs="Times New Roman"/>
                <w:sz w:val="18"/>
                <w:szCs w:val="18"/>
                <w:lang w:val="sk-SK"/>
              </w:rPr>
              <w:t>Za finančný konglomerát sa považuje každá podskupina skupiny v zmysle bodu 12, ktorá spĺňa kritériá  ustanovené v tomto bode.</w:t>
            </w: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r>
              <w:rPr>
                <w:rFonts w:ascii="Times New Roman" w:hAnsi="Times New Roman" w:cs="Times New Roman"/>
                <w:sz w:val="18"/>
                <w:szCs w:val="18"/>
                <w:lang w:val="sk-SK"/>
              </w:rPr>
              <w:t>15.  „zmiešaná finančná holdingová spoločnosť“ znamená materskú spoločnosť inú ako regulovaný subjekt, ktorá spolu so svojimi dcérskymi spoločnosťami, z ktorých aspoň jedna je regulovaným subjektom so sídlom v Spoločenstve a s ostatnými subjektami predstavuje finančný konglomerát;</w:t>
            </w: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r>
              <w:rPr>
                <w:rFonts w:ascii="Times New Roman" w:hAnsi="Times New Roman" w:cs="Times New Roman"/>
                <w:sz w:val="18"/>
                <w:szCs w:val="18"/>
                <w:lang w:val="sk-SK"/>
              </w:rPr>
              <w:t>16.  „príslušné orgány znamenajú národné orgány členských štátov, ktoré majú právomoc na základe zákona alebo nariadenia vykonávať dohľad nad úverovými ústavmi, sporiteľňami resp. investičnými firmami buď na individuálnom alebo celoskupinovom základe;</w:t>
            </w: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r>
              <w:rPr>
                <w:rFonts w:ascii="Times New Roman" w:hAnsi="Times New Roman" w:cs="Times New Roman"/>
                <w:sz w:val="18"/>
                <w:szCs w:val="18"/>
                <w:lang w:val="sk-SK"/>
              </w:rPr>
              <w:t>17.   „ príslušné kompetentné orgány“ znamenajú:</w:t>
            </w:r>
          </w:p>
          <w:p>
            <w:pPr>
              <w:spacing w:after="0"/>
              <w:ind w:firstLine="0"/>
              <w:rPr>
                <w:rFonts w:ascii="Times New Roman" w:hAnsi="Times New Roman" w:cs="Times New Roman"/>
                <w:sz w:val="18"/>
                <w:szCs w:val="18"/>
                <w:lang w:val="sk-SK"/>
              </w:rPr>
            </w:pPr>
            <w:r>
              <w:rPr>
                <w:rFonts w:ascii="Times New Roman" w:hAnsi="Times New Roman" w:cs="Times New Roman"/>
                <w:sz w:val="18"/>
                <w:szCs w:val="18"/>
                <w:lang w:val="sk-SK"/>
              </w:rPr>
              <w:t>(a) kompetentné orgány členských štátov, zodpovedné za celoskupinový dohľad v sektore nad každým z regulovaných subjektov vo finančnom konglomeráte;</w:t>
            </w:r>
          </w:p>
          <w:p>
            <w:pPr>
              <w:spacing w:after="0"/>
              <w:ind w:firstLine="0"/>
              <w:rPr>
                <w:rFonts w:ascii="Times New Roman" w:hAnsi="Times New Roman" w:cs="Times New Roman"/>
                <w:sz w:val="18"/>
                <w:szCs w:val="18"/>
                <w:lang w:val="sk-SK"/>
              </w:rPr>
            </w:pPr>
            <w:r>
              <w:rPr>
                <w:rFonts w:ascii="Times New Roman" w:hAnsi="Times New Roman" w:cs="Times New Roman"/>
                <w:sz w:val="18"/>
                <w:szCs w:val="18"/>
                <w:lang w:val="sk-SK"/>
              </w:rPr>
              <w:t>(b) koordinátora vymenovaného podľa článku 10, ak je rozdielny od orgánov, ktoré sa ustanovujú v bode (a)</w:t>
            </w: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r>
              <w:rPr>
                <w:rFonts w:ascii="Times New Roman" w:hAnsi="Times New Roman" w:cs="Times New Roman"/>
                <w:sz w:val="18"/>
                <w:szCs w:val="18"/>
                <w:lang w:val="sk-SK"/>
              </w:rPr>
              <w:t>(c) v prípade aktuálnosti iné zainteresované príslušné orgány podľa názoru orgánov ustanovených v bodoch (a) a (b); tento názor musí brať do úvahy trhový podiel regulovaných subjektov konglomerátu v iných členských štátoch, najmä ak prekračuje 5% a dôležitosť v konglomeráte ktoréhokoľvek  regulovaného subjektu zriadeného v inom členskom štáte;</w:t>
            </w: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r>
              <w:rPr>
                <w:rFonts w:ascii="Times New Roman" w:hAnsi="Times New Roman" w:cs="Times New Roman"/>
                <w:sz w:val="18"/>
                <w:szCs w:val="18"/>
                <w:lang w:val="sk-SK"/>
              </w:rPr>
              <w:t>18. „vnútroskupinové transakcie“ znamenajú všetky transakcie, v ktorých regulované subjekty finančného konglomerátu buď priamo alebo nepriamo využívajú iné spoločnosti tej istej skupiny alebo fyzickú alebo právnickú osobu prepojenú so spoločnosťami tejto skupiny „úzkym prepojením“ na splnenie povinnosti, ktorá je alebo nemusí byť zmluvná a je alebo nemusí byť za úhradu;</w:t>
            </w: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r>
              <w:rPr>
                <w:rFonts w:ascii="Times New Roman" w:hAnsi="Times New Roman" w:cs="Times New Roman"/>
                <w:sz w:val="18"/>
                <w:szCs w:val="18"/>
                <w:lang w:val="sk-SK"/>
              </w:rPr>
              <w:t>19. „ koncentrácia rizík“ znamená každú angažovanosť subjektov finančného konglomerátu na riziku, ktorá potenciálne môže znamenať stratu a ktorá je dostatočne veľká, aby ohrozila platobnú schopnosť alebo finančné postavenie všeobecne regulovaných subjektov vo finančnom konglomeráte; takáto angažovanosť môže byť zapríčinená rizikom protistrany / úverovým rizikom, investičným rizikom, poistným rizikom, trhovým rizikom, inými rizikami alebo kombináciou alebo interakciou týchto rizík.</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3"/>
              <w:jc w:val="left"/>
              <w:rPr>
                <w:rFonts w:ascii="Times New Roman" w:hAnsi="Times New Roman" w:cs="Times New Roman"/>
                <w:sz w:val="18"/>
                <w:szCs w:val="18"/>
                <w:lang w:val="sk-SK"/>
              </w:rPr>
            </w:pPr>
            <w:r>
              <w:rPr>
                <w:rFonts w:ascii="Times New Roman" w:hAnsi="Times New Roman" w:cs="Times New Roman"/>
                <w:sz w:val="18"/>
                <w:szCs w:val="18"/>
                <w:lang w:val="sk-SK"/>
              </w:rPr>
              <w:t>N</w:t>
            </w: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r>
              <w:rPr>
                <w:rFonts w:ascii="Times New Roman" w:hAnsi="Times New Roman" w:cs="Times New Roman"/>
                <w:sz w:val="18"/>
                <w:szCs w:val="18"/>
                <w:lang w:val="sk-SK"/>
              </w:rPr>
              <w:t>n.a.</w:t>
            </w: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r>
              <w:rPr>
                <w:rFonts w:ascii="Times New Roman" w:hAnsi="Times New Roman" w:cs="Times New Roman"/>
                <w:sz w:val="18"/>
                <w:szCs w:val="18"/>
                <w:lang w:val="sk-SK"/>
              </w:rPr>
              <w:t>N</w:t>
            </w: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jc w:val="left"/>
              <w:rPr>
                <w:rFonts w:ascii="Times New Roman" w:hAnsi="Times New Roman" w:cs="Times New Roman"/>
                <w:sz w:val="18"/>
                <w:szCs w:val="18"/>
              </w:rPr>
            </w:pPr>
            <w:r>
              <w:rPr>
                <w:rFonts w:ascii="Times New Roman" w:hAnsi="Times New Roman" w:cs="Times New Roman"/>
                <w:sz w:val="18"/>
                <w:szCs w:val="18"/>
              </w:rPr>
              <w:t>483/2001 Z.z. o bankách</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95/2002 Z.z.</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566/2001 Z.z. o cenných papieroch</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X/2004 Z.z.</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594/2003 Z.z. o kolektívnom invest.</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95/2002 Z.z.</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X/2004 Z.z.</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95/2002 Z.z.</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95/2002 Z.z.</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X/2004 Z.z.</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X/2004 Z.z.</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95/2002 Z.z.</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95/2002 Z.z.</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X/2004 Z.z.</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X/2004 Z.z.</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96/2002 Z.z.</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566/1992 Zb. o NBS</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X/2004 Z.z.</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X/2004 Z.z.</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jc w:val="left"/>
              <w:rPr>
                <w:rFonts w:ascii="Times New Roman" w:hAnsi="Times New Roman" w:cs="Times New Roman"/>
                <w:sz w:val="18"/>
                <w:szCs w:val="18"/>
              </w:rPr>
            </w:pPr>
            <w:r>
              <w:rPr>
                <w:rFonts w:ascii="Times New Roman" w:hAnsi="Times New Roman" w:cs="Times New Roman"/>
                <w:sz w:val="18"/>
                <w:szCs w:val="18"/>
              </w:rPr>
              <w:t>§ 2</w:t>
            </w:r>
          </w:p>
          <w:p>
            <w:pPr>
              <w:pStyle w:val="TABUKA-textsmernice"/>
              <w:jc w:val="left"/>
              <w:rPr>
                <w:rFonts w:ascii="Times New Roman" w:hAnsi="Times New Roman" w:cs="Times New Roman"/>
                <w:sz w:val="18"/>
                <w:szCs w:val="18"/>
              </w:rPr>
            </w:pPr>
            <w:r>
              <w:rPr>
                <w:rFonts w:ascii="Times New Roman" w:hAnsi="Times New Roman" w:cs="Times New Roman"/>
                <w:sz w:val="18"/>
                <w:szCs w:val="18"/>
              </w:rPr>
              <w:t>ods. 1</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 4</w:t>
            </w:r>
          </w:p>
          <w:p>
            <w:pPr>
              <w:pStyle w:val="TABUKA-textsmernice"/>
              <w:jc w:val="left"/>
              <w:rPr>
                <w:rFonts w:ascii="Times New Roman" w:hAnsi="Times New Roman" w:cs="Times New Roman"/>
                <w:sz w:val="18"/>
                <w:szCs w:val="18"/>
              </w:rPr>
            </w:pPr>
            <w:r>
              <w:rPr>
                <w:rFonts w:ascii="Times New Roman" w:hAnsi="Times New Roman" w:cs="Times New Roman"/>
                <w:sz w:val="18"/>
                <w:szCs w:val="18"/>
              </w:rPr>
              <w:t>ods. 1</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 54</w:t>
            </w:r>
          </w:p>
          <w:p>
            <w:pPr>
              <w:pStyle w:val="TABUKA-textsmernice"/>
              <w:jc w:val="left"/>
              <w:rPr>
                <w:rFonts w:ascii="Times New Roman" w:hAnsi="Times New Roman" w:cs="Times New Roman"/>
                <w:sz w:val="18"/>
                <w:szCs w:val="18"/>
              </w:rPr>
            </w:pPr>
            <w:r>
              <w:rPr>
                <w:rFonts w:ascii="Times New Roman" w:hAnsi="Times New Roman" w:cs="Times New Roman"/>
                <w:sz w:val="18"/>
                <w:szCs w:val="18"/>
              </w:rPr>
              <w:t>ods. 1</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 48b</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pís. d)</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 3</w:t>
            </w:r>
          </w:p>
          <w:p>
            <w:pPr>
              <w:pStyle w:val="TABUKA-textsmernice"/>
              <w:jc w:val="left"/>
              <w:rPr>
                <w:rFonts w:ascii="Times New Roman" w:hAnsi="Times New Roman" w:cs="Times New Roman"/>
                <w:sz w:val="18"/>
                <w:szCs w:val="18"/>
              </w:rPr>
            </w:pPr>
            <w:r>
              <w:rPr>
                <w:rFonts w:ascii="Times New Roman" w:hAnsi="Times New Roman" w:cs="Times New Roman"/>
                <w:sz w:val="18"/>
                <w:szCs w:val="18"/>
              </w:rPr>
              <w:t>ods. 1</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ods. 11</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 11</w:t>
            </w:r>
          </w:p>
          <w:p>
            <w:pPr>
              <w:pStyle w:val="TABUKA-textsmernice"/>
              <w:jc w:val="left"/>
              <w:rPr>
                <w:rFonts w:ascii="Times New Roman" w:hAnsi="Times New Roman" w:cs="Times New Roman"/>
                <w:sz w:val="18"/>
                <w:szCs w:val="18"/>
              </w:rPr>
            </w:pPr>
            <w:r>
              <w:rPr>
                <w:rFonts w:ascii="Times New Roman" w:hAnsi="Times New Roman" w:cs="Times New Roman"/>
                <w:sz w:val="18"/>
                <w:szCs w:val="18"/>
              </w:rPr>
              <w:t>ods. 1</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 48b</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pís. b)</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 3</w:t>
            </w:r>
          </w:p>
          <w:p>
            <w:pPr>
              <w:pStyle w:val="TABUKA-textsmernice"/>
              <w:jc w:val="left"/>
              <w:rPr>
                <w:rFonts w:ascii="Times New Roman" w:hAnsi="Times New Roman" w:cs="Times New Roman"/>
                <w:sz w:val="18"/>
                <w:szCs w:val="18"/>
              </w:rPr>
            </w:pPr>
            <w:r>
              <w:rPr>
                <w:rFonts w:ascii="Times New Roman" w:hAnsi="Times New Roman" w:cs="Times New Roman"/>
                <w:sz w:val="18"/>
                <w:szCs w:val="18"/>
              </w:rPr>
              <w:t>pís. h)</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 3</w:t>
            </w:r>
          </w:p>
          <w:p>
            <w:pPr>
              <w:pStyle w:val="TABUKA-textsmernice"/>
              <w:jc w:val="left"/>
              <w:rPr>
                <w:rFonts w:ascii="Times New Roman" w:hAnsi="Times New Roman" w:cs="Times New Roman"/>
                <w:sz w:val="18"/>
                <w:szCs w:val="18"/>
              </w:rPr>
            </w:pPr>
            <w:r>
              <w:rPr>
                <w:rFonts w:ascii="Times New Roman" w:hAnsi="Times New Roman" w:cs="Times New Roman"/>
                <w:sz w:val="18"/>
                <w:szCs w:val="18"/>
              </w:rPr>
              <w:t>pís. g)</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 43 ods. 5</w:t>
            </w:r>
          </w:p>
          <w:p>
            <w:pPr>
              <w:pStyle w:val="TABUKA-textsmernice"/>
              <w:jc w:val="left"/>
              <w:rPr>
                <w:rFonts w:ascii="Times New Roman" w:hAnsi="Times New Roman" w:cs="Times New Roman"/>
                <w:sz w:val="18"/>
                <w:szCs w:val="18"/>
              </w:rPr>
            </w:pPr>
            <w:r>
              <w:rPr>
                <w:rFonts w:ascii="Times New Roman" w:hAnsi="Times New Roman" w:cs="Times New Roman"/>
                <w:sz w:val="18"/>
                <w:szCs w:val="18"/>
              </w:rPr>
              <w:t>pís. m)</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 48b</w:t>
            </w:r>
          </w:p>
          <w:p>
            <w:pPr>
              <w:pStyle w:val="TABUKA-textsmernice"/>
              <w:jc w:val="left"/>
              <w:rPr>
                <w:rFonts w:ascii="Times New Roman" w:hAnsi="Times New Roman" w:cs="Times New Roman"/>
                <w:sz w:val="18"/>
                <w:szCs w:val="18"/>
              </w:rPr>
            </w:pPr>
            <w:r>
              <w:rPr>
                <w:rFonts w:ascii="Times New Roman" w:hAnsi="Times New Roman" w:cs="Times New Roman"/>
                <w:sz w:val="18"/>
                <w:szCs w:val="18"/>
              </w:rPr>
              <w:t>pís. c)</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 3</w:t>
            </w:r>
          </w:p>
          <w:p>
            <w:pPr>
              <w:pStyle w:val="TABUKA-textsmernice"/>
              <w:jc w:val="left"/>
              <w:rPr>
                <w:rFonts w:ascii="Times New Roman" w:hAnsi="Times New Roman" w:cs="Times New Roman"/>
                <w:sz w:val="18"/>
                <w:szCs w:val="18"/>
              </w:rPr>
            </w:pPr>
            <w:r>
              <w:rPr>
                <w:rFonts w:ascii="Times New Roman" w:hAnsi="Times New Roman" w:cs="Times New Roman"/>
                <w:sz w:val="18"/>
                <w:szCs w:val="18"/>
              </w:rPr>
              <w:t>pís. c)</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 3</w:t>
            </w:r>
          </w:p>
          <w:p>
            <w:pPr>
              <w:pStyle w:val="TABUKA-textsmernice"/>
              <w:jc w:val="left"/>
              <w:rPr>
                <w:rFonts w:ascii="Times New Roman" w:hAnsi="Times New Roman" w:cs="Times New Roman"/>
                <w:sz w:val="18"/>
                <w:szCs w:val="18"/>
              </w:rPr>
            </w:pPr>
            <w:r>
              <w:rPr>
                <w:rFonts w:ascii="Times New Roman" w:hAnsi="Times New Roman" w:cs="Times New Roman"/>
                <w:sz w:val="18"/>
                <w:szCs w:val="18"/>
              </w:rPr>
              <w:t>pís. f)</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 48b</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pís. a)</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 43 ods. 5</w:t>
            </w:r>
          </w:p>
          <w:p>
            <w:pPr>
              <w:pStyle w:val="TABUKA-textsmernice"/>
              <w:jc w:val="left"/>
              <w:rPr>
                <w:rFonts w:ascii="Times New Roman" w:hAnsi="Times New Roman" w:cs="Times New Roman"/>
                <w:sz w:val="18"/>
                <w:szCs w:val="18"/>
              </w:rPr>
            </w:pPr>
            <w:r>
              <w:rPr>
                <w:rFonts w:ascii="Times New Roman" w:hAnsi="Times New Roman" w:cs="Times New Roman"/>
                <w:sz w:val="18"/>
                <w:szCs w:val="18"/>
              </w:rPr>
              <w:t>pís. k)</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 3</w:t>
            </w:r>
          </w:p>
          <w:p>
            <w:pPr>
              <w:pStyle w:val="TABUKA-textsmernice"/>
              <w:jc w:val="left"/>
              <w:rPr>
                <w:rFonts w:ascii="Times New Roman" w:hAnsi="Times New Roman" w:cs="Times New Roman"/>
                <w:sz w:val="18"/>
                <w:szCs w:val="18"/>
              </w:rPr>
            </w:pPr>
            <w:r>
              <w:rPr>
                <w:rFonts w:ascii="Times New Roman" w:hAnsi="Times New Roman" w:cs="Times New Roman"/>
                <w:sz w:val="18"/>
                <w:szCs w:val="18"/>
              </w:rPr>
              <w:t>ods. 1</w:t>
            </w:r>
          </w:p>
          <w:p>
            <w:pPr>
              <w:pStyle w:val="TABUKA-textsmernice"/>
              <w:jc w:val="left"/>
              <w:rPr>
                <w:rFonts w:ascii="Times New Roman" w:hAnsi="Times New Roman" w:cs="Times New Roman"/>
                <w:sz w:val="18"/>
                <w:szCs w:val="18"/>
              </w:rPr>
            </w:pPr>
            <w:r>
              <w:rPr>
                <w:rFonts w:ascii="Times New Roman" w:hAnsi="Times New Roman" w:cs="Times New Roman"/>
                <w:sz w:val="18"/>
                <w:szCs w:val="18"/>
              </w:rPr>
              <w:t>pís. a)</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 2</w:t>
            </w:r>
          </w:p>
          <w:p>
            <w:pPr>
              <w:pStyle w:val="TABUKA-textsmernice"/>
              <w:jc w:val="left"/>
              <w:rPr>
                <w:rFonts w:ascii="Times New Roman" w:hAnsi="Times New Roman" w:cs="Times New Roman"/>
                <w:sz w:val="18"/>
                <w:szCs w:val="18"/>
              </w:rPr>
            </w:pPr>
            <w:r>
              <w:rPr>
                <w:rFonts w:ascii="Times New Roman" w:hAnsi="Times New Roman" w:cs="Times New Roman"/>
                <w:sz w:val="18"/>
                <w:szCs w:val="18"/>
              </w:rPr>
              <w:t>ods. 1</w:t>
            </w:r>
          </w:p>
          <w:p>
            <w:pPr>
              <w:pStyle w:val="TABUKA-textsmernice"/>
              <w:jc w:val="left"/>
              <w:rPr>
                <w:rFonts w:ascii="Times New Roman" w:hAnsi="Times New Roman" w:cs="Times New Roman"/>
                <w:sz w:val="18"/>
                <w:szCs w:val="18"/>
              </w:rPr>
            </w:pPr>
            <w:r>
              <w:rPr>
                <w:rFonts w:ascii="Times New Roman" w:hAnsi="Times New Roman" w:cs="Times New Roman"/>
                <w:sz w:val="18"/>
                <w:szCs w:val="18"/>
              </w:rPr>
              <w:t>pís. d)</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 48i</w:t>
            </w:r>
          </w:p>
          <w:p>
            <w:pPr>
              <w:pStyle w:val="TABUKA-textsmernice"/>
              <w:jc w:val="left"/>
              <w:rPr>
                <w:rFonts w:ascii="Times New Roman" w:hAnsi="Times New Roman" w:cs="Times New Roman"/>
                <w:sz w:val="18"/>
                <w:szCs w:val="18"/>
              </w:rPr>
            </w:pPr>
            <w:r>
              <w:rPr>
                <w:rFonts w:ascii="Times New Roman" w:hAnsi="Times New Roman" w:cs="Times New Roman"/>
                <w:sz w:val="18"/>
                <w:szCs w:val="18"/>
              </w:rPr>
              <w:t>ods. 2</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 48h</w:t>
            </w:r>
          </w:p>
          <w:p>
            <w:pPr>
              <w:pStyle w:val="TABUKA-textsmernice"/>
              <w:jc w:val="left"/>
              <w:rPr>
                <w:rFonts w:ascii="Times New Roman" w:hAnsi="Times New Roman" w:cs="Times New Roman"/>
                <w:sz w:val="18"/>
                <w:szCs w:val="18"/>
              </w:rPr>
            </w:pPr>
            <w:r>
              <w:rPr>
                <w:rFonts w:ascii="Times New Roman" w:hAnsi="Times New Roman" w:cs="Times New Roman"/>
                <w:sz w:val="18"/>
                <w:szCs w:val="18"/>
              </w:rPr>
              <w:t>ods. 2</w:t>
            </w:r>
          </w:p>
          <w:p>
            <w:pPr>
              <w:pStyle w:val="TABUKA-textsmernice"/>
              <w:jc w:val="left"/>
              <w:rPr>
                <w:rFonts w:ascii="Times New Roman" w:hAnsi="Times New Roman" w:cs="Times New Roman"/>
                <w:sz w:val="18"/>
                <w:szCs w:val="18"/>
              </w:rPr>
            </w:pPr>
          </w:p>
        </w:tc>
        <w:tc>
          <w:tcPr>
            <w:tcW w:w="52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iCs/>
                <w:sz w:val="18"/>
                <w:szCs w:val="18"/>
              </w:rPr>
            </w:pPr>
            <w:r>
              <w:rPr>
                <w:rFonts w:ascii="Times New Roman" w:hAnsi="Times New Roman" w:cs="Times New Roman"/>
                <w:iCs/>
                <w:sz w:val="18"/>
                <w:szCs w:val="18"/>
              </w:rPr>
              <w:t>Banka  je</w:t>
            </w:r>
            <w:r>
              <w:rPr>
                <w:rFonts w:ascii="Times New Roman" w:hAnsi="Times New Roman" w:cs="Times New Roman"/>
                <w:iCs/>
                <w:sz w:val="18"/>
                <w:szCs w:val="18"/>
              </w:rPr>
              <w:t xml:space="preserve"> právnická  osoba so  sídlom na  území Slovenskej</w:t>
            </w:r>
          </w:p>
          <w:p>
            <w:pPr>
              <w:pStyle w:val="TABUKA-textsmernice"/>
              <w:rPr>
                <w:rFonts w:ascii="Times New Roman" w:hAnsi="Times New Roman" w:cs="Times New Roman"/>
                <w:iCs/>
                <w:sz w:val="18"/>
                <w:szCs w:val="18"/>
              </w:rPr>
            </w:pPr>
            <w:r>
              <w:rPr>
                <w:rFonts w:ascii="Times New Roman" w:hAnsi="Times New Roman" w:cs="Times New Roman"/>
                <w:iCs/>
                <w:sz w:val="18"/>
                <w:szCs w:val="18"/>
              </w:rPr>
              <w:t>republiky založená ako akciová spoločnosť, 1) ktorá</w:t>
            </w:r>
          </w:p>
          <w:p>
            <w:pPr>
              <w:pStyle w:val="TABUKA-textsmernice"/>
              <w:rPr>
                <w:rFonts w:ascii="Times New Roman" w:hAnsi="Times New Roman" w:cs="Times New Roman"/>
                <w:iCs/>
                <w:sz w:val="18"/>
                <w:szCs w:val="18"/>
              </w:rPr>
            </w:pPr>
          </w:p>
          <w:p>
            <w:pPr>
              <w:pStyle w:val="TABUKA-textsmernice"/>
              <w:rPr>
                <w:rFonts w:ascii="Times New Roman" w:hAnsi="Times New Roman" w:cs="Times New Roman"/>
                <w:iCs/>
                <w:sz w:val="18"/>
                <w:szCs w:val="18"/>
              </w:rPr>
            </w:pPr>
            <w:r>
              <w:rPr>
                <w:rFonts w:ascii="Times New Roman" w:hAnsi="Times New Roman" w:cs="Times New Roman"/>
                <w:iCs/>
                <w:sz w:val="18"/>
                <w:szCs w:val="18"/>
              </w:rPr>
              <w:t xml:space="preserve"> a) prijíma vklady a</w:t>
            </w:r>
          </w:p>
          <w:p>
            <w:pPr>
              <w:pStyle w:val="TABUKA-textsmernice"/>
              <w:rPr>
                <w:rFonts w:ascii="Times New Roman" w:hAnsi="Times New Roman" w:cs="Times New Roman"/>
                <w:iCs/>
                <w:sz w:val="18"/>
                <w:szCs w:val="18"/>
              </w:rPr>
            </w:pPr>
            <w:r>
              <w:rPr>
                <w:rFonts w:ascii="Times New Roman" w:hAnsi="Times New Roman" w:cs="Times New Roman"/>
                <w:iCs/>
                <w:sz w:val="18"/>
                <w:szCs w:val="18"/>
              </w:rPr>
              <w:t xml:space="preserve"> b) poskytuje úvery</w:t>
            </w:r>
          </w:p>
          <w:p>
            <w:pPr>
              <w:pStyle w:val="TABUKA-textsmernice"/>
              <w:rPr>
                <w:rFonts w:ascii="Times New Roman" w:hAnsi="Times New Roman" w:cs="Times New Roman"/>
                <w:iCs/>
                <w:sz w:val="18"/>
                <w:szCs w:val="18"/>
              </w:rPr>
            </w:pPr>
          </w:p>
          <w:p>
            <w:pPr>
              <w:pStyle w:val="TABUKA-textsmernice"/>
              <w:rPr>
                <w:rFonts w:ascii="Times New Roman" w:hAnsi="Times New Roman" w:cs="Times New Roman"/>
                <w:iCs/>
                <w:sz w:val="18"/>
                <w:szCs w:val="18"/>
              </w:rPr>
            </w:pPr>
            <w:r>
              <w:rPr>
                <w:rFonts w:ascii="Times New Roman" w:hAnsi="Times New Roman" w:cs="Times New Roman"/>
                <w:iCs/>
                <w:sz w:val="18"/>
                <w:szCs w:val="18"/>
              </w:rPr>
              <w:t>a ktorá má na výkon činností podľa  písmen a) a b) udelené bankové povolenie. Iná právna forma banky sa zakazuj</w:t>
            </w:r>
            <w:r>
              <w:rPr>
                <w:rFonts w:ascii="Times New Roman" w:hAnsi="Times New Roman" w:cs="Times New Roman"/>
                <w:iCs/>
                <w:sz w:val="18"/>
                <w:szCs w:val="18"/>
              </w:rPr>
              <w:t>e.</w:t>
            </w:r>
          </w:p>
          <w:p>
            <w:pPr>
              <w:pStyle w:val="TABUKA-textsmernice"/>
              <w:rPr>
                <w:rFonts w:ascii="Times New Roman" w:hAnsi="Times New Roman" w:cs="Times New Roman"/>
                <w:iCs/>
                <w:sz w:val="18"/>
                <w:szCs w:val="18"/>
              </w:rPr>
            </w:pPr>
          </w:p>
          <w:p>
            <w:pPr>
              <w:pStyle w:val="TABUKA-textsmernice"/>
              <w:rPr>
                <w:rFonts w:ascii="Times New Roman" w:hAnsi="Times New Roman" w:cs="Times New Roman"/>
                <w:b/>
                <w:bCs/>
                <w:i/>
                <w:iCs/>
                <w:sz w:val="18"/>
                <w:szCs w:val="18"/>
              </w:rPr>
            </w:pPr>
            <w:r>
              <w:rPr>
                <w:rFonts w:ascii="Times New Roman" w:hAnsi="Times New Roman" w:cs="Times New Roman"/>
                <w:iCs/>
                <w:sz w:val="18"/>
                <w:szCs w:val="18"/>
              </w:rPr>
              <w:t xml:space="preserve">Poisťovňa je akciovou spoločnosťou so sídlom na území Slovenskej republiky, ktorá vykonáva poisťovaciu činnosť na základe povolenia na vykonávanie poisťovacej činnosti udeleného </w:t>
            </w:r>
            <w:r>
              <w:rPr>
                <w:rFonts w:ascii="Times New Roman" w:hAnsi="Times New Roman" w:cs="Times New Roman"/>
                <w:iCs/>
                <w:sz w:val="18"/>
              </w:rPr>
              <w:t>Úradom pre finančný trh (ďalej len „úrad“)</w:t>
            </w:r>
            <w:r>
              <w:rPr>
                <w:rFonts w:ascii="Times New Roman" w:hAnsi="Times New Roman" w:cs="Times New Roman"/>
                <w:iCs/>
                <w:sz w:val="18"/>
                <w:szCs w:val="18"/>
              </w:rPr>
              <w:t>. Obchodné meno poisťovne musí obsahovať označenie „poisťovňa“. Iné osoby nemôžu vo svojom obchodnom mene toto označenie používať s výnimkou poisťovní založených podľa osobitných predpisov.</w:t>
            </w:r>
          </w:p>
          <w:p>
            <w:pPr>
              <w:pStyle w:val="TABUKA-textsmernice"/>
              <w:rPr>
                <w:rFonts w:ascii="Times New Roman" w:hAnsi="Times New Roman" w:cs="Times New Roman"/>
                <w:b/>
                <w:bCs/>
                <w:i/>
                <w:iCs/>
                <w:sz w:val="18"/>
                <w:szCs w:val="18"/>
              </w:rPr>
            </w:pPr>
          </w:p>
          <w:p>
            <w:pPr>
              <w:pStyle w:val="TABUKA-textsmernice"/>
              <w:rPr>
                <w:rFonts w:ascii="Times New Roman" w:hAnsi="Times New Roman" w:cs="Times New Roman"/>
                <w:iCs/>
                <w:sz w:val="18"/>
                <w:szCs w:val="18"/>
              </w:rPr>
            </w:pPr>
            <w:r>
              <w:rPr>
                <w:rFonts w:ascii="Times New Roman" w:hAnsi="Times New Roman" w:cs="Times New Roman"/>
                <w:iCs/>
                <w:sz w:val="18"/>
                <w:szCs w:val="18"/>
              </w:rPr>
              <w:t>Obchodníkom  s cennými  papiermi je  akciová spoločnosť so sídlom na  území Slovenskej republiky,  ktorá poskytuje investičné služby na  základe povolenia na  poskytovanie investičných služieb udeleného úradom.</w:t>
            </w:r>
          </w:p>
          <w:p>
            <w:pPr>
              <w:pStyle w:val="TABUKA-textsmernice"/>
              <w:rPr>
                <w:rFonts w:ascii="Times New Roman" w:hAnsi="Times New Roman" w:cs="Times New Roman"/>
                <w:i/>
                <w:sz w:val="18"/>
                <w:szCs w:val="18"/>
              </w:rPr>
            </w:pPr>
          </w:p>
          <w:p>
            <w:pPr>
              <w:pStyle w:val="TABUKA-textsmernice"/>
              <w:rPr>
                <w:rFonts w:ascii="Times New Roman" w:hAnsi="Times New Roman" w:cs="Times New Roman"/>
                <w:i/>
                <w:sz w:val="18"/>
                <w:szCs w:val="18"/>
              </w:rPr>
            </w:pPr>
          </w:p>
          <w:p>
            <w:pPr>
              <w:spacing w:after="0"/>
              <w:rPr>
                <w:rFonts w:ascii="Times New Roman" w:hAnsi="Times New Roman" w:cs="Times New Roman"/>
                <w:sz w:val="18"/>
                <w:szCs w:val="18"/>
                <w:lang w:val="sk-SK"/>
              </w:rPr>
            </w:pPr>
            <w:r>
              <w:rPr>
                <w:rFonts w:ascii="Times New Roman" w:hAnsi="Times New Roman" w:cs="Times New Roman"/>
                <w:sz w:val="18"/>
                <w:lang w:val="sk-SK"/>
              </w:rPr>
              <w:t>Na účely vykonávania doplňujúceho dohľadu  sa rozumie</w:t>
            </w:r>
          </w:p>
          <w:p>
            <w:pPr>
              <w:pStyle w:val="BodyTextIndent"/>
              <w:spacing w:after="0"/>
              <w:ind w:left="0"/>
              <w:jc w:val="both"/>
              <w:rPr>
                <w:rFonts w:ascii="Times New Roman" w:hAnsi="Times New Roman" w:cs="Times New Roman"/>
                <w:sz w:val="18"/>
                <w:szCs w:val="18"/>
                <w:lang w:val="sk-SK"/>
              </w:rPr>
            </w:pPr>
          </w:p>
          <w:p>
            <w:pPr>
              <w:pStyle w:val="BodyTextIndent"/>
              <w:spacing w:after="0"/>
              <w:ind w:left="0"/>
              <w:jc w:val="both"/>
              <w:rPr>
                <w:rFonts w:ascii="Times New Roman" w:hAnsi="Times New Roman" w:cs="Times New Roman"/>
                <w:sz w:val="18"/>
                <w:szCs w:val="18"/>
                <w:lang w:val="sk-SK"/>
              </w:rPr>
            </w:pPr>
            <w:r>
              <w:rPr>
                <w:rFonts w:ascii="Times New Roman" w:hAnsi="Times New Roman" w:cs="Times New Roman"/>
                <w:sz w:val="18"/>
                <w:szCs w:val="18"/>
                <w:lang w:val="sk-SK"/>
              </w:rPr>
              <w:t xml:space="preserve">d)  </w:t>
            </w:r>
            <w:r>
              <w:rPr>
                <w:rFonts w:ascii="Times New Roman" w:hAnsi="Times New Roman" w:cs="Times New Roman"/>
                <w:sz w:val="18"/>
                <w:lang w:val="sk-SK"/>
              </w:rPr>
              <w:t>regulovanou osobou poisťovňa alebo zaisťovňa</w:t>
            </w:r>
            <w:r>
              <w:rPr>
                <w:rFonts w:ascii="Times New Roman" w:hAnsi="Times New Roman" w:cs="Times New Roman"/>
                <w:b/>
                <w:bCs/>
                <w:sz w:val="18"/>
                <w:lang w:val="sk-SK"/>
              </w:rPr>
              <w:t>,</w:t>
            </w:r>
            <w:r>
              <w:rPr>
                <w:rFonts w:ascii="Times New Roman" w:hAnsi="Times New Roman" w:cs="Times New Roman"/>
                <w:sz w:val="18"/>
                <w:lang w:val="sk-SK"/>
              </w:rPr>
              <w:t xml:space="preserve"> obchodník s cennými papiermi, banka, inštitúcia elektronických peňazí a správcovská spoločnosť.</w:t>
            </w:r>
          </w:p>
          <w:p>
            <w:pPr>
              <w:pStyle w:val="TABUKA-textsmernice"/>
              <w:rPr>
                <w:rFonts w:ascii="Times New Roman" w:hAnsi="Times New Roman" w:cs="Times New Roman"/>
                <w:sz w:val="18"/>
                <w:szCs w:val="18"/>
              </w:rPr>
            </w:pPr>
          </w:p>
          <w:p>
            <w:pPr>
              <w:pStyle w:val="TABUKA-textsmernice"/>
              <w:rPr>
                <w:rFonts w:ascii="Times New Roman" w:hAnsi="Times New Roman" w:cs="Times New Roman"/>
                <w:iCs/>
                <w:sz w:val="18"/>
                <w:szCs w:val="18"/>
              </w:rPr>
            </w:pPr>
            <w:r>
              <w:rPr>
                <w:rFonts w:ascii="Times New Roman" w:hAnsi="Times New Roman" w:cs="Times New Roman"/>
                <w:iCs/>
                <w:sz w:val="18"/>
                <w:szCs w:val="18"/>
              </w:rPr>
              <w:t>Správcovská spoločnosť  je akciová spoločnosť  založená na účel podnikania so sídlom na území Slovenskej republiky, ktorej predmetom činnosti je vytváranie  a spravovanie podielových fondov na základe  povolenia na vznik a  činnosť správcovskej spoločnosti udeleného Úradom pre finančný trh  (ďalej len "úrad"); zapisuje sa do obchodného registra.</w:t>
            </w:r>
          </w:p>
          <w:p>
            <w:pPr>
              <w:pStyle w:val="TABUKA-textsmernice"/>
              <w:rPr>
                <w:rFonts w:ascii="Times New Roman" w:hAnsi="Times New Roman" w:cs="Times New Roman"/>
                <w:iCs/>
                <w:sz w:val="18"/>
                <w:szCs w:val="18"/>
              </w:rPr>
            </w:pPr>
          </w:p>
          <w:p>
            <w:pPr>
              <w:pStyle w:val="TABUKA-textsmernice"/>
              <w:rPr>
                <w:rFonts w:ascii="Times New Roman" w:hAnsi="Times New Roman" w:cs="Times New Roman"/>
                <w:i/>
                <w:sz w:val="18"/>
                <w:szCs w:val="18"/>
              </w:rPr>
            </w:pPr>
            <w:r>
              <w:rPr>
                <w:rFonts w:ascii="Times New Roman" w:hAnsi="Times New Roman" w:cs="Times New Roman"/>
                <w:iCs/>
                <w:sz w:val="18"/>
                <w:szCs w:val="18"/>
              </w:rPr>
              <w:t>Zahraničnou správcovskou spoločnosťou  je právnická osoba so  sídlom mimo územia  Slovenskej republiky, ktorá vytvára a spravuje zahraničný subjekt kolektívneho investovania a ktorá má oprávnenie na výkon  týchto činností udelené v štáte,  v ktorom má sídlo.</w:t>
            </w:r>
          </w:p>
          <w:p>
            <w:pPr>
              <w:pStyle w:val="TABUKA-textsmernice"/>
              <w:rPr>
                <w:rFonts w:ascii="Times New Roman" w:hAnsi="Times New Roman" w:cs="Times New Roman"/>
                <w:iCs/>
                <w:sz w:val="18"/>
                <w:szCs w:val="18"/>
              </w:rPr>
            </w:pPr>
          </w:p>
          <w:p>
            <w:pPr>
              <w:pStyle w:val="BodyText"/>
              <w:rPr>
                <w:rFonts w:ascii="Times New Roman" w:hAnsi="Times New Roman" w:cs="Times New Roman"/>
                <w:i/>
                <w:sz w:val="18"/>
                <w:szCs w:val="18"/>
              </w:rPr>
            </w:pPr>
            <w:r>
              <w:rPr>
                <w:rFonts w:ascii="Times New Roman" w:hAnsi="Times New Roman" w:cs="Times New Roman"/>
                <w:iCs/>
                <w:sz w:val="18"/>
                <w:szCs w:val="18"/>
              </w:rPr>
              <w:t>Zaisťovňou je akciová spoločnosť so sídlom na území Slovenskej republiky, ktorá vykonáva zaisťovaciu činnosť na základe povolenia na vykonávanie zaisťovacej činnosti udeleného úradom.</w:t>
            </w:r>
            <w:r>
              <w:rPr>
                <w:rFonts w:ascii="Times New Roman" w:hAnsi="Times New Roman" w:cs="Times New Roman"/>
                <w:i/>
                <w:sz w:val="18"/>
                <w:szCs w:val="18"/>
              </w:rPr>
              <w:t xml:space="preserve"> </w:t>
            </w:r>
          </w:p>
          <w:p>
            <w:pPr>
              <w:pStyle w:val="TABUKA-textsmernice"/>
              <w:rPr>
                <w:rFonts w:ascii="Times New Roman" w:hAnsi="Times New Roman" w:cs="Times New Roman"/>
                <w:i/>
                <w:sz w:val="18"/>
                <w:szCs w:val="18"/>
              </w:rPr>
            </w:pPr>
          </w:p>
          <w:p>
            <w:pPr>
              <w:pStyle w:val="TABUKA-textsmernice"/>
              <w:rPr>
                <w:rFonts w:ascii="Times New Roman" w:hAnsi="Times New Roman" w:cs="Times New Roman"/>
                <w:i/>
                <w:sz w:val="18"/>
                <w:szCs w:val="18"/>
              </w:rPr>
            </w:pPr>
          </w:p>
          <w:p>
            <w:pPr>
              <w:pStyle w:val="TABUKA-textsmernice"/>
              <w:rPr>
                <w:rFonts w:ascii="Times New Roman" w:hAnsi="Times New Roman" w:cs="Times New Roman"/>
                <w:i/>
                <w:sz w:val="18"/>
                <w:szCs w:val="18"/>
              </w:rPr>
            </w:pPr>
          </w:p>
          <w:p>
            <w:pPr>
              <w:pStyle w:val="TABUKA-textsmernice"/>
              <w:rPr>
                <w:rFonts w:ascii="Times New Roman" w:hAnsi="Times New Roman" w:cs="Times New Roman"/>
                <w:i/>
                <w:sz w:val="18"/>
                <w:szCs w:val="18"/>
              </w:rPr>
            </w:pPr>
          </w:p>
          <w:p>
            <w:pPr>
              <w:pStyle w:val="TABUKA-textsmernice"/>
              <w:rPr>
                <w:rFonts w:ascii="Times New Roman" w:hAnsi="Times New Roman" w:cs="Times New Roman"/>
                <w:i/>
                <w:sz w:val="18"/>
                <w:szCs w:val="18"/>
              </w:rPr>
            </w:pPr>
          </w:p>
          <w:p>
            <w:pPr>
              <w:spacing w:after="0"/>
              <w:rPr>
                <w:rFonts w:ascii="Times New Roman" w:hAnsi="Times New Roman" w:cs="Times New Roman"/>
                <w:sz w:val="18"/>
                <w:szCs w:val="18"/>
                <w:lang w:val="sk-SK"/>
              </w:rPr>
            </w:pPr>
            <w:r>
              <w:rPr>
                <w:rFonts w:ascii="Times New Roman" w:hAnsi="Times New Roman" w:cs="Times New Roman"/>
                <w:sz w:val="18"/>
                <w:lang w:val="sk-SK"/>
              </w:rPr>
              <w:t>Na účely vykonávania doplňujúceho dohľadu  sa rozumie</w:t>
            </w:r>
          </w:p>
          <w:p>
            <w:pPr>
              <w:pStyle w:val="BodyText2"/>
              <w:rPr>
                <w:rFonts w:ascii="Times New Roman" w:hAnsi="Times New Roman" w:cs="Times New Roman"/>
                <w:sz w:val="18"/>
                <w:lang w:val="sk-SK"/>
              </w:rPr>
            </w:pPr>
            <w:r>
              <w:rPr>
                <w:rFonts w:ascii="Times New Roman" w:hAnsi="Times New Roman" w:cs="Times New Roman"/>
                <w:sz w:val="18"/>
                <w:szCs w:val="18"/>
                <w:lang w:val="sk-SK"/>
              </w:rPr>
              <w:t xml:space="preserve">b) </w:t>
            </w:r>
            <w:r>
              <w:rPr>
                <w:rFonts w:ascii="Times New Roman" w:hAnsi="Times New Roman" w:cs="Times New Roman"/>
                <w:sz w:val="18"/>
                <w:lang w:val="sk-SK"/>
              </w:rPr>
              <w:t>finančným sektorom sektor, v ktorom pôsobí jedna alebo viaceré nasledujúce právnické osoby:</w:t>
            </w:r>
          </w:p>
          <w:p>
            <w:pPr>
              <w:numPr>
                <w:ilvl w:val="0"/>
                <w:numId w:val="45"/>
              </w:numPr>
              <w:tabs>
                <w:tab w:val="left" w:pos="360"/>
                <w:tab w:val="left" w:pos="1062"/>
                <w:tab w:val="clear" w:pos="1845"/>
              </w:tabs>
              <w:ind w:left="212" w:hanging="142"/>
              <w:rPr>
                <w:rFonts w:ascii="Times New Roman" w:hAnsi="Times New Roman" w:cs="Times New Roman"/>
                <w:sz w:val="18"/>
                <w:lang w:val="sk-SK"/>
              </w:rPr>
            </w:pPr>
            <w:r>
              <w:rPr>
                <w:rFonts w:ascii="Times New Roman" w:hAnsi="Times New Roman" w:cs="Times New Roman"/>
                <w:sz w:val="18"/>
                <w:lang w:val="sk-SK"/>
              </w:rPr>
              <w:t>banka, inštitúcia elektronických peňazí, iná právnická osoba podľa osobitného zákona</w:t>
            </w:r>
            <w:r>
              <w:rPr>
                <w:rFonts w:ascii="Times New Roman" w:hAnsi="Times New Roman" w:cs="Times New Roman"/>
                <w:sz w:val="18"/>
                <w:vertAlign w:val="superscript"/>
                <w:lang w:val="sk-SK"/>
              </w:rPr>
              <w:t>24a)</w:t>
            </w:r>
            <w:r>
              <w:rPr>
                <w:rFonts w:ascii="Times New Roman" w:hAnsi="Times New Roman" w:cs="Times New Roman"/>
                <w:sz w:val="18"/>
                <w:lang w:val="sk-SK"/>
              </w:rPr>
              <w:t xml:space="preserve"> alebo podnik pomocných bankových služieb; tieto tvoria bankový sektor,</w:t>
            </w:r>
          </w:p>
          <w:p>
            <w:pPr>
              <w:numPr>
                <w:ilvl w:val="0"/>
                <w:numId w:val="45"/>
              </w:numPr>
              <w:tabs>
                <w:tab w:val="left" w:pos="360"/>
                <w:tab w:val="left" w:pos="1845"/>
              </w:tabs>
              <w:ind w:left="212" w:hanging="142"/>
              <w:rPr>
                <w:rFonts w:ascii="Times New Roman" w:hAnsi="Times New Roman" w:cs="Times New Roman"/>
                <w:sz w:val="18"/>
                <w:lang w:val="sk-SK"/>
              </w:rPr>
            </w:pPr>
            <w:r>
              <w:rPr>
                <w:rFonts w:ascii="Times New Roman" w:hAnsi="Times New Roman" w:cs="Times New Roman"/>
                <w:sz w:val="18"/>
                <w:lang w:val="sk-SK"/>
              </w:rPr>
              <w:t>poisťovňa, zaisťovňa alebo poisťovacia holdingová spoločnosť podľa tohto zákona; tieto tvoria sektor poisťovní</w:t>
            </w:r>
            <w:r>
              <w:rPr>
                <w:rFonts w:ascii="Times New Roman" w:hAnsi="Times New Roman" w:cs="Times New Roman"/>
                <w:sz w:val="18"/>
                <w:lang w:val="sk-SK"/>
              </w:rPr>
              <w:t>ctva,</w:t>
            </w:r>
          </w:p>
          <w:p>
            <w:pPr>
              <w:numPr>
                <w:ilvl w:val="0"/>
                <w:numId w:val="45"/>
              </w:numPr>
              <w:tabs>
                <w:tab w:val="left" w:pos="360"/>
                <w:tab w:val="left" w:pos="1845"/>
              </w:tabs>
              <w:ind w:left="212" w:hanging="142"/>
              <w:rPr>
                <w:rFonts w:ascii="Times New Roman" w:hAnsi="Times New Roman" w:cs="Times New Roman"/>
                <w:sz w:val="18"/>
                <w:szCs w:val="18"/>
                <w:lang w:val="sk-SK"/>
              </w:rPr>
            </w:pPr>
            <w:r>
              <w:rPr>
                <w:rFonts w:ascii="Times New Roman" w:hAnsi="Times New Roman" w:cs="Times New Roman"/>
                <w:sz w:val="18"/>
                <w:lang w:val="sk-SK"/>
              </w:rPr>
              <w:t xml:space="preserve">obchodník s cennými papiermi alebo iná právnická osoba podľa osobitného zákona </w:t>
            </w:r>
            <w:r>
              <w:rPr>
                <w:rFonts w:ascii="Times New Roman" w:hAnsi="Times New Roman" w:cs="Times New Roman"/>
                <w:sz w:val="18"/>
                <w:vertAlign w:val="superscript"/>
                <w:lang w:val="sk-SK"/>
              </w:rPr>
              <w:t>4a)</w:t>
            </w:r>
            <w:r>
              <w:rPr>
                <w:rFonts w:ascii="Times New Roman" w:hAnsi="Times New Roman" w:cs="Times New Roman"/>
                <w:sz w:val="18"/>
                <w:lang w:val="sk-SK"/>
              </w:rPr>
              <w:t>; okrem inštitúcie elektronických peňazí, tieto tvoria sektor investičných služieb,</w:t>
            </w:r>
          </w:p>
          <w:p>
            <w:pPr>
              <w:numPr>
                <w:ilvl w:val="0"/>
                <w:numId w:val="45"/>
              </w:numPr>
              <w:tabs>
                <w:tab w:val="left" w:pos="360"/>
                <w:tab w:val="left" w:pos="1845"/>
              </w:tabs>
              <w:ind w:left="212" w:hanging="142"/>
              <w:rPr>
                <w:rFonts w:ascii="Times New Roman" w:hAnsi="Times New Roman" w:cs="Times New Roman"/>
                <w:sz w:val="18"/>
                <w:szCs w:val="18"/>
                <w:lang w:val="sk-SK"/>
              </w:rPr>
            </w:pPr>
            <w:r>
              <w:rPr>
                <w:rFonts w:ascii="Times New Roman" w:hAnsi="Times New Roman" w:cs="Times New Roman"/>
                <w:sz w:val="18"/>
                <w:lang w:val="sk-SK"/>
              </w:rPr>
              <w:t>zmiešaná finančná holdingová spoločnosť,</w:t>
            </w:r>
          </w:p>
          <w:p>
            <w:pPr>
              <w:pStyle w:val="TABUKA-textsmernice"/>
              <w:tabs>
                <w:tab w:val="left" w:pos="637"/>
              </w:tabs>
              <w:rPr>
                <w:rFonts w:ascii="Times New Roman" w:hAnsi="Times New Roman" w:cs="Times New Roman"/>
                <w:i/>
                <w:sz w:val="18"/>
                <w:szCs w:val="18"/>
              </w:rPr>
            </w:pPr>
          </w:p>
          <w:p>
            <w:pPr>
              <w:pStyle w:val="TABUKA-textsmernice"/>
              <w:tabs>
                <w:tab w:val="left" w:pos="637"/>
              </w:tabs>
              <w:rPr>
                <w:rFonts w:ascii="Times New Roman" w:hAnsi="Times New Roman" w:cs="Times New Roman"/>
                <w:i/>
                <w:sz w:val="18"/>
                <w:szCs w:val="18"/>
              </w:rPr>
            </w:pPr>
          </w:p>
          <w:p>
            <w:pPr>
              <w:spacing w:after="0"/>
              <w:rPr>
                <w:rFonts w:ascii="Times New Roman" w:hAnsi="Times New Roman" w:cs="Times New Roman"/>
                <w:iCs/>
                <w:sz w:val="18"/>
                <w:szCs w:val="18"/>
                <w:lang w:val="sk-SK"/>
              </w:rPr>
            </w:pPr>
            <w:r>
              <w:rPr>
                <w:rFonts w:ascii="Times New Roman" w:hAnsi="Times New Roman" w:cs="Times New Roman"/>
                <w:iCs/>
                <w:sz w:val="18"/>
                <w:szCs w:val="18"/>
                <w:lang w:val="sk-SK"/>
              </w:rPr>
              <w:t>Na účely tohto zákona sa rozumie</w:t>
            </w:r>
          </w:p>
          <w:p>
            <w:pPr>
              <w:spacing w:after="0"/>
              <w:rPr>
                <w:rFonts w:ascii="Times New Roman" w:hAnsi="Times New Roman" w:cs="Times New Roman"/>
                <w:i/>
                <w:sz w:val="18"/>
                <w:szCs w:val="18"/>
                <w:lang w:val="sk-SK"/>
              </w:rPr>
            </w:pPr>
            <w:r>
              <w:rPr>
                <w:rFonts w:ascii="Times New Roman" w:hAnsi="Times New Roman" w:cs="Times New Roman"/>
                <w:iCs/>
                <w:sz w:val="18"/>
                <w:szCs w:val="18"/>
                <w:lang w:val="sk-SK"/>
              </w:rPr>
              <w:t>h) materskou spoločnosťou právnická osoba, ktorá vykonáva kontrolu podľa písmena f),</w:t>
            </w:r>
          </w:p>
          <w:p>
            <w:pPr>
              <w:pStyle w:val="TABUKA-textsmernice"/>
              <w:rPr>
                <w:rFonts w:ascii="Times New Roman" w:hAnsi="Times New Roman" w:cs="Times New Roman"/>
                <w:i/>
                <w:sz w:val="18"/>
                <w:szCs w:val="18"/>
              </w:rPr>
            </w:pPr>
          </w:p>
          <w:p>
            <w:pPr>
              <w:pStyle w:val="TABUKA-textsmernice"/>
              <w:rPr>
                <w:rFonts w:ascii="Times New Roman" w:hAnsi="Times New Roman" w:cs="Times New Roman"/>
                <w:i/>
                <w:sz w:val="18"/>
                <w:szCs w:val="18"/>
              </w:rPr>
            </w:pPr>
          </w:p>
          <w:p>
            <w:pPr>
              <w:pStyle w:val="TABUKA-textsmernice"/>
              <w:rPr>
                <w:rFonts w:ascii="Times New Roman" w:hAnsi="Times New Roman" w:cs="Times New Roman"/>
                <w:i/>
                <w:sz w:val="18"/>
                <w:szCs w:val="18"/>
              </w:rPr>
            </w:pPr>
          </w:p>
          <w:p>
            <w:pPr>
              <w:pStyle w:val="BodyTextIndent3"/>
              <w:tabs>
                <w:tab w:val="clear" w:pos="0"/>
              </w:tabs>
              <w:spacing w:line="240" w:lineRule="auto"/>
              <w:ind w:left="0" w:firstLine="0"/>
              <w:rPr>
                <w:rFonts w:ascii="Times New Roman" w:hAnsi="Times New Roman" w:cs="Times New Roman"/>
                <w:iCs/>
                <w:sz w:val="18"/>
                <w:szCs w:val="18"/>
              </w:rPr>
            </w:pPr>
            <w:r>
              <w:rPr>
                <w:rFonts w:ascii="Times New Roman" w:hAnsi="Times New Roman" w:cs="Times New Roman"/>
                <w:iCs/>
                <w:sz w:val="18"/>
                <w:szCs w:val="18"/>
              </w:rPr>
              <w:t>g) dcérskou spoločnosťou právnická osoba, nad ktorou je vykonávaná kontrola podľa písmena f), a tiež akákoľvek dcérska spoločnosť dcérskej spoločnosti,</w:t>
            </w:r>
          </w:p>
          <w:p>
            <w:pPr>
              <w:pStyle w:val="BodyTextIndent3"/>
              <w:tabs>
                <w:tab w:val="clear" w:pos="0"/>
              </w:tabs>
              <w:spacing w:line="240" w:lineRule="auto"/>
              <w:ind w:left="0" w:firstLine="0"/>
              <w:rPr>
                <w:rFonts w:ascii="Times New Roman" w:hAnsi="Times New Roman" w:cs="Times New Roman"/>
                <w:i/>
                <w:sz w:val="18"/>
                <w:szCs w:val="18"/>
              </w:rPr>
            </w:pPr>
          </w:p>
          <w:p>
            <w:pPr>
              <w:pStyle w:val="BodyTextIndent3"/>
              <w:tabs>
                <w:tab w:val="clear" w:pos="0"/>
              </w:tabs>
              <w:spacing w:line="240" w:lineRule="auto"/>
              <w:ind w:left="0" w:firstLine="0"/>
              <w:rPr>
                <w:rFonts w:ascii="Times New Roman" w:hAnsi="Times New Roman" w:cs="Times New Roman"/>
                <w:i/>
                <w:sz w:val="18"/>
                <w:szCs w:val="18"/>
              </w:rPr>
            </w:pPr>
          </w:p>
          <w:p>
            <w:pPr>
              <w:pStyle w:val="BodyTextIndent3"/>
              <w:tabs>
                <w:tab w:val="clear" w:pos="0"/>
              </w:tabs>
              <w:spacing w:line="240" w:lineRule="auto"/>
              <w:ind w:left="0" w:firstLine="0"/>
              <w:rPr>
                <w:rFonts w:ascii="Times New Roman" w:hAnsi="Times New Roman" w:cs="Times New Roman"/>
                <w:i/>
                <w:sz w:val="18"/>
                <w:szCs w:val="18"/>
              </w:rPr>
            </w:pPr>
          </w:p>
          <w:p>
            <w:pPr>
              <w:pStyle w:val="BodyTextIndent3"/>
              <w:tabs>
                <w:tab w:val="clear" w:pos="0"/>
              </w:tabs>
              <w:spacing w:line="240" w:lineRule="auto"/>
              <w:ind w:left="0" w:firstLine="0"/>
              <w:rPr>
                <w:rFonts w:ascii="Times New Roman" w:hAnsi="Times New Roman" w:cs="Times New Roman"/>
                <w:i/>
                <w:sz w:val="18"/>
                <w:szCs w:val="18"/>
              </w:rPr>
            </w:pPr>
          </w:p>
          <w:p>
            <w:pPr>
              <w:pStyle w:val="BodyText"/>
              <w:rPr>
                <w:rFonts w:ascii="Times New Roman" w:hAnsi="Times New Roman" w:cs="Times New Roman"/>
                <w:sz w:val="18"/>
                <w:szCs w:val="18"/>
              </w:rPr>
            </w:pPr>
            <w:r>
              <w:rPr>
                <w:rFonts w:ascii="Times New Roman" w:hAnsi="Times New Roman" w:cs="Times New Roman"/>
                <w:sz w:val="18"/>
                <w:szCs w:val="18"/>
              </w:rPr>
              <w:t xml:space="preserve">m) </w:t>
            </w:r>
            <w:r>
              <w:rPr>
                <w:rFonts w:ascii="Times New Roman" w:hAnsi="Times New Roman" w:cs="Times New Roman"/>
                <w:sz w:val="18"/>
              </w:rPr>
              <w:t>majetkovou účasťou priamy alebo nepriamy podiel alebo ich súčet, ktorý predstavuje najmenej 20 % na základnom imaní právnickej osoby alebo na hlasovacích právach v právnickej osobe, alebo možnosť uplatňovania vplyvu na riadení právnickej osoby porovnateľného s vplyvom zodp</w:t>
            </w:r>
            <w:r>
              <w:rPr>
                <w:rFonts w:ascii="Times New Roman" w:hAnsi="Times New Roman" w:cs="Times New Roman"/>
                <w:sz w:val="18"/>
              </w:rPr>
              <w:t>ovedajúcim tomuto podielu,</w:t>
            </w:r>
          </w:p>
          <w:p>
            <w:pPr>
              <w:pStyle w:val="BodyTextIndent3"/>
              <w:tabs>
                <w:tab w:val="clear" w:pos="0"/>
              </w:tabs>
              <w:spacing w:line="240" w:lineRule="auto"/>
              <w:ind w:left="0" w:firstLine="0"/>
              <w:rPr>
                <w:rFonts w:ascii="Times New Roman" w:hAnsi="Times New Roman" w:cs="Times New Roman"/>
                <w:i/>
                <w:sz w:val="18"/>
                <w:szCs w:val="18"/>
              </w:rPr>
            </w:pPr>
          </w:p>
          <w:p>
            <w:pPr>
              <w:tabs>
                <w:tab w:val="left" w:pos="0"/>
              </w:tabs>
              <w:spacing w:after="0"/>
              <w:rPr>
                <w:rFonts w:ascii="Times New Roman" w:hAnsi="Times New Roman" w:cs="Times New Roman"/>
                <w:sz w:val="18"/>
                <w:szCs w:val="18"/>
                <w:lang w:val="sk-SK"/>
              </w:rPr>
            </w:pPr>
            <w:r>
              <w:rPr>
                <w:rFonts w:ascii="Times New Roman" w:hAnsi="Times New Roman" w:cs="Times New Roman"/>
                <w:sz w:val="18"/>
                <w:lang w:val="sk-SK"/>
              </w:rPr>
              <w:t>Na účely vykonávania doplňujúceho dohľadu  sa rozumie</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c) </w:t>
            </w:r>
            <w:r>
              <w:rPr>
                <w:rFonts w:ascii="Times New Roman" w:hAnsi="Times New Roman" w:cs="Times New Roman"/>
                <w:sz w:val="18"/>
                <w:lang w:val="sk-SK"/>
              </w:rPr>
              <w:t>skupinou skupina spoločností, ktorá sa skladá z materskej spoločnosti, jej dcérskych   spoločností a subjektov, v ktorých materská spoločnosť alebo jej dcérske spoločnosti majú majetkovú účasť podľa §</w:t>
            </w:r>
            <w:r>
              <w:rPr>
                <w:rFonts w:ascii="Times New Roman" w:hAnsi="Times New Roman" w:cs="Times New Roman"/>
                <w:b/>
                <w:bCs/>
                <w:sz w:val="18"/>
                <w:lang w:val="sk-SK"/>
              </w:rPr>
              <w:t xml:space="preserve"> 4</w:t>
            </w:r>
            <w:r>
              <w:rPr>
                <w:rFonts w:ascii="Times New Roman" w:hAnsi="Times New Roman" w:cs="Times New Roman"/>
                <w:sz w:val="18"/>
                <w:lang w:val="sk-SK"/>
              </w:rPr>
              <w:t>3 ods. 5 písm. m)</w:t>
            </w:r>
            <w:r>
              <w:rPr>
                <w:rFonts w:ascii="Times New Roman" w:hAnsi="Times New Roman" w:cs="Times New Roman"/>
                <w:b/>
                <w:bCs/>
                <w:sz w:val="18"/>
                <w:lang w:val="sk-SK"/>
              </w:rPr>
              <w:t xml:space="preserve"> </w:t>
            </w:r>
            <w:r>
              <w:rPr>
                <w:rFonts w:ascii="Times New Roman" w:hAnsi="Times New Roman" w:cs="Times New Roman"/>
                <w:sz w:val="18"/>
                <w:lang w:val="sk-SK"/>
              </w:rPr>
              <w:t>alebo skupina spoločností navzájom prepojených vzťahom</w:t>
            </w:r>
          </w:p>
          <w:p>
            <w:pPr>
              <w:numPr>
                <w:ilvl w:val="0"/>
                <w:numId w:val="46"/>
              </w:numPr>
              <w:tabs>
                <w:tab w:val="left" w:pos="354"/>
                <w:tab w:val="clear" w:pos="720"/>
              </w:tabs>
              <w:spacing w:after="0"/>
              <w:ind w:left="354" w:hanging="284"/>
              <w:rPr>
                <w:rFonts w:ascii="Times New Roman" w:hAnsi="Times New Roman" w:cs="Times New Roman"/>
                <w:sz w:val="18"/>
                <w:szCs w:val="18"/>
                <w:lang w:val="sk-SK"/>
              </w:rPr>
            </w:pPr>
            <w:r>
              <w:rPr>
                <w:rFonts w:ascii="Times New Roman" w:hAnsi="Times New Roman" w:cs="Times New Roman"/>
                <w:sz w:val="18"/>
                <w:lang w:val="sk-SK"/>
              </w:rPr>
              <w:t>ktorý vznikol na základe zmluvy  medzi dvomi alebo viacerými osobami, podľa ktorej sú riadené na spoločnom základe, pričom tieto osoby nie sú prepojené vzťahom kontroly podľa § 3 písm. f),</w:t>
            </w:r>
          </w:p>
          <w:p>
            <w:pPr>
              <w:numPr>
                <w:ilvl w:val="0"/>
                <w:numId w:val="46"/>
              </w:numPr>
              <w:tabs>
                <w:tab w:val="left" w:pos="354"/>
                <w:tab w:val="clear" w:pos="720"/>
              </w:tabs>
              <w:spacing w:after="0"/>
              <w:ind w:left="354" w:hanging="284"/>
              <w:rPr>
                <w:rFonts w:ascii="Times New Roman" w:hAnsi="Times New Roman" w:cs="Times New Roman"/>
                <w:sz w:val="18"/>
                <w:szCs w:val="18"/>
                <w:lang w:val="sk-SK"/>
              </w:rPr>
            </w:pPr>
            <w:r>
              <w:rPr>
                <w:rFonts w:ascii="Times New Roman" w:hAnsi="Times New Roman" w:cs="Times New Roman"/>
                <w:sz w:val="18"/>
                <w:lang w:val="sk-SK"/>
              </w:rPr>
              <w:t>alebo cez tie isté osoby v štatutárnych orgánoch alebo dozorných orgánoch dvoch alebo viacerých osôb, ktoré nie sú prepojené vzťahom kontroly podľa § 3 písm. f), pričom tieto osoby majú väčšinovú účasť v štatutárnych o</w:t>
            </w:r>
            <w:r>
              <w:rPr>
                <w:rFonts w:ascii="Times New Roman" w:hAnsi="Times New Roman" w:cs="Times New Roman"/>
                <w:sz w:val="18"/>
                <w:lang w:val="sk-SK"/>
              </w:rPr>
              <w:t>rgánoch alebo dozorných orgánoch týchto osôb,</w:t>
            </w:r>
            <w:r>
              <w:rPr>
                <w:rFonts w:ascii="Times New Roman" w:hAnsi="Times New Roman" w:cs="Times New Roman"/>
                <w:lang w:val="sk-SK"/>
              </w:rPr>
              <w:t xml:space="preserve">  </w:t>
            </w:r>
          </w:p>
          <w:p>
            <w:pPr>
              <w:pStyle w:val="TABUKA-textsmernice"/>
              <w:rPr>
                <w:rFonts w:ascii="Times New Roman" w:hAnsi="Times New Roman" w:cs="Times New Roman"/>
                <w:i/>
                <w:sz w:val="18"/>
                <w:szCs w:val="18"/>
              </w:rPr>
            </w:pPr>
          </w:p>
          <w:p>
            <w:pPr>
              <w:spacing w:after="0"/>
              <w:rPr>
                <w:rFonts w:ascii="Times New Roman" w:hAnsi="Times New Roman" w:cs="Times New Roman"/>
                <w:iCs/>
                <w:sz w:val="18"/>
                <w:szCs w:val="18"/>
                <w:lang w:val="sk-SK"/>
              </w:rPr>
            </w:pPr>
            <w:r>
              <w:rPr>
                <w:rFonts w:ascii="Times New Roman" w:hAnsi="Times New Roman" w:cs="Times New Roman"/>
                <w:iCs/>
                <w:sz w:val="18"/>
                <w:szCs w:val="18"/>
                <w:lang w:val="sk-SK"/>
              </w:rPr>
              <w:t>Na účely tohto zákona sa rozumie</w:t>
            </w:r>
          </w:p>
          <w:p>
            <w:pPr>
              <w:pStyle w:val="BodyTextIndent"/>
              <w:spacing w:after="0"/>
              <w:ind w:left="0"/>
              <w:jc w:val="both"/>
              <w:rPr>
                <w:rFonts w:ascii="Times New Roman" w:hAnsi="Times New Roman" w:cs="Times New Roman"/>
                <w:i/>
                <w:sz w:val="18"/>
                <w:szCs w:val="18"/>
                <w:lang w:val="sk-SK"/>
              </w:rPr>
            </w:pPr>
            <w:r>
              <w:rPr>
                <w:rFonts w:ascii="Times New Roman" w:hAnsi="Times New Roman" w:cs="Times New Roman"/>
                <w:iCs/>
                <w:sz w:val="18"/>
                <w:szCs w:val="18"/>
                <w:lang w:val="sk-SK"/>
              </w:rPr>
              <w:t>c) skupinou s úzkymi väzbami dve alebo viac fyzických osôb alebo právnických osôb, kde má jedna z právnických osôb alebo fyzických osôb na druhej právnickej osobe priamy alebo nepriamy podiel na základnom imaní  alebo na hlasovacích právach najmenej 20 % alebo túto právnickú osobu priamo či nepriamo kontroluje alebo akýkoľvek vzťah dvoch alebo viacerých právnických</w:t>
            </w:r>
            <w:r>
              <w:rPr>
                <w:rFonts w:ascii="Times New Roman" w:hAnsi="Times New Roman" w:cs="Times New Roman"/>
                <w:b/>
                <w:bCs/>
                <w:iCs/>
                <w:sz w:val="18"/>
                <w:szCs w:val="18"/>
                <w:lang w:val="sk-SK"/>
              </w:rPr>
              <w:t xml:space="preserve"> </w:t>
            </w:r>
            <w:r>
              <w:rPr>
                <w:rFonts w:ascii="Times New Roman" w:hAnsi="Times New Roman" w:cs="Times New Roman"/>
                <w:iCs/>
                <w:sz w:val="18"/>
                <w:szCs w:val="18"/>
                <w:lang w:val="sk-SK"/>
              </w:rPr>
              <w:t>osôb kontrolovaných tou istou právnickou osobou alebo fyzickou</w:t>
            </w:r>
            <w:r>
              <w:rPr>
                <w:rFonts w:ascii="Times New Roman" w:hAnsi="Times New Roman" w:cs="Times New Roman"/>
                <w:b/>
                <w:bCs/>
                <w:iCs/>
                <w:sz w:val="18"/>
                <w:szCs w:val="18"/>
                <w:lang w:val="sk-SK"/>
              </w:rPr>
              <w:t xml:space="preserve"> </w:t>
            </w:r>
            <w:r>
              <w:rPr>
                <w:rFonts w:ascii="Times New Roman" w:hAnsi="Times New Roman" w:cs="Times New Roman"/>
                <w:iCs/>
                <w:sz w:val="18"/>
                <w:szCs w:val="18"/>
                <w:lang w:val="sk-SK"/>
              </w:rPr>
              <w:t>osobou,</w:t>
            </w:r>
          </w:p>
          <w:p>
            <w:pPr>
              <w:pStyle w:val="BodyText2"/>
              <w:tabs>
                <w:tab w:val="left" w:pos="1065"/>
              </w:tabs>
              <w:overflowPunct w:val="0"/>
              <w:autoSpaceDE/>
              <w:autoSpaceDN/>
              <w:spacing w:after="0" w:line="240" w:lineRule="auto"/>
              <w:ind w:left="212" w:hanging="212"/>
              <w:textAlignment w:val="baseline"/>
              <w:rPr>
                <w:rFonts w:ascii="Times New Roman" w:hAnsi="Times New Roman" w:cs="Times New Roman"/>
                <w:iCs/>
                <w:sz w:val="18"/>
                <w:szCs w:val="18"/>
                <w:lang w:val="sk-SK"/>
              </w:rPr>
            </w:pPr>
          </w:p>
          <w:p>
            <w:pPr>
              <w:pStyle w:val="BodyText2"/>
              <w:tabs>
                <w:tab w:val="left" w:pos="1065"/>
              </w:tabs>
              <w:overflowPunct w:val="0"/>
              <w:autoSpaceDE/>
              <w:autoSpaceDN/>
              <w:spacing w:after="0" w:line="240" w:lineRule="auto"/>
              <w:ind w:left="212" w:hanging="212"/>
              <w:textAlignment w:val="baseline"/>
              <w:rPr>
                <w:rFonts w:ascii="Times New Roman" w:hAnsi="Times New Roman" w:cs="Times New Roman"/>
                <w:iCs/>
                <w:sz w:val="18"/>
                <w:szCs w:val="18"/>
                <w:lang w:val="sk-SK"/>
              </w:rPr>
            </w:pPr>
            <w:r>
              <w:rPr>
                <w:rFonts w:ascii="Times New Roman" w:hAnsi="Times New Roman" w:cs="Times New Roman"/>
                <w:iCs/>
                <w:sz w:val="18"/>
                <w:szCs w:val="18"/>
                <w:lang w:val="sk-SK"/>
              </w:rPr>
              <w:t>f) kontrolou</w:t>
            </w:r>
          </w:p>
          <w:p>
            <w:pPr>
              <w:pStyle w:val="BodyText2"/>
              <w:tabs>
                <w:tab w:val="left" w:pos="1065"/>
              </w:tabs>
              <w:overflowPunct w:val="0"/>
              <w:autoSpaceDE/>
              <w:autoSpaceDN/>
              <w:spacing w:after="0" w:line="240" w:lineRule="auto"/>
              <w:ind w:left="212" w:hanging="212"/>
              <w:textAlignment w:val="baseline"/>
              <w:rPr>
                <w:rFonts w:ascii="Times New Roman" w:hAnsi="Times New Roman" w:cs="Times New Roman"/>
                <w:iCs/>
                <w:sz w:val="18"/>
                <w:szCs w:val="18"/>
                <w:lang w:val="sk-SK"/>
              </w:rPr>
            </w:pPr>
            <w:r>
              <w:rPr>
                <w:rFonts w:ascii="Times New Roman" w:hAnsi="Times New Roman" w:cs="Times New Roman"/>
                <w:iCs/>
                <w:sz w:val="18"/>
                <w:szCs w:val="18"/>
                <w:lang w:val="sk-SK"/>
              </w:rPr>
              <w:t xml:space="preserve">1. </w:t>
            </w:r>
            <w:r>
              <w:rPr>
                <w:rFonts w:ascii="Times New Roman" w:hAnsi="Times New Roman" w:cs="Times New Roman"/>
                <w:iCs/>
                <w:sz w:val="18"/>
                <w:szCs w:val="20"/>
                <w:lang w:val="sk-SK"/>
              </w:rPr>
              <w:t>priamy alebo nepriamy podiel alebo ich súčet viac ako 50 % na základnom imaní právnickej osoby alebo na hlasovacích právach v právnickej osobe; na účely dohľadu na konsolidovanom základe a na účely doplňujúceho dohľadu nad finančnými konglomerátmi (ďalej len „doplňujúci dohľad“) sa kontrolou rozumie aj majetková účasť podľa § 43 ods. 5 písm. m),</w:t>
            </w:r>
          </w:p>
          <w:p>
            <w:pPr>
              <w:pStyle w:val="BodyText2"/>
              <w:tabs>
                <w:tab w:val="left" w:pos="1065"/>
              </w:tabs>
              <w:overflowPunct w:val="0"/>
              <w:autoSpaceDE/>
              <w:autoSpaceDN/>
              <w:spacing w:after="0" w:line="240" w:lineRule="auto"/>
              <w:ind w:left="212" w:hanging="212"/>
              <w:textAlignment w:val="baseline"/>
              <w:rPr>
                <w:rFonts w:ascii="Times New Roman" w:hAnsi="Times New Roman" w:cs="Times New Roman"/>
                <w:iCs/>
                <w:sz w:val="18"/>
                <w:szCs w:val="18"/>
                <w:lang w:val="sk-SK"/>
              </w:rPr>
            </w:pPr>
            <w:r>
              <w:rPr>
                <w:rFonts w:ascii="Times New Roman" w:hAnsi="Times New Roman" w:cs="Times New Roman"/>
                <w:iCs/>
                <w:sz w:val="18"/>
                <w:szCs w:val="18"/>
                <w:lang w:val="sk-SK"/>
              </w:rPr>
              <w:t>2. právo vymenúvať alebo odvolávať predstavenstvo, väčšinu členov predstavenstva, dozornej rady alebo riaditeľa právnickej osoby,</w:t>
            </w:r>
          </w:p>
          <w:p>
            <w:pPr>
              <w:pStyle w:val="BodyText2"/>
              <w:tabs>
                <w:tab w:val="left" w:pos="1065"/>
              </w:tabs>
              <w:overflowPunct w:val="0"/>
              <w:autoSpaceDE/>
              <w:autoSpaceDN/>
              <w:spacing w:after="0" w:line="240" w:lineRule="auto"/>
              <w:ind w:left="212" w:hanging="212"/>
              <w:textAlignment w:val="baseline"/>
              <w:rPr>
                <w:rFonts w:ascii="Times New Roman" w:hAnsi="Times New Roman" w:cs="Times New Roman"/>
                <w:iCs/>
                <w:sz w:val="18"/>
                <w:szCs w:val="18"/>
                <w:lang w:val="sk-SK"/>
              </w:rPr>
            </w:pPr>
            <w:r>
              <w:rPr>
                <w:rFonts w:ascii="Times New Roman" w:hAnsi="Times New Roman" w:cs="Times New Roman"/>
                <w:iCs/>
                <w:sz w:val="18"/>
                <w:szCs w:val="18"/>
                <w:lang w:val="sk-SK"/>
              </w:rPr>
              <w:t>3. možnosť vykonávať vplyv na riadení právnickej osoby porovnateľný s vplyvom, zodpovedajúcim podielu podľa bodu 1 (ďalej len „rozhodujúci vplyv“), ktorej je iná fyzická osoba spoločníkom, akcionárom alebo členom, a to na základe zmluvy s právnickou osobou, stanov právnickej osoby alebo dohody s ostatnými spoločníkmi, akcionármi alebo členmi právnickej osoby, alebo</w:t>
            </w:r>
          </w:p>
          <w:p>
            <w:pPr>
              <w:pStyle w:val="BodyText2"/>
              <w:tabs>
                <w:tab w:val="left" w:pos="1065"/>
              </w:tabs>
              <w:overflowPunct w:val="0"/>
              <w:autoSpaceDE/>
              <w:autoSpaceDN/>
              <w:spacing w:after="0" w:line="240" w:lineRule="auto"/>
              <w:ind w:left="212" w:hanging="212"/>
              <w:textAlignment w:val="baseline"/>
              <w:rPr>
                <w:rFonts w:ascii="Times New Roman" w:hAnsi="Times New Roman" w:cs="Times New Roman"/>
                <w:i/>
                <w:sz w:val="18"/>
                <w:szCs w:val="18"/>
                <w:lang w:val="sk-SK"/>
              </w:rPr>
            </w:pPr>
            <w:r>
              <w:rPr>
                <w:rFonts w:ascii="Times New Roman" w:hAnsi="Times New Roman" w:cs="Times New Roman"/>
                <w:iCs/>
                <w:sz w:val="18"/>
                <w:szCs w:val="18"/>
                <w:lang w:val="sk-SK"/>
              </w:rPr>
              <w:t>4. možnosť vykonávať priamo alebo nepriamo rozhodujúci vplyv iným spôsobom,</w:t>
            </w:r>
          </w:p>
          <w:p>
            <w:pPr>
              <w:pStyle w:val="BodyTextIndent"/>
              <w:spacing w:after="0"/>
              <w:ind w:left="212" w:hanging="212"/>
              <w:jc w:val="both"/>
              <w:rPr>
                <w:rFonts w:ascii="Times New Roman" w:hAnsi="Times New Roman" w:cs="Times New Roman"/>
                <w:sz w:val="18"/>
                <w:szCs w:val="18"/>
                <w:lang w:val="sk-SK"/>
              </w:rPr>
            </w:pPr>
          </w:p>
          <w:p>
            <w:pPr>
              <w:tabs>
                <w:tab w:val="left" w:pos="0"/>
              </w:tabs>
              <w:spacing w:after="0"/>
              <w:rPr>
                <w:rFonts w:ascii="Times New Roman" w:hAnsi="Times New Roman" w:cs="Times New Roman"/>
                <w:sz w:val="18"/>
                <w:szCs w:val="18"/>
                <w:lang w:val="sk-SK"/>
              </w:rPr>
            </w:pPr>
            <w:r>
              <w:rPr>
                <w:rFonts w:ascii="Times New Roman" w:hAnsi="Times New Roman" w:cs="Times New Roman"/>
                <w:sz w:val="18"/>
                <w:lang w:val="sk-SK"/>
              </w:rPr>
              <w:t>Na účely vykonávania doplňujúceho dohľadu  sa rozumie</w:t>
            </w:r>
          </w:p>
          <w:p>
            <w:pPr>
              <w:numPr>
                <w:ilvl w:val="0"/>
                <w:numId w:val="47"/>
              </w:numPr>
              <w:tabs>
                <w:tab w:val="left" w:pos="0"/>
                <w:tab w:val="left" w:pos="720"/>
              </w:tabs>
              <w:ind w:hanging="720"/>
              <w:rPr>
                <w:rFonts w:ascii="Times New Roman" w:hAnsi="Times New Roman" w:cs="Times New Roman"/>
                <w:sz w:val="18"/>
                <w:lang w:val="sk-SK"/>
              </w:rPr>
            </w:pPr>
            <w:r>
              <w:rPr>
                <w:rFonts w:ascii="Times New Roman" w:hAnsi="Times New Roman" w:cs="Times New Roman"/>
                <w:sz w:val="18"/>
                <w:szCs w:val="18"/>
                <w:lang w:val="sk-SK"/>
              </w:rPr>
              <w:t>finančným konglomerát</w:t>
            </w:r>
            <w:r>
              <w:rPr>
                <w:rFonts w:ascii="Times New Roman" w:hAnsi="Times New Roman" w:cs="Times New Roman"/>
                <w:sz w:val="18"/>
                <w:szCs w:val="18"/>
                <w:lang w:val="sk-SK"/>
              </w:rPr>
              <w:t>om</w:t>
            </w:r>
            <w:r>
              <w:rPr>
                <w:rFonts w:ascii="Times New Roman" w:hAnsi="Times New Roman" w:cs="Times New Roman"/>
                <w:sz w:val="18"/>
                <w:lang w:val="sk-SK"/>
              </w:rPr>
              <w:t xml:space="preserve"> </w:t>
            </w:r>
          </w:p>
          <w:p>
            <w:pPr>
              <w:numPr>
                <w:ilvl w:val="1"/>
                <w:numId w:val="47"/>
              </w:numPr>
              <w:tabs>
                <w:tab w:val="left" w:pos="0"/>
                <w:tab w:val="left" w:pos="354"/>
                <w:tab w:val="clear" w:pos="1440"/>
              </w:tabs>
              <w:ind w:left="354" w:hanging="266"/>
              <w:rPr>
                <w:rFonts w:ascii="Times New Roman" w:hAnsi="Times New Roman" w:cs="Times New Roman"/>
                <w:sz w:val="18"/>
                <w:lang w:val="sk-SK"/>
              </w:rPr>
            </w:pPr>
            <w:r>
              <w:rPr>
                <w:rFonts w:ascii="Times New Roman" w:hAnsi="Times New Roman" w:cs="Times New Roman"/>
                <w:sz w:val="18"/>
                <w:lang w:val="sk-SK"/>
              </w:rPr>
              <w:t>skupina, ak</w:t>
            </w:r>
          </w:p>
          <w:p>
            <w:pPr>
              <w:pStyle w:val="BodyTextIndent"/>
              <w:tabs>
                <w:tab w:val="left" w:pos="354"/>
              </w:tabs>
              <w:ind w:left="354" w:hanging="266"/>
              <w:rPr>
                <w:rFonts w:ascii="Times New Roman" w:hAnsi="Times New Roman" w:cs="Times New Roman"/>
                <w:sz w:val="18"/>
                <w:lang w:val="sk-SK"/>
              </w:rPr>
            </w:pPr>
            <w:r>
              <w:rPr>
                <w:rFonts w:ascii="Times New Roman" w:hAnsi="Times New Roman" w:cs="Times New Roman"/>
                <w:sz w:val="18"/>
                <w:lang w:val="sk-SK"/>
              </w:rPr>
              <w:t xml:space="preserve">1a.  je ovládaná regulovanou osobou,  </w:t>
            </w:r>
          </w:p>
          <w:p>
            <w:pPr>
              <w:pStyle w:val="BodyTextIndent"/>
              <w:tabs>
                <w:tab w:val="left" w:pos="354"/>
              </w:tabs>
              <w:ind w:left="354" w:hanging="266"/>
              <w:rPr>
                <w:rFonts w:ascii="Times New Roman" w:hAnsi="Times New Roman" w:cs="Times New Roman"/>
                <w:sz w:val="18"/>
                <w:lang w:val="sk-SK"/>
              </w:rPr>
            </w:pPr>
            <w:r>
              <w:rPr>
                <w:rFonts w:ascii="Times New Roman" w:hAnsi="Times New Roman" w:cs="Times New Roman"/>
                <w:sz w:val="18"/>
                <w:lang w:val="sk-SK"/>
              </w:rPr>
              <w:t xml:space="preserve">            </w:t>
              <w:tab/>
              <w:t xml:space="preserve">1b. regulovaná osoba podľa bodu 1a. je materskou spoločnosťou osoby vo finančnom sektore alebo je osobou, ktorá má majetkovú účasť podľa § 43 ods. 5 písm. m) na osobe vo finančnom sektore alebo je osobou prepojenou s osobou vo finančnom sektore vzťahom podľa písmena c), </w:t>
            </w:r>
          </w:p>
          <w:p>
            <w:pPr>
              <w:pStyle w:val="BodyText2"/>
              <w:tabs>
                <w:tab w:val="left" w:pos="354"/>
              </w:tabs>
              <w:spacing w:line="240" w:lineRule="auto"/>
              <w:ind w:left="354" w:hanging="266"/>
              <w:rPr>
                <w:rFonts w:ascii="Times New Roman" w:hAnsi="Times New Roman" w:cs="Times New Roman"/>
                <w:sz w:val="18"/>
                <w:lang w:val="sk-SK"/>
              </w:rPr>
            </w:pPr>
            <w:r>
              <w:rPr>
                <w:rFonts w:ascii="Times New Roman" w:hAnsi="Times New Roman" w:cs="Times New Roman"/>
                <w:sz w:val="18"/>
                <w:lang w:val="sk-SK"/>
              </w:rPr>
              <w:t>1c. aspoň jedna z osôb v skupine  je zo sektoru poisťovníctva a aspoň jedna z bankového sektoru alebo zo sektoru investičných služieb a</w:t>
            </w:r>
          </w:p>
          <w:p>
            <w:pPr>
              <w:pStyle w:val="BodyText2"/>
              <w:tabs>
                <w:tab w:val="left" w:pos="354"/>
              </w:tabs>
              <w:spacing w:line="240" w:lineRule="auto"/>
              <w:ind w:left="354" w:hanging="266"/>
              <w:rPr>
                <w:rFonts w:ascii="Times New Roman" w:hAnsi="Times New Roman" w:cs="Times New Roman"/>
                <w:sz w:val="18"/>
                <w:lang w:val="sk-SK"/>
              </w:rPr>
            </w:pPr>
            <w:r>
              <w:rPr>
                <w:rFonts w:ascii="Times New Roman" w:hAnsi="Times New Roman" w:cs="Times New Roman"/>
                <w:sz w:val="18"/>
                <w:lang w:val="sk-SK"/>
              </w:rPr>
              <w:t>1d. konsolidované čínnosti alebo  súhrn činností osôb v skupine v sektore poisťovníctva a konsolidované činnosti alebo súhrn činností osôb v skupine v bankovom sektore a v sektore investičných služieb sú významné podľa § 48e ods. 2 a 4,</w:t>
            </w:r>
          </w:p>
          <w:p>
            <w:pPr>
              <w:pStyle w:val="BodyText2"/>
              <w:numPr>
                <w:ilvl w:val="1"/>
                <w:numId w:val="47"/>
              </w:numPr>
              <w:tabs>
                <w:tab w:val="left" w:pos="354"/>
                <w:tab w:val="clear" w:pos="1440"/>
              </w:tabs>
              <w:spacing w:line="240" w:lineRule="auto"/>
              <w:ind w:left="354" w:hanging="266"/>
              <w:rPr>
                <w:rFonts w:ascii="Times New Roman" w:hAnsi="Times New Roman" w:cs="Times New Roman"/>
                <w:sz w:val="18"/>
                <w:lang w:val="sk-SK"/>
              </w:rPr>
            </w:pPr>
            <w:r>
              <w:rPr>
                <w:rFonts w:ascii="Times New Roman" w:hAnsi="Times New Roman" w:cs="Times New Roman"/>
                <w:sz w:val="18"/>
                <w:lang w:val="sk-SK"/>
              </w:rPr>
              <w:t xml:space="preserve">skupina, ak </w:t>
            </w:r>
          </w:p>
          <w:p>
            <w:pPr>
              <w:pStyle w:val="BodyText2"/>
              <w:tabs>
                <w:tab w:val="left" w:pos="354"/>
              </w:tabs>
              <w:spacing w:line="240" w:lineRule="auto"/>
              <w:ind w:left="354" w:hanging="266"/>
              <w:rPr>
                <w:rFonts w:ascii="Times New Roman" w:hAnsi="Times New Roman" w:cs="Times New Roman"/>
                <w:sz w:val="18"/>
                <w:lang w:val="sk-SK"/>
              </w:rPr>
            </w:pPr>
            <w:r>
              <w:rPr>
                <w:rFonts w:ascii="Times New Roman" w:hAnsi="Times New Roman" w:cs="Times New Roman"/>
                <w:sz w:val="18"/>
                <w:lang w:val="sk-SK"/>
              </w:rPr>
              <w:t>2a. aspoň jedna z dcérskych spoločností v </w:t>
            </w:r>
            <w:r>
              <w:rPr>
                <w:rFonts w:ascii="Times New Roman" w:hAnsi="Times New Roman" w:cs="Times New Roman"/>
                <w:sz w:val="18"/>
                <w:lang w:val="sk-SK"/>
              </w:rPr>
              <w:t>skupine je regulovanou osobou,</w:t>
            </w:r>
          </w:p>
          <w:p>
            <w:pPr>
              <w:pStyle w:val="BodyText2"/>
              <w:tabs>
                <w:tab w:val="left" w:pos="354"/>
              </w:tabs>
              <w:spacing w:line="240" w:lineRule="auto"/>
              <w:ind w:left="354" w:hanging="266"/>
              <w:rPr>
                <w:rFonts w:ascii="Times New Roman" w:hAnsi="Times New Roman" w:cs="Times New Roman"/>
                <w:sz w:val="18"/>
                <w:lang w:val="sk-SK"/>
              </w:rPr>
            </w:pPr>
            <w:r>
              <w:rPr>
                <w:rFonts w:ascii="Times New Roman" w:hAnsi="Times New Roman" w:cs="Times New Roman"/>
                <w:sz w:val="18"/>
                <w:lang w:val="sk-SK"/>
              </w:rPr>
              <w:t>2b. nie je ovládaná regulovanou osobou a činnosť skupiny sa sústreďuje vo finančnom sektore podľa § 48e ods. 2 a 4,</w:t>
            </w:r>
          </w:p>
          <w:p>
            <w:pPr>
              <w:pStyle w:val="BodyText2"/>
              <w:tabs>
                <w:tab w:val="left" w:pos="354"/>
              </w:tabs>
              <w:spacing w:line="240" w:lineRule="auto"/>
              <w:ind w:left="354" w:hanging="266"/>
              <w:rPr>
                <w:rFonts w:ascii="Times New Roman" w:hAnsi="Times New Roman" w:cs="Times New Roman"/>
                <w:sz w:val="18"/>
                <w:lang w:val="sk-SK"/>
              </w:rPr>
            </w:pPr>
            <w:r>
              <w:rPr>
                <w:rFonts w:ascii="Times New Roman" w:hAnsi="Times New Roman" w:cs="Times New Roman"/>
                <w:sz w:val="18"/>
                <w:lang w:val="sk-SK"/>
              </w:rPr>
              <w:t>2c. aspoň jedna z osôb v skupine  je zo sektoru poisťovníctva a aspoň jedna z bankového sektoru alebo zo sektoru investičných služieb a</w:t>
            </w:r>
          </w:p>
          <w:p>
            <w:pPr>
              <w:pStyle w:val="BodyText2"/>
              <w:tabs>
                <w:tab w:val="left" w:pos="354"/>
              </w:tabs>
              <w:spacing w:line="240" w:lineRule="auto"/>
              <w:ind w:left="354" w:hanging="266"/>
              <w:rPr>
                <w:rFonts w:ascii="Times New Roman" w:hAnsi="Times New Roman" w:cs="Times New Roman"/>
                <w:sz w:val="18"/>
                <w:lang w:val="sk-SK"/>
              </w:rPr>
            </w:pPr>
            <w:r>
              <w:rPr>
                <w:rFonts w:ascii="Times New Roman" w:hAnsi="Times New Roman" w:cs="Times New Roman"/>
                <w:sz w:val="18"/>
                <w:lang w:val="sk-SK"/>
              </w:rPr>
              <w:t>2d. konsolidované činnosti alebo  súhrn činností osôb v skupine v sektore poisťovníctva a konsolidované činnosti alebo súhrn činností osôb v skupine v bankovom sektore a v sektore investičných služieb sú významné podľa § 48e ods.</w:t>
            </w:r>
            <w:r>
              <w:rPr>
                <w:rFonts w:ascii="Times New Roman" w:hAnsi="Times New Roman" w:cs="Times New Roman"/>
                <w:sz w:val="18"/>
                <w:lang w:val="sk-SK"/>
              </w:rPr>
              <w:t xml:space="preserve"> 2 a 4,</w:t>
            </w:r>
          </w:p>
          <w:p>
            <w:pPr>
              <w:pStyle w:val="BodyText2"/>
              <w:tabs>
                <w:tab w:val="left" w:pos="354"/>
              </w:tabs>
              <w:spacing w:after="0" w:line="240" w:lineRule="auto"/>
              <w:ind w:left="354" w:hanging="266"/>
              <w:rPr>
                <w:rFonts w:ascii="Times New Roman" w:hAnsi="Times New Roman" w:cs="Times New Roman"/>
                <w:sz w:val="18"/>
                <w:szCs w:val="18"/>
                <w:lang w:val="sk-SK"/>
              </w:rPr>
            </w:pPr>
            <w:r>
              <w:rPr>
                <w:rFonts w:ascii="Times New Roman" w:hAnsi="Times New Roman" w:cs="Times New Roman"/>
                <w:sz w:val="18"/>
                <w:lang w:val="sk-SK"/>
              </w:rPr>
              <w:t>3. podskupina finančného  konglomerátu spĺňajúca podmienky podľa prvého bodu a druhého bodu,</w:t>
            </w:r>
          </w:p>
          <w:p>
            <w:pPr>
              <w:pStyle w:val="TABUKA-textsmernice"/>
              <w:rPr>
                <w:rFonts w:ascii="Times New Roman" w:hAnsi="Times New Roman" w:cs="Times New Roman"/>
                <w:i/>
                <w:sz w:val="18"/>
                <w:szCs w:val="18"/>
              </w:rPr>
            </w:pPr>
          </w:p>
          <w:p>
            <w:pPr>
              <w:pStyle w:val="BodyText"/>
              <w:rPr>
                <w:rFonts w:ascii="Times New Roman" w:hAnsi="Times New Roman" w:cs="Times New Roman"/>
                <w:sz w:val="18"/>
                <w:szCs w:val="18"/>
              </w:rPr>
            </w:pPr>
            <w:r>
              <w:rPr>
                <w:rFonts w:ascii="Times New Roman" w:hAnsi="Times New Roman" w:cs="Times New Roman"/>
                <w:sz w:val="18"/>
                <w:szCs w:val="18"/>
              </w:rPr>
              <w:t xml:space="preserve">x) </w:t>
            </w:r>
            <w:r>
              <w:rPr>
                <w:rFonts w:ascii="Times New Roman" w:hAnsi="Times New Roman" w:cs="Times New Roman"/>
                <w:sz w:val="18"/>
              </w:rPr>
              <w:t>zmiešanou finančnou holdingovou spoločnosťou materská spoločnosť iná ako regulovaná osoba, ktorá spolu so svojimi dcérskymi spoločnosťami, z ktorých aspoň jedna je regulovanou osobou so sídlom v členskom štáte, a s ostatnými osobami tvorí finančný konglomerát,</w:t>
            </w:r>
          </w:p>
          <w:p>
            <w:pPr>
              <w:pStyle w:val="TABUKA-textsmernice"/>
              <w:rPr>
                <w:rFonts w:ascii="Times New Roman" w:hAnsi="Times New Roman" w:cs="Times New Roman"/>
                <w:i/>
                <w:sz w:val="18"/>
                <w:szCs w:val="18"/>
              </w:rPr>
            </w:pPr>
          </w:p>
          <w:p>
            <w:pPr>
              <w:pStyle w:val="TABUKA-textsmernice"/>
              <w:rPr>
                <w:rFonts w:ascii="Times New Roman" w:hAnsi="Times New Roman" w:cs="Times New Roman"/>
                <w:iCs/>
                <w:sz w:val="18"/>
                <w:szCs w:val="18"/>
              </w:rPr>
            </w:pPr>
          </w:p>
          <w:p>
            <w:pPr>
              <w:pStyle w:val="TABUKA-textsmernice"/>
              <w:rPr>
                <w:rFonts w:ascii="Times New Roman" w:hAnsi="Times New Roman" w:cs="Times New Roman"/>
                <w:iCs/>
                <w:sz w:val="18"/>
                <w:szCs w:val="18"/>
              </w:rPr>
            </w:pPr>
            <w:r>
              <w:rPr>
                <w:rFonts w:ascii="Times New Roman" w:hAnsi="Times New Roman" w:cs="Times New Roman"/>
                <w:iCs/>
                <w:sz w:val="18"/>
                <w:szCs w:val="18"/>
              </w:rPr>
              <w:t>(1) Úrad</w:t>
            </w:r>
          </w:p>
          <w:p>
            <w:pPr>
              <w:pStyle w:val="TABUKA-textsmernice"/>
              <w:rPr>
                <w:rFonts w:ascii="Times New Roman" w:hAnsi="Times New Roman" w:cs="Times New Roman"/>
                <w:iCs/>
                <w:sz w:val="18"/>
                <w:szCs w:val="18"/>
              </w:rPr>
            </w:pPr>
            <w:r>
              <w:rPr>
                <w:rFonts w:ascii="Times New Roman" w:hAnsi="Times New Roman" w:cs="Times New Roman"/>
                <w:iCs/>
                <w:sz w:val="18"/>
                <w:szCs w:val="18"/>
              </w:rPr>
              <w:t xml:space="preserve"> a) vykonáva dohľad  nad činnosťou obchodníka  s cennými papiermi,     pobočky zahraničného obchodníka s cennými papiermi,     sprostredkovateľa   investičných služieb,   burzy cenných  papierov, centrálneho depozitára  cenných papierov, Garančného fondu investícií, správcovskej spoločnosti, zahraničnej správcovskej   spoločnosti,   podielového   fondu, zaisťovne,  poisťovne, pobočky   zahraničnej poisťovne, poisťovacieho makléra, dôchodkovej  správcovskej  spoločnosti, dôchodkového  fondu,  sprostredkovateľa  starobné  ho  dôchodkového sporenia a v   rozsahu  ustanovenom   týmto  zákonom   alebo  osobitným zákonom  aj  nad inými osobami  a subjektmi a  nad skupinami  osôb  a subjektov, ktorým osobitné   zákony  v oblasti     kapitálového   trhu  alebo   poisťovníctva,  alebo  starobného     dôchodkového   sporenia   ukladajú   povinnosti (ďalej   len     "dohliadaný subjekt"), tým, že</w:t>
            </w:r>
          </w:p>
          <w:p>
            <w:pPr>
              <w:pStyle w:val="TABUKA-textsmernice"/>
              <w:rPr>
                <w:rFonts w:ascii="Times New Roman" w:hAnsi="Times New Roman" w:cs="Times New Roman"/>
                <w:iCs/>
                <w:sz w:val="18"/>
                <w:szCs w:val="18"/>
              </w:rPr>
            </w:pPr>
            <w:r>
              <w:rPr>
                <w:rFonts w:ascii="Times New Roman" w:hAnsi="Times New Roman" w:cs="Times New Roman"/>
                <w:iCs/>
                <w:sz w:val="18"/>
                <w:szCs w:val="18"/>
              </w:rPr>
              <w:t xml:space="preserve">    1. dohliada  na dodržiavanie ustanovení tohto zákona a osobitných zákonov,</w:t>
            </w:r>
          </w:p>
          <w:p>
            <w:pPr>
              <w:pStyle w:val="TABUKA-textsmernice"/>
              <w:rPr>
                <w:rFonts w:ascii="Times New Roman" w:hAnsi="Times New Roman" w:cs="Times New Roman"/>
                <w:iCs/>
                <w:sz w:val="18"/>
                <w:szCs w:val="18"/>
              </w:rPr>
            </w:pPr>
            <w:r>
              <w:rPr>
                <w:rFonts w:ascii="Times New Roman" w:hAnsi="Times New Roman" w:cs="Times New Roman"/>
                <w:iCs/>
                <w:sz w:val="18"/>
                <w:szCs w:val="18"/>
              </w:rPr>
              <w:t xml:space="preserve">    2. vedie  konania  podľa  tohto  zákona  a  osobitných zákonov        v oblasti kapitálového trhu, poisťovníctva, starobného        dôchodkového sporenia (ďalej   len  "konanie"), vydáva  povolenia a iné rozhodnutia podľa tohto zákona a osobitných  zákonov a dohliada  na plnenie ním vydaných rozhodnutí vrátane dodržiavania   podmienok  určených   v týchto   rozhodnutiach,</w:t>
            </w:r>
          </w:p>
          <w:p>
            <w:pPr>
              <w:pStyle w:val="TABUKA-textsmernice"/>
              <w:rPr>
                <w:rFonts w:ascii="Times New Roman" w:hAnsi="Times New Roman" w:cs="Times New Roman"/>
                <w:i/>
                <w:sz w:val="18"/>
                <w:szCs w:val="18"/>
              </w:rPr>
            </w:pPr>
            <w:r>
              <w:rPr>
                <w:rFonts w:ascii="Times New Roman" w:hAnsi="Times New Roman" w:cs="Times New Roman"/>
                <w:iCs/>
                <w:sz w:val="18"/>
                <w:szCs w:val="18"/>
              </w:rPr>
              <w:t xml:space="preserve">    3. vykonáva dohľad na  diaľku  a  dohľad na  mieste na</w:t>
            </w:r>
            <w:r>
              <w:rPr>
                <w:rFonts w:ascii="Times New Roman" w:hAnsi="Times New Roman" w:cs="Times New Roman"/>
                <w:iCs/>
                <w:sz w:val="18"/>
                <w:szCs w:val="18"/>
              </w:rPr>
              <w:t>d        dohliadanými subjektmi,</w:t>
            </w:r>
          </w:p>
          <w:p>
            <w:pPr>
              <w:pStyle w:val="TABUKA-textsmernice"/>
              <w:rPr>
                <w:rFonts w:ascii="Times New Roman" w:hAnsi="Times New Roman" w:cs="Times New Roman"/>
                <w:i/>
                <w:sz w:val="18"/>
                <w:szCs w:val="18"/>
              </w:rPr>
            </w:pPr>
          </w:p>
          <w:p>
            <w:pPr>
              <w:pStyle w:val="TABUKA-textsmernice"/>
              <w:rPr>
                <w:rFonts w:ascii="Times New Roman" w:hAnsi="Times New Roman" w:cs="Times New Roman"/>
                <w:i/>
                <w:sz w:val="18"/>
                <w:szCs w:val="18"/>
              </w:rPr>
            </w:pPr>
          </w:p>
          <w:p>
            <w:pPr>
              <w:pStyle w:val="TABUKA-textsmernice"/>
              <w:rPr>
                <w:rFonts w:ascii="Times New Roman" w:hAnsi="Times New Roman" w:cs="Times New Roman"/>
                <w:iCs/>
                <w:sz w:val="18"/>
                <w:szCs w:val="18"/>
              </w:rPr>
            </w:pPr>
            <w:r>
              <w:rPr>
                <w:rFonts w:ascii="Times New Roman" w:hAnsi="Times New Roman" w:cs="Times New Roman"/>
                <w:iCs/>
                <w:sz w:val="18"/>
                <w:szCs w:val="18"/>
              </w:rPr>
              <w:t>(1) Hlavným  cieľom  Národnej  banky  Slovenska je udržiavanie cenovej stability. Za tým účelom Národná banka Slovenska</w:t>
            </w:r>
          </w:p>
          <w:p>
            <w:pPr>
              <w:pStyle w:val="TABUKA-textsmernice"/>
              <w:rPr>
                <w:rFonts w:ascii="Times New Roman" w:hAnsi="Times New Roman" w:cs="Times New Roman"/>
                <w:i/>
                <w:sz w:val="18"/>
                <w:szCs w:val="18"/>
              </w:rPr>
            </w:pPr>
            <w:r>
              <w:rPr>
                <w:rFonts w:ascii="Times New Roman" w:hAnsi="Times New Roman" w:cs="Times New Roman"/>
                <w:iCs/>
                <w:sz w:val="18"/>
                <w:szCs w:val="18"/>
              </w:rPr>
              <w:t>d) vykonáva  dohľad   podľa  tohto  zákona   a  podľa  osobitných     zákonov nad bezpečným  fungovaním bankového  systému a nad     vykonávaním bankových činností,</w:t>
            </w:r>
          </w:p>
          <w:p>
            <w:pPr>
              <w:pStyle w:val="TABUKA-textsmernice"/>
              <w:rPr>
                <w:rFonts w:ascii="Times New Roman" w:hAnsi="Times New Roman" w:cs="Times New Roman"/>
                <w:i/>
                <w:sz w:val="18"/>
                <w:szCs w:val="18"/>
              </w:rPr>
            </w:pPr>
          </w:p>
          <w:p>
            <w:pPr>
              <w:pStyle w:val="TABUKA-textsmernice"/>
              <w:rPr>
                <w:rFonts w:ascii="Times New Roman" w:hAnsi="Times New Roman" w:cs="Times New Roman"/>
                <w:i/>
                <w:sz w:val="18"/>
                <w:szCs w:val="18"/>
              </w:rPr>
            </w:pPr>
          </w:p>
          <w:p>
            <w:pPr>
              <w:pStyle w:val="TABUKA-textsmernice"/>
              <w:rPr>
                <w:rFonts w:ascii="Times New Roman" w:hAnsi="Times New Roman" w:cs="Times New Roman"/>
                <w:i/>
                <w:sz w:val="18"/>
                <w:szCs w:val="18"/>
              </w:rPr>
            </w:pPr>
          </w:p>
          <w:p>
            <w:pPr>
              <w:pStyle w:val="TABUKA-textsmernice"/>
              <w:rPr>
                <w:rFonts w:ascii="Times New Roman" w:hAnsi="Times New Roman" w:cs="Times New Roman"/>
                <w:i/>
                <w:sz w:val="18"/>
                <w:szCs w:val="18"/>
              </w:rPr>
            </w:pPr>
          </w:p>
          <w:p>
            <w:pPr>
              <w:pStyle w:val="TABUKA-textsmernice"/>
              <w:rPr>
                <w:rFonts w:ascii="Times New Roman" w:hAnsi="Times New Roman" w:cs="Times New Roman"/>
                <w:i/>
                <w:sz w:val="18"/>
                <w:szCs w:val="18"/>
              </w:rPr>
            </w:pPr>
          </w:p>
          <w:p>
            <w:pPr>
              <w:pStyle w:val="TABUKA-textsmernice"/>
              <w:rPr>
                <w:rFonts w:ascii="Times New Roman" w:hAnsi="Times New Roman" w:cs="Times New Roman"/>
                <w:i/>
                <w:sz w:val="18"/>
                <w:szCs w:val="18"/>
              </w:rPr>
            </w:pPr>
          </w:p>
          <w:p>
            <w:pPr>
              <w:pStyle w:val="TABUKA-textsmernice"/>
              <w:rPr>
                <w:rFonts w:ascii="Times New Roman" w:hAnsi="Times New Roman" w:cs="Times New Roman"/>
                <w:i/>
                <w:sz w:val="18"/>
                <w:szCs w:val="18"/>
              </w:rPr>
            </w:pPr>
          </w:p>
          <w:p>
            <w:pPr>
              <w:pStyle w:val="TABUKA-textsmernice"/>
              <w:rPr>
                <w:rFonts w:ascii="Times New Roman" w:hAnsi="Times New Roman" w:cs="Times New Roman"/>
                <w:i/>
                <w:sz w:val="18"/>
                <w:szCs w:val="18"/>
              </w:rPr>
            </w:pPr>
          </w:p>
          <w:p>
            <w:pPr>
              <w:pStyle w:val="TABUKA-textsmernice"/>
              <w:rPr>
                <w:rFonts w:ascii="Times New Roman" w:hAnsi="Times New Roman" w:cs="Times New Roman"/>
                <w:i/>
                <w:sz w:val="18"/>
                <w:szCs w:val="18"/>
              </w:rPr>
            </w:pPr>
          </w:p>
          <w:p>
            <w:pPr>
              <w:pStyle w:val="TABUKA-textsmernice"/>
              <w:rPr>
                <w:rFonts w:ascii="Times New Roman" w:hAnsi="Times New Roman" w:cs="Times New Roman"/>
                <w:i/>
                <w:sz w:val="18"/>
                <w:szCs w:val="18"/>
              </w:rPr>
            </w:pPr>
          </w:p>
          <w:p>
            <w:pPr>
              <w:pStyle w:val="TABUKA-textsmernice"/>
              <w:rPr>
                <w:rFonts w:ascii="Times New Roman" w:hAnsi="Times New Roman" w:cs="Times New Roman"/>
                <w:i/>
                <w:sz w:val="18"/>
                <w:szCs w:val="18"/>
              </w:rPr>
            </w:pPr>
          </w:p>
          <w:p>
            <w:pPr>
              <w:pStyle w:val="TABUKA-textsmernice"/>
              <w:rPr>
                <w:rFonts w:ascii="Times New Roman" w:hAnsi="Times New Roman" w:cs="Times New Roman"/>
                <w:i/>
                <w:sz w:val="18"/>
                <w:szCs w:val="18"/>
              </w:rPr>
            </w:pPr>
          </w:p>
          <w:p>
            <w:pPr>
              <w:pStyle w:val="TABUKA-textsmernice"/>
              <w:rPr>
                <w:rFonts w:ascii="Times New Roman" w:hAnsi="Times New Roman" w:cs="Times New Roman"/>
                <w:i/>
                <w:sz w:val="18"/>
                <w:szCs w:val="18"/>
              </w:rPr>
            </w:pPr>
          </w:p>
          <w:p>
            <w:pPr>
              <w:pStyle w:val="TABUKA-textsmernice"/>
              <w:rPr>
                <w:rFonts w:ascii="Times New Roman" w:hAnsi="Times New Roman" w:cs="Times New Roman"/>
                <w:i/>
                <w:sz w:val="18"/>
                <w:szCs w:val="18"/>
              </w:rPr>
            </w:pPr>
          </w:p>
          <w:p>
            <w:pPr>
              <w:pStyle w:val="TABUKA-textsmernice"/>
              <w:rPr>
                <w:rFonts w:ascii="Times New Roman" w:hAnsi="Times New Roman" w:cs="Times New Roman"/>
                <w:i/>
                <w:sz w:val="18"/>
                <w:szCs w:val="18"/>
              </w:rPr>
            </w:pPr>
          </w:p>
          <w:p>
            <w:pPr>
              <w:pStyle w:val="TABUKA-textsmernice"/>
              <w:rPr>
                <w:rFonts w:ascii="Times New Roman" w:hAnsi="Times New Roman" w:cs="Times New Roman"/>
                <w:i/>
                <w:sz w:val="18"/>
                <w:szCs w:val="18"/>
              </w:rPr>
            </w:pPr>
          </w:p>
          <w:p>
            <w:pPr>
              <w:pStyle w:val="TABUKA-textsmernice"/>
              <w:rPr>
                <w:rFonts w:ascii="Times New Roman" w:hAnsi="Times New Roman" w:cs="Times New Roman"/>
                <w:i/>
                <w:sz w:val="18"/>
                <w:szCs w:val="18"/>
              </w:rPr>
            </w:pPr>
          </w:p>
          <w:p>
            <w:pPr>
              <w:pStyle w:val="TABUKA-textsmernice"/>
              <w:rPr>
                <w:rFonts w:ascii="Times New Roman" w:hAnsi="Times New Roman" w:cs="Times New Roman"/>
                <w:i/>
                <w:sz w:val="18"/>
                <w:szCs w:val="18"/>
              </w:rPr>
            </w:pPr>
          </w:p>
          <w:p>
            <w:pPr>
              <w:pStyle w:val="TABUKA-textsmernice"/>
              <w:rPr>
                <w:rFonts w:ascii="Times New Roman" w:hAnsi="Times New Roman" w:cs="Times New Roman"/>
                <w:i/>
                <w:sz w:val="18"/>
                <w:szCs w:val="18"/>
              </w:rPr>
            </w:pPr>
          </w:p>
          <w:p>
            <w:pPr>
              <w:pStyle w:val="TABUKA-textsmernice"/>
              <w:rPr>
                <w:rFonts w:ascii="Times New Roman" w:hAnsi="Times New Roman" w:cs="Times New Roman"/>
                <w:i/>
                <w:sz w:val="18"/>
                <w:szCs w:val="18"/>
              </w:rPr>
            </w:pPr>
          </w:p>
          <w:p>
            <w:pPr>
              <w:pStyle w:val="TABUKA-textsmernice"/>
              <w:rPr>
                <w:rFonts w:ascii="Times New Roman" w:hAnsi="Times New Roman" w:cs="Times New Roman"/>
                <w:i/>
                <w:sz w:val="18"/>
                <w:szCs w:val="18"/>
              </w:rPr>
            </w:pPr>
          </w:p>
          <w:p>
            <w:pPr>
              <w:pStyle w:val="TABUKA-textsmernice"/>
              <w:rPr>
                <w:rFonts w:ascii="Times New Roman" w:hAnsi="Times New Roman" w:cs="Times New Roman"/>
                <w:i/>
                <w:sz w:val="18"/>
                <w:szCs w:val="18"/>
              </w:rPr>
            </w:pPr>
          </w:p>
          <w:p>
            <w:pPr>
              <w:pStyle w:val="TABUKA-textsmernice"/>
              <w:rPr>
                <w:rFonts w:ascii="Times New Roman" w:hAnsi="Times New Roman" w:cs="Times New Roman"/>
                <w:i/>
                <w:sz w:val="18"/>
                <w:szCs w:val="18"/>
              </w:rPr>
            </w:pPr>
          </w:p>
          <w:p>
            <w:pPr>
              <w:pStyle w:val="TABUKA-textsmernice"/>
              <w:rPr>
                <w:rFonts w:ascii="Times New Roman" w:hAnsi="Times New Roman" w:cs="Times New Roman"/>
                <w:i/>
                <w:sz w:val="18"/>
                <w:szCs w:val="18"/>
              </w:rPr>
            </w:pPr>
          </w:p>
          <w:p>
            <w:pPr>
              <w:pStyle w:val="TABUKA-textsmernice"/>
              <w:rPr>
                <w:rFonts w:ascii="Times New Roman" w:hAnsi="Times New Roman" w:cs="Times New Roman"/>
                <w:i/>
                <w:sz w:val="18"/>
                <w:szCs w:val="18"/>
              </w:rPr>
            </w:pPr>
          </w:p>
          <w:p>
            <w:pPr>
              <w:pStyle w:val="TABUKA-textsmernice"/>
              <w:rPr>
                <w:rFonts w:ascii="Times New Roman" w:hAnsi="Times New Roman" w:cs="Times New Roman"/>
                <w:i/>
                <w:sz w:val="18"/>
                <w:szCs w:val="18"/>
              </w:rPr>
            </w:pPr>
          </w:p>
          <w:p>
            <w:pPr>
              <w:pStyle w:val="TABUKA-textsmernice"/>
              <w:rPr>
                <w:rFonts w:ascii="Times New Roman" w:hAnsi="Times New Roman" w:cs="Times New Roman"/>
                <w:i/>
                <w:sz w:val="18"/>
                <w:szCs w:val="18"/>
              </w:rPr>
            </w:pPr>
          </w:p>
          <w:p>
            <w:pPr>
              <w:pStyle w:val="TABUKA-textsmernice"/>
              <w:rPr>
                <w:rFonts w:ascii="Times New Roman" w:hAnsi="Times New Roman" w:cs="Times New Roman"/>
                <w:i/>
                <w:sz w:val="18"/>
                <w:szCs w:val="18"/>
              </w:rPr>
            </w:pPr>
          </w:p>
          <w:p>
            <w:pPr>
              <w:pStyle w:val="BodyText2"/>
              <w:spacing w:after="0" w:line="240" w:lineRule="auto"/>
              <w:rPr>
                <w:rFonts w:ascii="Times New Roman" w:hAnsi="Times New Roman" w:cs="Times New Roman"/>
                <w:sz w:val="18"/>
                <w:szCs w:val="18"/>
                <w:lang w:val="sk-SK"/>
              </w:rPr>
            </w:pPr>
            <w:r>
              <w:rPr>
                <w:rFonts w:ascii="Times New Roman" w:hAnsi="Times New Roman" w:cs="Times New Roman"/>
                <w:sz w:val="18"/>
                <w:lang w:val="sk-SK"/>
              </w:rPr>
              <w:t>Vnútroskupinovým obchodom sa na účely tohto zákona rozumie obchod, v  ktorom regulované osoby tvoriace finančný konglomerát priamo alebo nepriamo využívajú iné spoločnosti tej istej skupiny alebo fyzickú osobu alebo právnickú osobu, ktoré ovládajú na splnenie povinnosti bez ohľadu na to, či je táto povinnosť určená zmluvou a či je splnenie tejto povinnosti za úhradu.</w:t>
            </w:r>
          </w:p>
          <w:p>
            <w:pPr>
              <w:pStyle w:val="BodyText2"/>
              <w:spacing w:after="0" w:line="240" w:lineRule="auto"/>
              <w:rPr>
                <w:rFonts w:ascii="Times New Roman" w:hAnsi="Times New Roman" w:cs="Times New Roman"/>
                <w:sz w:val="18"/>
                <w:szCs w:val="18"/>
                <w:lang w:val="sk-SK"/>
              </w:rPr>
            </w:pPr>
          </w:p>
          <w:p>
            <w:pPr>
              <w:tabs>
                <w:tab w:val="left" w:pos="426"/>
              </w:tabs>
              <w:spacing w:after="0"/>
              <w:rPr>
                <w:rFonts w:ascii="Times New Roman" w:hAnsi="Times New Roman" w:cs="Times New Roman"/>
                <w:sz w:val="18"/>
                <w:szCs w:val="18"/>
                <w:lang w:val="sk-SK"/>
              </w:rPr>
            </w:pPr>
            <w:r>
              <w:rPr>
                <w:rFonts w:ascii="Times New Roman" w:hAnsi="Times New Roman" w:cs="Times New Roman"/>
                <w:sz w:val="18"/>
                <w:lang w:val="sk-SK"/>
              </w:rPr>
              <w:t>Koncentráciou rizík finančného konglomerátu sa na účely doplňujúceho dohľadu  rozumie každá činnosť osôb tvoriacich finančný konglomerát, ktorá môže spôsobiť takú stratu,  ktorá môže ohroziť platobnú schopnosť alebo bezpčnosť a zdravie  regulovaných osôb  tvoriacich finančný konglomerát; takáto koncentrácia môže byť v  riziku protistrany, úverovom riziku, investičnom riziku, poistnom riziku, trhovom riziku, riziku likvidity, operačnom riziku a  inom riziku alebo kombinácii týchto rizík.</w:t>
            </w:r>
          </w:p>
          <w:p>
            <w:pPr>
              <w:pStyle w:val="TABUKA-textsmernice"/>
              <w:rPr>
                <w:rFonts w:ascii="Times New Roman" w:hAnsi="Times New Roman" w:cs="Times New Roman"/>
                <w:i/>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jc w:val="left"/>
              <w:rPr>
                <w:rFonts w:ascii="Times New Roman" w:hAnsi="Times New Roman" w:cs="Times New Roman"/>
                <w:sz w:val="18"/>
                <w:szCs w:val="18"/>
              </w:rPr>
            </w:pPr>
            <w:r>
              <w:rPr>
                <w:rFonts w:ascii="Times New Roman" w:hAnsi="Times New Roman" w:cs="Times New Roman"/>
                <w:sz w:val="18"/>
                <w:szCs w:val="18"/>
              </w:rPr>
              <w:t>Ú</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N</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Ú</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jc w:val="left"/>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color w:val="000000"/>
                <w:sz w:val="18"/>
                <w:szCs w:val="18"/>
                <w:lang w:val="cs-CZ"/>
              </w:rPr>
            </w:pPr>
            <w:r>
              <w:rPr>
                <w:rFonts w:ascii="Times New Roman" w:hAnsi="Times New Roman" w:cs="Times New Roman"/>
                <w:color w:val="000000"/>
                <w:sz w:val="18"/>
                <w:szCs w:val="18"/>
                <w:lang w:val="cs-CZ"/>
              </w:rPr>
              <w:t>Príslušné kompetentné orgány sú Úrad pre finančný trh a Národná banka Slovenska podľa zákonov č. 566/2001 Z.z.; 483/2001 Z.z.; 95/2002 Z.z.</w:t>
            </w:r>
          </w:p>
          <w:p>
            <w:pPr>
              <w:pStyle w:val="TABUKA-textsmernice"/>
              <w:jc w:val="left"/>
              <w:rPr>
                <w:rFonts w:ascii="Times New Roman" w:hAnsi="Times New Roman" w:cs="Times New Roman"/>
                <w:color w:val="000000"/>
                <w:sz w:val="18"/>
                <w:szCs w:val="18"/>
                <w:lang w:val="cs-CZ"/>
              </w:rPr>
            </w:pPr>
          </w:p>
          <w:p>
            <w:pPr>
              <w:pStyle w:val="TABUKA-textsmernice"/>
              <w:jc w:val="left"/>
              <w:rPr>
                <w:rFonts w:ascii="Times New Roman" w:hAnsi="Times New Roman" w:cs="Times New Roman"/>
                <w:color w:val="000000"/>
                <w:sz w:val="18"/>
                <w:szCs w:val="18"/>
                <w:lang w:val="cs-CZ"/>
              </w:rPr>
            </w:pPr>
          </w:p>
          <w:p>
            <w:pPr>
              <w:pStyle w:val="TABUKA-textsmernice"/>
              <w:jc w:val="left"/>
              <w:rPr>
                <w:rFonts w:ascii="Times New Roman" w:hAnsi="Times New Roman" w:cs="Times New Roman"/>
                <w:color w:val="000000"/>
                <w:sz w:val="18"/>
                <w:szCs w:val="18"/>
                <w:lang w:val="cs-CZ"/>
              </w:rPr>
            </w:pPr>
            <w:r>
              <w:rPr>
                <w:rFonts w:ascii="Times New Roman" w:hAnsi="Times New Roman" w:cs="Times New Roman"/>
                <w:color w:val="000000"/>
                <w:sz w:val="18"/>
                <w:szCs w:val="18"/>
                <w:lang w:val="cs-CZ"/>
              </w:rPr>
              <w:t>Podľa § 143c ods.3 môže ÚFT prenechať výkon doplňujúceho dohľadu NBS alebo príslušnému orgánu dohľadu členského štátu</w:t>
            </w:r>
            <w:r>
              <w:rPr>
                <w:rFonts w:ascii="Helv" w:hAnsi="Helv" w:cs="Helv"/>
                <w:color w:val="000000"/>
                <w:sz w:val="18"/>
                <w:szCs w:val="18"/>
                <w:lang w:val="cs-CZ"/>
              </w:rPr>
              <w:t>.</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tc>
        <w:tc>
          <w:tcPr>
            <w:tcW w:w="71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jc w:val="left"/>
              <w:rPr>
                <w:rFonts w:ascii="Times New Roman" w:hAnsi="Times New Roman" w:cs="Times New Roman"/>
                <w:sz w:val="18"/>
                <w:szCs w:val="18"/>
              </w:rPr>
            </w:pPr>
          </w:p>
        </w:tc>
      </w:tr>
      <w:tr>
        <w:tblPrEx>
          <w:tblW w:w="15737"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jc w:val="left"/>
              <w:rPr>
                <w:rFonts w:ascii="Times New Roman" w:hAnsi="Times New Roman" w:cs="Times New Roman"/>
                <w:sz w:val="18"/>
                <w:szCs w:val="18"/>
              </w:rPr>
            </w:pPr>
            <w:r>
              <w:rPr>
                <w:rFonts w:ascii="Times New Roman" w:hAnsi="Times New Roman" w:cs="Times New Roman"/>
                <w:sz w:val="18"/>
                <w:szCs w:val="18"/>
              </w:rPr>
              <w:t>Čl. 3</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rPr>
                <w:rFonts w:ascii="Times New Roman" w:hAnsi="Times New Roman" w:cs="Times New Roman"/>
                <w:b/>
                <w:sz w:val="18"/>
                <w:szCs w:val="18"/>
              </w:rPr>
            </w:pPr>
            <w:r>
              <w:rPr>
                <w:rFonts w:ascii="Times New Roman" w:hAnsi="Times New Roman" w:cs="Times New Roman"/>
                <w:b/>
                <w:sz w:val="18"/>
                <w:szCs w:val="18"/>
              </w:rPr>
              <w:t>Limity na identifikáciu finančného</w:t>
            </w:r>
            <w:r>
              <w:rPr>
                <w:rFonts w:ascii="Times New Roman" w:hAnsi="Times New Roman" w:cs="Times New Roman"/>
                <w:b/>
                <w:sz w:val="18"/>
                <w:szCs w:val="18"/>
              </w:rPr>
              <w:t xml:space="preserve"> konglomerátu</w:t>
            </w:r>
          </w:p>
          <w:p>
            <w:pPr>
              <w:pStyle w:val="BodyText"/>
              <w:rPr>
                <w:rFonts w:ascii="Times New Roman" w:hAnsi="Times New Roman" w:cs="Times New Roman"/>
                <w:sz w:val="18"/>
                <w:szCs w:val="18"/>
              </w:rPr>
            </w:pPr>
            <w:r>
              <w:rPr>
                <w:rFonts w:ascii="Times New Roman" w:hAnsi="Times New Roman" w:cs="Times New Roman"/>
                <w:sz w:val="18"/>
                <w:szCs w:val="18"/>
              </w:rPr>
              <w:t>1. Na určenie, či sa činnosti skupiny sústreďujú predovšetkým vo finančnom sektore v zmysle článku 2 ods. 14 písm. c, podiel bilančného úhrnu regulovaných a neregulovaných subjektov finančného sektora v skupine k bilančnému úhrnu skupiny ako celku musí byť vyšší ako 40%.</w:t>
            </w:r>
          </w:p>
          <w:p>
            <w:pPr>
              <w:pStyle w:val="BodyText"/>
              <w:rPr>
                <w:rFonts w:ascii="Times New Roman" w:hAnsi="Times New Roman" w:cs="Times New Roman"/>
                <w:sz w:val="18"/>
                <w:szCs w:val="18"/>
              </w:rPr>
            </w:pPr>
          </w:p>
          <w:p>
            <w:pPr>
              <w:pStyle w:val="BodyText"/>
              <w:rPr>
                <w:rFonts w:ascii="Times New Roman" w:hAnsi="Times New Roman" w:cs="Times New Roman"/>
                <w:sz w:val="18"/>
                <w:szCs w:val="18"/>
              </w:rPr>
            </w:pPr>
            <w:r>
              <w:rPr>
                <w:rFonts w:ascii="Times New Roman" w:hAnsi="Times New Roman" w:cs="Times New Roman"/>
                <w:sz w:val="18"/>
                <w:szCs w:val="18"/>
              </w:rPr>
              <w:t>2. Na určenie, či činnosti v rôznych finančných sektoroch sú významné v zmysle článku 2 ods. 14 písm. e. priemer z podielu bilančného úhrnu tohto finančného sektora k bilančnému úhrnu subjektov finančného sektora v skupine a z podielu kapitálových požiadaviek toho istého finančného sektora k celkovým kapitálovým požiadavkám subjektov finančného sektora v skupine musí byť za každý finančný sektor vyšší ako 10%.</w:t>
            </w:r>
          </w:p>
          <w:p>
            <w:pPr>
              <w:pStyle w:val="BodyText"/>
              <w:rPr>
                <w:rFonts w:ascii="Times New Roman" w:hAnsi="Times New Roman" w:cs="Times New Roman"/>
                <w:sz w:val="18"/>
                <w:szCs w:val="18"/>
              </w:rPr>
            </w:pPr>
          </w:p>
          <w:p>
            <w:pPr>
              <w:pStyle w:val="BodyText"/>
              <w:rPr>
                <w:rFonts w:ascii="Times New Roman" w:hAnsi="Times New Roman" w:cs="Times New Roman"/>
                <w:sz w:val="18"/>
                <w:szCs w:val="18"/>
              </w:rPr>
            </w:pPr>
          </w:p>
          <w:p>
            <w:pPr>
              <w:pStyle w:val="BodyText"/>
              <w:rPr>
                <w:rFonts w:ascii="Times New Roman" w:hAnsi="Times New Roman" w:cs="Times New Roman"/>
                <w:sz w:val="18"/>
                <w:szCs w:val="18"/>
              </w:rPr>
            </w:pPr>
          </w:p>
          <w:p>
            <w:pPr>
              <w:pStyle w:val="BodyText"/>
              <w:rPr>
                <w:rFonts w:ascii="Times New Roman" w:hAnsi="Times New Roman" w:cs="Times New Roman"/>
                <w:sz w:val="18"/>
                <w:szCs w:val="18"/>
              </w:rPr>
            </w:pPr>
            <w:r>
              <w:rPr>
                <w:rFonts w:ascii="Times New Roman" w:hAnsi="Times New Roman" w:cs="Times New Roman"/>
                <w:sz w:val="18"/>
                <w:szCs w:val="18"/>
              </w:rPr>
              <w:t>Na účel tejto smernice najmenší finančný sektor vo finančnom konglomeráte je sektor s najmenším priemerom a najdôležitejší finančný sektor vo finančnom konglomeráte je sektor s najvyšším priemerom. Na účel výpočtu tohto priemeru a na meranie najmenšieho a najdôležitejšieho finančného sektora sa bankový sektor a sektor investičných služieb berú spolu.</w:t>
            </w:r>
          </w:p>
          <w:p>
            <w:pPr>
              <w:pStyle w:val="BodyText"/>
              <w:rPr>
                <w:rFonts w:ascii="Times New Roman" w:hAnsi="Times New Roman" w:cs="Times New Roman"/>
                <w:sz w:val="18"/>
                <w:szCs w:val="18"/>
              </w:rPr>
            </w:pPr>
          </w:p>
          <w:p>
            <w:pPr>
              <w:pStyle w:val="BodyText"/>
              <w:rPr>
                <w:rFonts w:ascii="Times New Roman" w:hAnsi="Times New Roman" w:cs="Times New Roman"/>
                <w:sz w:val="18"/>
                <w:szCs w:val="18"/>
              </w:rPr>
            </w:pPr>
          </w:p>
          <w:p>
            <w:pPr>
              <w:pStyle w:val="BodyText"/>
              <w:rPr>
                <w:rFonts w:ascii="Times New Roman" w:hAnsi="Times New Roman" w:cs="Times New Roman"/>
                <w:sz w:val="18"/>
                <w:szCs w:val="18"/>
              </w:rPr>
            </w:pPr>
          </w:p>
          <w:p>
            <w:pPr>
              <w:pStyle w:val="BodyText"/>
              <w:rPr>
                <w:rFonts w:ascii="Times New Roman" w:hAnsi="Times New Roman" w:cs="Times New Roman"/>
                <w:sz w:val="18"/>
                <w:szCs w:val="18"/>
              </w:rPr>
            </w:pPr>
            <w:r>
              <w:rPr>
                <w:rFonts w:ascii="Times New Roman" w:hAnsi="Times New Roman" w:cs="Times New Roman"/>
                <w:sz w:val="18"/>
                <w:szCs w:val="18"/>
              </w:rPr>
              <w:t>3. Predpokladá sa tiež, že transsektorové činnosti sú významné v zmysle článku 2 ods. 14 písm. e. ak bilančný úhrn najmenšieho finančného sektora v skupine je vyšší ako 6 mld. EUR. Ak skupina nedosiahne limit ustanovený v odseku 2, príslušné kompetentné orgány môžu rozhodnúť na základe spoločnej dohody, že skupinu nebudú považovať za finančný konglomerát alebo, že nebudú uplatňovať ustanovenia článkov 7, 8 alebo 9, ak sú toho názoru, že zaradenie skupiny do predmetu tejto smernice alebo uplatnenie týchto ustanovení nie je nutné resp. bolo by nevhodné alebo nesprávne vo vzťahu k cieľom doplňujúceho dohľadu, berúc do úvahy napríklad skutočnosť, že:</w:t>
            </w:r>
          </w:p>
          <w:p>
            <w:pPr>
              <w:pStyle w:val="BodyText"/>
              <w:rPr>
                <w:rFonts w:ascii="Times New Roman" w:hAnsi="Times New Roman" w:cs="Times New Roman"/>
                <w:sz w:val="18"/>
                <w:szCs w:val="18"/>
              </w:rPr>
            </w:pPr>
          </w:p>
          <w:p>
            <w:pPr>
              <w:spacing w:after="0"/>
              <w:ind w:firstLine="0"/>
              <w:rPr>
                <w:rFonts w:ascii="Times New Roman" w:hAnsi="Times New Roman" w:cs="Times New Roman"/>
                <w:sz w:val="18"/>
                <w:szCs w:val="18"/>
                <w:lang w:val="sk-SK"/>
              </w:rPr>
            </w:pPr>
            <w:r>
              <w:rPr>
                <w:rFonts w:ascii="Times New Roman" w:hAnsi="Times New Roman" w:cs="Times New Roman"/>
                <w:sz w:val="18"/>
                <w:szCs w:val="18"/>
                <w:lang w:val="sk-SK"/>
              </w:rPr>
              <w:t>(a)   relatívna veľkosť najmenšieho finančného sektora neprevyšuje 5% meraných buď z hľadiska priemeru ustanoveného v odseku 2 alebo z hľadiska bilančného úhrnu, alebo kapitálových požiadaviek tohto finančného sektora; alebo</w:t>
            </w: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r>
              <w:rPr>
                <w:rFonts w:ascii="Times New Roman" w:hAnsi="Times New Roman" w:cs="Times New Roman"/>
                <w:sz w:val="18"/>
                <w:szCs w:val="18"/>
                <w:lang w:val="sk-SK"/>
              </w:rPr>
              <w:t>(b) trhový podiel v žiadnom členskom štáte neprekročí 5%, meraných z hľadiska bilančného úhrnu v bankovom sektore alebo sektore investičných služieb a z hľadiska hrubého poistného poistiek uzatvorených v sektore poisťovníctva.</w:t>
            </w: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r>
              <w:rPr>
                <w:rFonts w:ascii="Times New Roman" w:hAnsi="Times New Roman" w:cs="Times New Roman"/>
                <w:sz w:val="18"/>
                <w:szCs w:val="18"/>
                <w:lang w:val="sk-SK"/>
              </w:rPr>
              <w:t>Rozhodnutia prijaté podľa tohto odseku treba oznámiť ostatným zainteresovaným kompetentným orgánom.</w:t>
            </w: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r>
              <w:rPr>
                <w:rFonts w:ascii="Times New Roman" w:hAnsi="Times New Roman" w:cs="Times New Roman"/>
                <w:sz w:val="18"/>
                <w:szCs w:val="18"/>
                <w:lang w:val="sk-SK"/>
              </w:rPr>
              <w:t>4.Príslušné kompetentné orgány môžu pri uplatňovaní odsekov 1, 2 a 3 na základe spoločnej dohody:</w:t>
            </w: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r>
              <w:rPr>
                <w:rFonts w:ascii="Times New Roman" w:hAnsi="Times New Roman" w:cs="Times New Roman"/>
                <w:sz w:val="18"/>
                <w:szCs w:val="18"/>
                <w:lang w:val="sk-SK"/>
              </w:rPr>
              <w:t xml:space="preserve">      (a) vylúčiť subjekt z výpočtu podielov v prípadoch, ktoré sa ustanovujú v článku 6 ods. 5;</w:t>
            </w: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r>
              <w:rPr>
                <w:rFonts w:ascii="Times New Roman" w:hAnsi="Times New Roman" w:cs="Times New Roman"/>
                <w:sz w:val="18"/>
                <w:szCs w:val="18"/>
                <w:lang w:val="sk-SK"/>
              </w:rPr>
              <w:t xml:space="preserve">      (b) brať do úvahy dodržiavanie limitov zakotvených v odsekoch 1 a 2 za tri za sebou idúce roky, aby sa zamedzilo náhlej zmene režimu a nebrať do úvahy toto dodržiavanie, ak nastanú významné zmeny v štruktúre skupiny.</w:t>
            </w: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r>
              <w:rPr>
                <w:rFonts w:ascii="Times New Roman" w:hAnsi="Times New Roman" w:cs="Times New Roman"/>
                <w:sz w:val="18"/>
                <w:szCs w:val="18"/>
                <w:lang w:val="sk-SK"/>
              </w:rPr>
              <w:t>Ak finančný konglomerát bol identifikovaný podľa odsekov 1, 2 a 3, rozhodnutia ustanovené v prvom pododseku tohto odseku sa prijímajú na základe návrhu daného koordinátorom tohto finančného konglomerátu.</w:t>
            </w: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r>
              <w:rPr>
                <w:rFonts w:ascii="Times New Roman" w:hAnsi="Times New Roman" w:cs="Times New Roman"/>
                <w:sz w:val="18"/>
                <w:szCs w:val="18"/>
                <w:lang w:val="sk-SK"/>
              </w:rPr>
              <w:t>5.Príslušné kompetentné orgány môže pri uplatňovaní odsekov 1 a 2 vo výnimočných prípadoch a na základe spoločnej dohody nahradiť kritérium založené na bilančnom úhrne jedným alebo oboma nasledujúcimi parametrami alebo pridať jeden alebo oba tieto parametre, ak sú toho názoru, že tieto parametre majú osobitný význam na účely doplňujúceho dohľadu podľa tejto smernice: štruktúra príjmov, mimosúvahové činnosti.</w:t>
            </w: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r>
              <w:rPr>
                <w:rFonts w:ascii="Times New Roman" w:hAnsi="Times New Roman" w:cs="Times New Roman"/>
                <w:sz w:val="18"/>
                <w:szCs w:val="18"/>
                <w:lang w:val="sk-SK"/>
              </w:rPr>
              <w:t>6. Ak pri uplatňovaní odsekov 1 a 2 podiely uvedené v nich klesnú pod 40% resp. 10% v prípade konglomerátov, na ktoré sa už vzťahuje doplňujúci dohľad, na nasledujúce tri roky platí nižší podiel vo výške 35% resp. 8%, aby sa zabránilo náhlej zmene režimu.</w:t>
            </w: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r>
              <w:rPr>
                <w:rFonts w:ascii="Times New Roman" w:hAnsi="Times New Roman" w:cs="Times New Roman"/>
                <w:sz w:val="18"/>
                <w:szCs w:val="18"/>
                <w:lang w:val="sk-SK"/>
              </w:rPr>
              <w:t>Podobne, ak pri uplatňovaní odseku 3 bilančný úhrn najmenšieho finančného sektora skupiny klesne pod 6 mld. EUR v prípade konglomerátov, na ktoré sa už vzťahuje doplňujúci dohľad, na nasledujúci tri roky platí nižšia suma 5 mld. EUR, aby sa zabránilo náhlej zmene režimu.</w:t>
            </w: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r>
              <w:rPr>
                <w:rFonts w:ascii="Times New Roman" w:hAnsi="Times New Roman" w:cs="Times New Roman"/>
                <w:sz w:val="18"/>
                <w:szCs w:val="18"/>
                <w:lang w:val="sk-SK"/>
              </w:rPr>
              <w:t>Koordinátor môže počas obdobia ustanoveného v tomto odseku so súhlasom ostatných príslušných kompetentných orgánov rozhodnúť, že prestanú platiť nižšie podiely alebo nižšia suma ustanovená v tomto odseku.</w:t>
            </w: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r>
              <w:rPr>
                <w:rFonts w:ascii="Times New Roman" w:hAnsi="Times New Roman" w:cs="Times New Roman"/>
                <w:sz w:val="18"/>
                <w:szCs w:val="18"/>
                <w:lang w:val="sk-SK"/>
              </w:rPr>
              <w:t>7. Výpočty ustanovené v tomto článku, týkajúce sa bilančného úhrnu, sa robia na základe agregovaného bilančného úhrnu subjektov skupiny, podľa ich ročnej účtovnej závierky. Na účel tohto výpočtu sa spoločnosti, v ktorých je vlastnená majetková účasť, berú do úvahy z hľadiska výšky ich bilančného úhrnu, ktorý zodpovedá agregovanému proporcionálnemu podielu vlastnenému skupinou. Keď sú však k dispozícii konsolidované účty, použijú sa namiesto agregovaných účtov.</w:t>
            </w: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r>
              <w:rPr>
                <w:rFonts w:ascii="Times New Roman" w:hAnsi="Times New Roman" w:cs="Times New Roman"/>
                <w:sz w:val="18"/>
                <w:szCs w:val="18"/>
                <w:lang w:val="sk-SK"/>
              </w:rPr>
              <w:t>Kapitálová primeranosť ustanovená v odsekoch 2 a 3 a počíta v s</w:t>
            </w:r>
            <w:r>
              <w:rPr>
                <w:rFonts w:ascii="Times New Roman" w:hAnsi="Times New Roman" w:cs="Times New Roman"/>
                <w:sz w:val="18"/>
                <w:szCs w:val="18"/>
                <w:lang w:val="sk-SK"/>
              </w:rPr>
              <w:t>úlade s ustanoveniami príslušných sektorových predpisov.</w:t>
            </w:r>
          </w:p>
          <w:p>
            <w:pPr>
              <w:spacing w:after="0"/>
              <w:ind w:firstLine="0"/>
              <w:rPr>
                <w:rFonts w:ascii="Times New Roman" w:hAnsi="Times New Roman" w:cs="Times New Roman"/>
                <w:sz w:val="18"/>
                <w:szCs w:val="18"/>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3"/>
              <w:jc w:val="left"/>
              <w:rPr>
                <w:rFonts w:ascii="Times New Roman" w:hAnsi="Times New Roman" w:cs="Times New Roman"/>
                <w:sz w:val="18"/>
                <w:szCs w:val="18"/>
                <w:lang w:val="de-DE"/>
              </w:rPr>
            </w:pPr>
            <w:r>
              <w:rPr>
                <w:rFonts w:ascii="Times New Roman" w:hAnsi="Times New Roman" w:cs="Times New Roman"/>
                <w:sz w:val="18"/>
                <w:szCs w:val="18"/>
                <w:lang w:val="de-DE"/>
              </w:rPr>
              <w:t>N</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X/2004 Z.z.</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 48e</w:t>
            </w:r>
          </w:p>
          <w:p>
            <w:pPr>
              <w:pStyle w:val="TABUKA-textsmernice"/>
              <w:jc w:val="left"/>
              <w:rPr>
                <w:rFonts w:ascii="Times New Roman" w:hAnsi="Times New Roman" w:cs="Times New Roman"/>
                <w:sz w:val="18"/>
                <w:szCs w:val="18"/>
              </w:rPr>
            </w:pPr>
            <w:r>
              <w:rPr>
                <w:rFonts w:ascii="Times New Roman" w:hAnsi="Times New Roman" w:cs="Times New Roman"/>
                <w:sz w:val="18"/>
                <w:szCs w:val="18"/>
              </w:rPr>
              <w:t>ods. 1</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ods. 2</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ods. 3</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ods. 4</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ods. 5</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ods. 6</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ods. 7</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ods. 7</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ods. 8</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ods. 9</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ods. 10</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ods. 11</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ods. 12</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ods. 13</w:t>
            </w:r>
          </w:p>
        </w:tc>
        <w:tc>
          <w:tcPr>
            <w:tcW w:w="52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BodyText2"/>
              <w:tabs>
                <w:tab w:val="left" w:pos="0"/>
              </w:tabs>
              <w:spacing w:after="0" w:line="240" w:lineRule="auto"/>
              <w:rPr>
                <w:rFonts w:ascii="Times New Roman" w:hAnsi="Times New Roman" w:cs="Times New Roman"/>
                <w:sz w:val="18"/>
                <w:szCs w:val="18"/>
                <w:lang w:val="sk-SK"/>
              </w:rPr>
            </w:pPr>
            <w:r>
              <w:rPr>
                <w:rFonts w:ascii="Times New Roman" w:hAnsi="Times New Roman" w:cs="Times New Roman"/>
                <w:sz w:val="18"/>
                <w:szCs w:val="18"/>
                <w:lang w:val="sk-SK"/>
              </w:rPr>
              <w:t xml:space="preserve">(1) </w:t>
            </w:r>
            <w:r>
              <w:rPr>
                <w:rFonts w:ascii="Times New Roman" w:hAnsi="Times New Roman" w:cs="Times New Roman"/>
                <w:sz w:val="18"/>
                <w:lang w:val="sk-SK"/>
              </w:rPr>
              <w:t>Činnosti sa považujú za sústredené vo finančnom sektore, ak podiel celkových aktív regulovaných osôb a neregulovaných osôb finančného sektora v skupine k celkovým aktívam skupiny ako celku je vyšší ako 40 %.</w:t>
            </w:r>
          </w:p>
          <w:p>
            <w:pPr>
              <w:pStyle w:val="BodyText2"/>
              <w:spacing w:after="0" w:line="240" w:lineRule="auto"/>
              <w:rPr>
                <w:rFonts w:ascii="Times New Roman" w:hAnsi="Times New Roman" w:cs="Times New Roman"/>
                <w:sz w:val="18"/>
                <w:szCs w:val="18"/>
                <w:lang w:val="sk-SK"/>
              </w:rPr>
            </w:pPr>
          </w:p>
          <w:p>
            <w:pPr>
              <w:pStyle w:val="BodyText2"/>
              <w:spacing w:after="0" w:line="240" w:lineRule="auto"/>
              <w:rPr>
                <w:rFonts w:ascii="Times New Roman" w:hAnsi="Times New Roman" w:cs="Times New Roman"/>
                <w:sz w:val="18"/>
                <w:szCs w:val="18"/>
                <w:lang w:val="sk-SK"/>
              </w:rPr>
            </w:pPr>
          </w:p>
          <w:p>
            <w:pPr>
              <w:pStyle w:val="BodyText2"/>
              <w:spacing w:line="240" w:lineRule="auto"/>
              <w:rPr>
                <w:rFonts w:ascii="Times New Roman" w:hAnsi="Times New Roman" w:cs="Times New Roman"/>
                <w:sz w:val="18"/>
                <w:lang w:val="sk-SK"/>
              </w:rPr>
            </w:pPr>
            <w:r>
              <w:rPr>
                <w:rFonts w:ascii="Times New Roman" w:hAnsi="Times New Roman" w:cs="Times New Roman"/>
                <w:sz w:val="18"/>
                <w:lang w:val="sk-SK"/>
              </w:rPr>
              <w:t xml:space="preserve">  (2) Činnosti vo finančných sektoroch sú významné, ak priemer z hodnôt podielov za každý finančný sektor je vyšší ako 10 %, pričom priemer sa vypočíta z týchto podielov :</w:t>
            </w:r>
          </w:p>
          <w:p>
            <w:pPr>
              <w:pStyle w:val="BodyText2"/>
              <w:spacing w:line="240" w:lineRule="auto"/>
              <w:rPr>
                <w:rFonts w:ascii="Times New Roman" w:hAnsi="Times New Roman" w:cs="Times New Roman"/>
                <w:sz w:val="18"/>
                <w:lang w:val="sk-SK"/>
              </w:rPr>
            </w:pPr>
            <w:r>
              <w:rPr>
                <w:rFonts w:ascii="Times New Roman" w:hAnsi="Times New Roman" w:cs="Times New Roman"/>
                <w:sz w:val="18"/>
                <w:lang w:val="sk-SK"/>
              </w:rPr>
              <w:t>a) z podielu celkových aktív jedného finančného sektora k celkovým aktívam osôb finančného sektora v skupine a</w:t>
            </w:r>
          </w:p>
          <w:p>
            <w:pPr>
              <w:pStyle w:val="BodyText2"/>
              <w:spacing w:line="240" w:lineRule="auto"/>
              <w:rPr>
                <w:rFonts w:ascii="Times New Roman" w:hAnsi="Times New Roman" w:cs="Times New Roman"/>
                <w:sz w:val="18"/>
                <w:lang w:val="sk-SK"/>
              </w:rPr>
            </w:pPr>
            <w:r>
              <w:rPr>
                <w:rFonts w:ascii="Times New Roman" w:hAnsi="Times New Roman" w:cs="Times New Roman"/>
                <w:sz w:val="18"/>
                <w:lang w:val="sk-SK"/>
              </w:rPr>
              <w:t>b) z podielu minimálnej výšky vlastných zdrojov jedného finančného sektora k súčtu minimálnej výšky vlastných zdrojov osôb finančného sektora v skupine.</w:t>
              <w:tab/>
            </w:r>
          </w:p>
          <w:p>
            <w:pPr>
              <w:pStyle w:val="BodyText2"/>
              <w:spacing w:after="0" w:line="240" w:lineRule="auto"/>
              <w:rPr>
                <w:rFonts w:ascii="Times New Roman" w:hAnsi="Times New Roman" w:cs="Times New Roman"/>
                <w:sz w:val="18"/>
                <w:szCs w:val="18"/>
                <w:lang w:val="sk-SK"/>
              </w:rPr>
            </w:pPr>
            <w:r>
              <w:rPr>
                <w:rFonts w:ascii="Times New Roman" w:hAnsi="Times New Roman" w:cs="Times New Roman"/>
                <w:sz w:val="18"/>
                <w:lang w:val="sk-SK"/>
              </w:rPr>
              <w:t>(3) Najmenší finančný sektor vo finančnom konglomeráte  je finančný sektor, ktorého priemer z podielov podľa odseku 2 je najnižší; najvýznamnejší  finančný sektor vo finančnom konglomeráte je finančný sektor, ktorého priemer z podielov podľa odseku 2 je najvyšší. Na účely výpočtu priemeru z podielov podľa odseku 2 a na meranie najmenšieho finančného sektora a najvýznamnejšieho finančného sektora sa bankový sektor a sektor poisťovníctva považujú za jeden sektor.</w:t>
            </w:r>
          </w:p>
          <w:p>
            <w:pPr>
              <w:pStyle w:val="BodyText2"/>
              <w:spacing w:after="0" w:line="240" w:lineRule="auto"/>
              <w:rPr>
                <w:rFonts w:ascii="Times New Roman" w:hAnsi="Times New Roman" w:cs="Times New Roman"/>
                <w:sz w:val="18"/>
                <w:szCs w:val="18"/>
                <w:lang w:val="sk-SK"/>
              </w:rPr>
            </w:pPr>
          </w:p>
          <w:p>
            <w:pPr>
              <w:pStyle w:val="BodyText2"/>
              <w:spacing w:line="240" w:lineRule="auto"/>
              <w:rPr>
                <w:rFonts w:ascii="Times New Roman" w:hAnsi="Times New Roman" w:cs="Times New Roman"/>
                <w:sz w:val="18"/>
                <w:lang w:val="sk-SK"/>
              </w:rPr>
            </w:pPr>
            <w:r>
              <w:rPr>
                <w:rFonts w:ascii="Times New Roman" w:hAnsi="Times New Roman" w:cs="Times New Roman"/>
                <w:sz w:val="18"/>
                <w:lang w:val="sk-SK"/>
              </w:rPr>
              <w:t xml:space="preserve">(4) Ak skupina  nedosiahne hodnotu priemeru z podielov podľa odseku 2, ale  celkové aktíva najmenšieho finančného sektora v skupine sú vyššie ako 6 000 000 000 EUR, úrad je oprávnený určiť po dohode s Národnou bankou Slovenska a s príslušnými orgánmi dohľadu členských štátov, zodpovednými za dohľad nad regulovanými osobami tvoriacimi finančný konglomerát, že skupina sa nebude považovať za finančný konglomerát  alebo že sa nebudú uplatňovať ustanovenia § 48g až 48j, ak vykonávanie doplňujúceho dohľadu nie je vhodné z hľadiska cieľov doplňujúceho dohľadu, najmä ak </w:t>
            </w:r>
          </w:p>
          <w:p>
            <w:pPr>
              <w:pStyle w:val="BodyText2"/>
              <w:spacing w:line="240" w:lineRule="auto"/>
              <w:rPr>
                <w:rFonts w:ascii="Times New Roman" w:hAnsi="Times New Roman" w:cs="Times New Roman"/>
                <w:sz w:val="18"/>
                <w:lang w:val="sk-SK"/>
              </w:rPr>
            </w:pPr>
          </w:p>
          <w:p>
            <w:pPr>
              <w:tabs>
                <w:tab w:val="left" w:pos="426"/>
              </w:tabs>
              <w:ind w:left="426" w:hanging="426"/>
              <w:rPr>
                <w:rFonts w:ascii="Times New Roman" w:hAnsi="Times New Roman" w:cs="Times New Roman"/>
                <w:sz w:val="18"/>
                <w:lang w:val="sk-SK"/>
              </w:rPr>
            </w:pPr>
            <w:r>
              <w:rPr>
                <w:rFonts w:ascii="Times New Roman" w:hAnsi="Times New Roman" w:cs="Times New Roman"/>
                <w:sz w:val="18"/>
                <w:lang w:val="sk-SK"/>
              </w:rPr>
              <w:t>a)</w:t>
              <w:tab/>
              <w:t xml:space="preserve">priemer z podielov podľa odseku 2 nepresiahne 5%, </w:t>
            </w:r>
          </w:p>
          <w:p>
            <w:pPr>
              <w:tabs>
                <w:tab w:val="left" w:pos="426"/>
              </w:tabs>
              <w:ind w:left="426" w:hanging="426"/>
              <w:rPr>
                <w:rFonts w:ascii="Times New Roman" w:hAnsi="Times New Roman" w:cs="Times New Roman"/>
                <w:sz w:val="18"/>
                <w:lang w:val="sk-SK"/>
              </w:rPr>
            </w:pPr>
            <w:r>
              <w:rPr>
                <w:rFonts w:ascii="Times New Roman" w:hAnsi="Times New Roman" w:cs="Times New Roman"/>
                <w:sz w:val="18"/>
                <w:lang w:val="sk-SK"/>
              </w:rPr>
              <w:t>b)</w:t>
              <w:tab/>
              <w:t xml:space="preserve">jeden z podielov podľa odseku 2 nepresiahne 5%, </w:t>
            </w:r>
          </w:p>
          <w:p>
            <w:pPr>
              <w:pStyle w:val="NormalWeb"/>
              <w:rPr>
                <w:rFonts w:ascii="Times New Roman" w:hAnsi="Times New Roman" w:cs="Times New Roman"/>
                <w:lang w:val="sk-SK"/>
              </w:rPr>
            </w:pPr>
          </w:p>
          <w:p>
            <w:pPr>
              <w:pStyle w:val="BodyText2"/>
              <w:spacing w:after="0" w:line="240" w:lineRule="auto"/>
              <w:rPr>
                <w:rFonts w:ascii="Times New Roman" w:hAnsi="Times New Roman" w:cs="Times New Roman"/>
                <w:sz w:val="18"/>
                <w:szCs w:val="18"/>
                <w:lang w:val="sk-SK"/>
              </w:rPr>
            </w:pPr>
            <w:r>
              <w:rPr>
                <w:rFonts w:ascii="Times New Roman" w:hAnsi="Times New Roman" w:cs="Times New Roman"/>
                <w:sz w:val="18"/>
                <w:lang w:val="sk-SK"/>
              </w:rPr>
              <w:t>c)   podiel na trhu  najmenšieho finančného sektora nepresiahne 5 % v žiadnom členskom štáte, meraný z hľadiska celkových aktív v bankovom sektore alebo v sektore investičných služieb a z hľadiska hrubej výšky predpísaného poistného poistných zmlúv uzatvorených v sektore poisťovníctva.</w:t>
            </w:r>
          </w:p>
          <w:p>
            <w:pPr>
              <w:pStyle w:val="BodyText2"/>
              <w:spacing w:after="0" w:line="240" w:lineRule="auto"/>
              <w:rPr>
                <w:rFonts w:ascii="Times New Roman" w:hAnsi="Times New Roman" w:cs="Times New Roman"/>
                <w:sz w:val="18"/>
                <w:szCs w:val="18"/>
                <w:lang w:val="sk-SK"/>
              </w:rPr>
            </w:pPr>
          </w:p>
          <w:p>
            <w:pPr>
              <w:pStyle w:val="BodyText2"/>
              <w:spacing w:after="0" w:line="240" w:lineRule="auto"/>
              <w:rPr>
                <w:rFonts w:ascii="Times New Roman" w:hAnsi="Times New Roman" w:cs="Times New Roman"/>
                <w:sz w:val="18"/>
                <w:szCs w:val="18"/>
                <w:lang w:val="sk-SK"/>
              </w:rPr>
            </w:pPr>
          </w:p>
          <w:p>
            <w:pPr>
              <w:pStyle w:val="BodyText2"/>
              <w:spacing w:after="0" w:line="240" w:lineRule="auto"/>
              <w:rPr>
                <w:rFonts w:ascii="Times New Roman" w:hAnsi="Times New Roman" w:cs="Times New Roman"/>
                <w:sz w:val="18"/>
                <w:szCs w:val="18"/>
                <w:lang w:val="sk-SK"/>
              </w:rPr>
            </w:pPr>
            <w:r>
              <w:rPr>
                <w:rFonts w:ascii="Times New Roman" w:hAnsi="Times New Roman" w:cs="Times New Roman"/>
                <w:sz w:val="18"/>
                <w:szCs w:val="18"/>
                <w:lang w:val="sk-SK"/>
              </w:rPr>
              <w:t xml:space="preserve">(5) </w:t>
            </w:r>
            <w:r>
              <w:rPr>
                <w:rFonts w:ascii="Times New Roman" w:hAnsi="Times New Roman" w:cs="Times New Roman"/>
                <w:sz w:val="18"/>
                <w:lang w:val="sk-SK"/>
              </w:rPr>
              <w:t>Rozhodnutia úradu prijaté podľa odseku 4 úrad oznámi aj Národnej banke Slovenska a  príslušným orgánom dohľadu iných členských štátov, zodpovedným za dohľad nad regulovanými osobami tvoriacimi finančný konglomerát.</w:t>
            </w:r>
          </w:p>
          <w:p>
            <w:pPr>
              <w:pStyle w:val="BodyTextIndent2"/>
              <w:spacing w:after="0" w:line="240" w:lineRule="auto"/>
              <w:ind w:left="0"/>
              <w:rPr>
                <w:rFonts w:ascii="Times New Roman" w:hAnsi="Times New Roman" w:cs="Times New Roman"/>
                <w:sz w:val="18"/>
                <w:szCs w:val="18"/>
                <w:lang w:val="sk-SK"/>
              </w:rPr>
            </w:pPr>
          </w:p>
          <w:p>
            <w:pPr>
              <w:pStyle w:val="BodyTextIndent2"/>
              <w:spacing w:line="240" w:lineRule="auto"/>
              <w:ind w:left="0"/>
              <w:rPr>
                <w:rFonts w:ascii="Times New Roman" w:hAnsi="Times New Roman" w:cs="Times New Roman"/>
                <w:sz w:val="18"/>
                <w:lang w:val="sk-SK"/>
              </w:rPr>
            </w:pPr>
            <w:r>
              <w:rPr>
                <w:rFonts w:ascii="Times New Roman" w:hAnsi="Times New Roman" w:cs="Times New Roman"/>
                <w:sz w:val="18"/>
                <w:szCs w:val="18"/>
                <w:lang w:val="sk-SK"/>
              </w:rPr>
              <w:t>(6)</w:t>
            </w:r>
            <w:r>
              <w:rPr>
                <w:rFonts w:ascii="Times New Roman" w:hAnsi="Times New Roman" w:cs="Times New Roman"/>
                <w:sz w:val="18"/>
                <w:szCs w:val="18"/>
                <w:lang w:val="sk-SK"/>
              </w:rPr>
              <w:t xml:space="preserve"> </w:t>
            </w:r>
            <w:r>
              <w:rPr>
                <w:rFonts w:ascii="Times New Roman" w:hAnsi="Times New Roman" w:cs="Times New Roman"/>
                <w:sz w:val="18"/>
                <w:lang w:val="sk-SK"/>
              </w:rPr>
              <w:t xml:space="preserve">Úrad je oprávnený po dohode s Národnou bankou Slovenska a  príslušnými orgánmi dohľadu iných členských štátov, zodpovednými za dohľad nad regulovanými osobami tvoriacimi finančný konglomerát, vylúčiť právnickú osobu z výpočtu podielov podľa odsekov  1 až </w:t>
            </w:r>
            <w:r>
              <w:rPr>
                <w:rFonts w:ascii="Times New Roman" w:hAnsi="Times New Roman" w:cs="Times New Roman"/>
                <w:sz w:val="18"/>
                <w:lang w:val="sk-SK"/>
              </w:rPr>
              <w:t xml:space="preserve">3, ak ide o osobu, </w:t>
            </w:r>
          </w:p>
          <w:p>
            <w:pPr>
              <w:pStyle w:val="BodyTextIndent2"/>
              <w:spacing w:line="240" w:lineRule="auto"/>
              <w:ind w:left="0"/>
              <w:rPr>
                <w:rFonts w:ascii="Times New Roman" w:hAnsi="Times New Roman" w:cs="Times New Roman"/>
                <w:sz w:val="18"/>
                <w:lang w:val="sk-SK"/>
              </w:rPr>
            </w:pPr>
            <w:r>
              <w:rPr>
                <w:rFonts w:ascii="Times New Roman" w:hAnsi="Times New Roman" w:cs="Times New Roman"/>
                <w:sz w:val="18"/>
                <w:lang w:val="sk-SK"/>
              </w:rPr>
              <w:t>a) ktorá má sídlo na území štátu, ktorý nie je členským štátom  a právny poriadok tohto štátu neumožňuje výmenu  informácií na účely výkonu doplňujúceho dohľadu,</w:t>
            </w:r>
          </w:p>
          <w:p>
            <w:pPr>
              <w:tabs>
                <w:tab w:val="left" w:pos="1134"/>
              </w:tabs>
              <w:rPr>
                <w:rFonts w:ascii="Times New Roman" w:hAnsi="Times New Roman" w:cs="Times New Roman"/>
                <w:sz w:val="18"/>
                <w:lang w:val="sk-SK"/>
              </w:rPr>
            </w:pPr>
            <w:r>
              <w:rPr>
                <w:rFonts w:ascii="Times New Roman" w:hAnsi="Times New Roman" w:cs="Times New Roman"/>
                <w:sz w:val="18"/>
                <w:lang w:val="sk-SK"/>
              </w:rPr>
              <w:t xml:space="preserve">b) ktorá má zanedbateľný význam na účely výkonu doplňujúceho dohľadu,  </w:t>
            </w:r>
          </w:p>
          <w:p>
            <w:pPr>
              <w:tabs>
                <w:tab w:val="left" w:pos="1500"/>
              </w:tabs>
              <w:spacing w:after="0"/>
              <w:rPr>
                <w:rFonts w:ascii="Times New Roman" w:hAnsi="Times New Roman" w:cs="Times New Roman"/>
                <w:sz w:val="18"/>
                <w:szCs w:val="18"/>
                <w:lang w:val="sk-SK"/>
              </w:rPr>
            </w:pPr>
            <w:r>
              <w:rPr>
                <w:rFonts w:ascii="Times New Roman" w:hAnsi="Times New Roman" w:cs="Times New Roman"/>
                <w:sz w:val="18"/>
                <w:lang w:val="sk-SK"/>
              </w:rPr>
              <w:t>c) ktorej zaradenie do finančného konglomerátu je nevhodné z hľadiska cieľov doplňujúceho dohľadu.</w:t>
            </w:r>
          </w:p>
          <w:p>
            <w:pPr>
              <w:pStyle w:val="BodyTextIndent2"/>
              <w:spacing w:after="0" w:line="240" w:lineRule="auto"/>
              <w:ind w:left="0"/>
              <w:rPr>
                <w:rFonts w:ascii="Times New Roman" w:hAnsi="Times New Roman" w:cs="Times New Roman"/>
                <w:sz w:val="18"/>
                <w:szCs w:val="18"/>
                <w:lang w:val="sk-SK"/>
              </w:rPr>
            </w:pPr>
          </w:p>
          <w:p>
            <w:pPr>
              <w:pStyle w:val="BodyTextIndent2"/>
              <w:spacing w:after="0" w:line="240" w:lineRule="auto"/>
              <w:ind w:left="0"/>
              <w:rPr>
                <w:rFonts w:ascii="Times New Roman" w:hAnsi="Times New Roman" w:cs="Times New Roman"/>
                <w:sz w:val="18"/>
                <w:szCs w:val="18"/>
                <w:lang w:val="sk-SK"/>
              </w:rPr>
            </w:pPr>
            <w:r>
              <w:rPr>
                <w:rFonts w:ascii="Times New Roman" w:hAnsi="Times New Roman" w:cs="Times New Roman"/>
                <w:sz w:val="18"/>
                <w:szCs w:val="18"/>
                <w:lang w:val="sk-SK"/>
              </w:rPr>
              <w:t xml:space="preserve">(7) </w:t>
            </w:r>
            <w:r>
              <w:rPr>
                <w:rFonts w:ascii="Times New Roman" w:hAnsi="Times New Roman" w:cs="Times New Roman"/>
                <w:sz w:val="18"/>
                <w:lang w:val="sk-SK"/>
              </w:rPr>
              <w:t>Úrad je oprávnený po vyjadrení Národnej banky Slovenska a  príslušných orgánov dohľadu iných členských štátov, zodpovedných za dohľad nad regulovanými osobami tvoriacimi finančný konglomerát, brať do úvahy hodnoty podielov podľa odsekov 1 a 2 za tri za sebou nasledujúce roky, aby sa zamedzilo náhlej zmene režimu výkonu doplňujúceho dohľadu a nebrať do úvahy hodnoty podielov podľa odsekov 1 a 2, ak nastanú v</w:t>
            </w:r>
            <w:r>
              <w:rPr>
                <w:rFonts w:ascii="Times New Roman" w:hAnsi="Times New Roman" w:cs="Times New Roman"/>
                <w:sz w:val="18"/>
                <w:lang w:val="sk-SK"/>
              </w:rPr>
              <w:t>ýznamné zmeny v štruktúre skupiny.</w:t>
            </w:r>
          </w:p>
          <w:p>
            <w:pPr>
              <w:pStyle w:val="BodyText2"/>
              <w:spacing w:after="0" w:line="240" w:lineRule="auto"/>
              <w:rPr>
                <w:rFonts w:ascii="Times New Roman" w:hAnsi="Times New Roman" w:cs="Times New Roman"/>
                <w:sz w:val="18"/>
                <w:szCs w:val="18"/>
                <w:lang w:val="sk-SK"/>
              </w:rPr>
            </w:pPr>
          </w:p>
          <w:p>
            <w:pPr>
              <w:pStyle w:val="BodyText2"/>
              <w:spacing w:after="0" w:line="240" w:lineRule="auto"/>
              <w:rPr>
                <w:rFonts w:ascii="Times New Roman" w:hAnsi="Times New Roman" w:cs="Times New Roman"/>
                <w:sz w:val="18"/>
                <w:szCs w:val="18"/>
                <w:lang w:val="sk-SK"/>
              </w:rPr>
            </w:pPr>
          </w:p>
          <w:p>
            <w:pPr>
              <w:pStyle w:val="BodyText2"/>
              <w:spacing w:after="0" w:line="240" w:lineRule="auto"/>
              <w:rPr>
                <w:rFonts w:ascii="Times New Roman" w:hAnsi="Times New Roman" w:cs="Times New Roman"/>
                <w:sz w:val="18"/>
                <w:szCs w:val="18"/>
                <w:lang w:val="sk-SK"/>
              </w:rPr>
            </w:pPr>
          </w:p>
          <w:p>
            <w:pPr>
              <w:pStyle w:val="BodyText2"/>
              <w:spacing w:after="0" w:line="240" w:lineRule="auto"/>
              <w:rPr>
                <w:rFonts w:ascii="Times New Roman" w:hAnsi="Times New Roman" w:cs="Times New Roman"/>
                <w:sz w:val="18"/>
                <w:szCs w:val="18"/>
                <w:lang w:val="sk-SK"/>
              </w:rPr>
            </w:pPr>
          </w:p>
          <w:p>
            <w:pPr>
              <w:pStyle w:val="BodyText2"/>
              <w:spacing w:after="0" w:line="240" w:lineRule="auto"/>
              <w:rPr>
                <w:rFonts w:ascii="Times New Roman" w:hAnsi="Times New Roman" w:cs="Times New Roman"/>
                <w:sz w:val="18"/>
                <w:szCs w:val="18"/>
                <w:lang w:val="sk-SK"/>
              </w:rPr>
            </w:pPr>
          </w:p>
          <w:p>
            <w:pPr>
              <w:pStyle w:val="BodyText2"/>
              <w:spacing w:after="0" w:line="240" w:lineRule="auto"/>
              <w:rPr>
                <w:rFonts w:ascii="Times New Roman" w:hAnsi="Times New Roman" w:cs="Times New Roman"/>
                <w:sz w:val="18"/>
                <w:szCs w:val="18"/>
                <w:lang w:val="sk-SK"/>
              </w:rPr>
            </w:pPr>
          </w:p>
          <w:p>
            <w:pPr>
              <w:pStyle w:val="BodyText2"/>
              <w:spacing w:after="0" w:line="240" w:lineRule="auto"/>
              <w:rPr>
                <w:rFonts w:ascii="Times New Roman" w:hAnsi="Times New Roman" w:cs="Times New Roman"/>
                <w:sz w:val="18"/>
                <w:szCs w:val="18"/>
                <w:lang w:val="sk-SK"/>
              </w:rPr>
            </w:pPr>
          </w:p>
          <w:p>
            <w:pPr>
              <w:pStyle w:val="BodyText2"/>
              <w:spacing w:after="0" w:line="240" w:lineRule="auto"/>
              <w:rPr>
                <w:rFonts w:ascii="Times New Roman" w:hAnsi="Times New Roman" w:cs="Times New Roman"/>
                <w:sz w:val="18"/>
                <w:lang w:val="sk-SK"/>
              </w:rPr>
            </w:pPr>
            <w:r>
              <w:rPr>
                <w:rFonts w:ascii="Times New Roman" w:hAnsi="Times New Roman" w:cs="Times New Roman"/>
                <w:sz w:val="18"/>
                <w:szCs w:val="18"/>
                <w:lang w:val="sk-SK"/>
              </w:rPr>
              <w:t xml:space="preserve">(7) </w:t>
            </w:r>
            <w:r>
              <w:rPr>
                <w:rFonts w:ascii="Times New Roman" w:hAnsi="Times New Roman" w:cs="Times New Roman"/>
                <w:sz w:val="18"/>
                <w:lang w:val="sk-SK"/>
              </w:rPr>
              <w:t>Úrad je oprávnený po vyjadrení Národnej banky Slovenska a  príslušných orgánov dohľadu iných členských štátov, zodpovedných za dohľad nad regulovanými osobami tvoriacimi finančný konglomerát, brať do úvahy hodnoty podielov podľa odsekov 1 a 2 za tri za sebou nasledujúce roky, aby sa zamedzilo náhlej zmene režimu výkonu doplňujúceho dohľadu a nebrať do úvahy hodnoty podielov podľa odsekov 1 a 2, ak nastanú významné zmeny v štruktúre skupiny.</w:t>
            </w:r>
          </w:p>
          <w:p>
            <w:pPr>
              <w:pStyle w:val="BodyText2"/>
              <w:spacing w:after="0" w:line="240" w:lineRule="auto"/>
              <w:rPr>
                <w:rFonts w:ascii="Times New Roman" w:hAnsi="Times New Roman" w:cs="Times New Roman"/>
                <w:sz w:val="18"/>
                <w:szCs w:val="18"/>
                <w:lang w:val="sk-SK"/>
              </w:rPr>
            </w:pPr>
          </w:p>
          <w:p>
            <w:pPr>
              <w:pStyle w:val="BodyText2"/>
              <w:spacing w:line="240" w:lineRule="auto"/>
              <w:rPr>
                <w:rFonts w:ascii="Times New Roman" w:hAnsi="Times New Roman" w:cs="Times New Roman"/>
                <w:sz w:val="18"/>
                <w:lang w:val="sk-SK"/>
              </w:rPr>
            </w:pPr>
            <w:r>
              <w:rPr>
                <w:rFonts w:ascii="Times New Roman" w:hAnsi="Times New Roman" w:cs="Times New Roman"/>
                <w:sz w:val="18"/>
                <w:szCs w:val="18"/>
                <w:lang w:val="sk-SK"/>
              </w:rPr>
              <w:t xml:space="preserve">(8) </w:t>
            </w:r>
            <w:r>
              <w:rPr>
                <w:rFonts w:ascii="Times New Roman" w:hAnsi="Times New Roman" w:cs="Times New Roman"/>
                <w:sz w:val="18"/>
                <w:lang w:val="sk-SK"/>
              </w:rPr>
              <w:t>Úrad je oprávnený v osobitne odôvodnených prípadoch a  po vyjadrení Národnej banky Slovenska a  príslušných orgánov dohľadu iných členských štátov, zodpovedných za dohľad nad regulovanými osobami tvoriacimi finančný konglomerát pri výpočte hodnoty podielov podľa odsekov 1 a 2 nahradiť alebo doplniť kritérium založené na celkových aktívach kritériami založenými na štruktúre príjmov a podsúvahových činnostiach, a to jedným alebo oboma súčasne, alebo pridať jedno alebo obidve tieto kritéria, ak majú osobitný význam z hľadiska cieľov doplňujúceho dohľadu.</w:t>
            </w:r>
          </w:p>
          <w:p>
            <w:pPr>
              <w:pStyle w:val="BodyText2"/>
              <w:spacing w:after="0" w:line="240" w:lineRule="auto"/>
              <w:rPr>
                <w:rFonts w:ascii="Times New Roman" w:hAnsi="Times New Roman" w:cs="Times New Roman"/>
                <w:sz w:val="18"/>
                <w:szCs w:val="18"/>
                <w:lang w:val="sk-SK"/>
              </w:rPr>
            </w:pPr>
            <w:r>
              <w:rPr>
                <w:rFonts w:ascii="Times New Roman" w:hAnsi="Times New Roman" w:cs="Times New Roman"/>
                <w:sz w:val="18"/>
                <w:lang w:val="sk-SK"/>
              </w:rPr>
              <w:t xml:space="preserve"> (9) Ak hodnota podielu podľa odseku 1 klesne pod 40 % alebo hodnota priemeru z podielov podľa odseku 2 klesne pod 10 % v prípade finančných konglomerátov, na ktoré sa už vzťahuje doplňujúci  dohľad,  na nasledujúce tri roky platí  pri výpočte podľa odseku 1 hodnota podielu vo výške 35 %  a pri výpočte podľa odseku 2 hodnota priemeru z podielov 8 %.</w:t>
            </w:r>
          </w:p>
          <w:p>
            <w:pPr>
              <w:pStyle w:val="BodyText2"/>
              <w:spacing w:after="0" w:line="240" w:lineRule="auto"/>
              <w:rPr>
                <w:rFonts w:ascii="Times New Roman" w:hAnsi="Times New Roman" w:cs="Times New Roman"/>
                <w:sz w:val="18"/>
                <w:szCs w:val="18"/>
                <w:lang w:val="sk-SK"/>
              </w:rPr>
            </w:pPr>
          </w:p>
          <w:p>
            <w:pPr>
              <w:pStyle w:val="BodyText2"/>
              <w:spacing w:after="0" w:line="240" w:lineRule="auto"/>
              <w:rPr>
                <w:rFonts w:ascii="Times New Roman" w:hAnsi="Times New Roman" w:cs="Times New Roman"/>
                <w:sz w:val="18"/>
                <w:szCs w:val="18"/>
                <w:lang w:val="sk-SK"/>
              </w:rPr>
            </w:pPr>
            <w:r>
              <w:rPr>
                <w:rFonts w:ascii="Times New Roman" w:hAnsi="Times New Roman" w:cs="Times New Roman"/>
                <w:sz w:val="18"/>
                <w:szCs w:val="18"/>
                <w:lang w:val="sk-SK"/>
              </w:rPr>
              <w:t xml:space="preserve">(10)  </w:t>
            </w:r>
            <w:r>
              <w:rPr>
                <w:rFonts w:ascii="Times New Roman" w:hAnsi="Times New Roman" w:cs="Times New Roman"/>
                <w:sz w:val="18"/>
                <w:lang w:val="sk-SK"/>
              </w:rPr>
              <w:t>Ak v prípade skupiny, nad ktorou sa už vykonáva doplňujúci dohľad, celkové aktíva najmenšieho finančného sektora skupiny klesnú pod 6 000 000 000 EUR, na nasledujúce tri roky platí pri výpočte podľa odseku 4 suma 5 000 000 000 EUR.</w:t>
            </w:r>
          </w:p>
          <w:p>
            <w:pPr>
              <w:pStyle w:val="BodyText2"/>
              <w:spacing w:after="0" w:line="240" w:lineRule="auto"/>
              <w:rPr>
                <w:rFonts w:ascii="Times New Roman" w:hAnsi="Times New Roman" w:cs="Times New Roman"/>
                <w:sz w:val="18"/>
                <w:szCs w:val="18"/>
                <w:lang w:val="sk-SK"/>
              </w:rPr>
            </w:pPr>
          </w:p>
          <w:p>
            <w:pPr>
              <w:pStyle w:val="BodyText2"/>
              <w:spacing w:after="0" w:line="240" w:lineRule="auto"/>
              <w:rPr>
                <w:rFonts w:ascii="Times New Roman" w:hAnsi="Times New Roman" w:cs="Times New Roman"/>
                <w:sz w:val="18"/>
                <w:szCs w:val="18"/>
                <w:lang w:val="sk-SK"/>
              </w:rPr>
            </w:pPr>
          </w:p>
          <w:p>
            <w:pPr>
              <w:pStyle w:val="BodyText2"/>
              <w:spacing w:after="0" w:line="240" w:lineRule="auto"/>
              <w:rPr>
                <w:rFonts w:ascii="Times New Roman" w:hAnsi="Times New Roman" w:cs="Times New Roman"/>
                <w:sz w:val="18"/>
                <w:szCs w:val="18"/>
                <w:lang w:val="sk-SK"/>
              </w:rPr>
            </w:pPr>
            <w:r>
              <w:rPr>
                <w:rFonts w:ascii="Times New Roman" w:hAnsi="Times New Roman" w:cs="Times New Roman"/>
                <w:sz w:val="18"/>
                <w:szCs w:val="18"/>
                <w:lang w:val="sk-SK"/>
              </w:rPr>
              <w:t>(11) Úrad môže so súhlasom Národnej banky Slovenska a  príslušných orgánov dohľadu členských štátov, zodpovedných za dohľad nad regulovanými osobami tvoriacimi finančný konglomerát počas obdobia ustanoveného v odsekoch 8 až 11 určiť, že prestanú platiť nižšie hodnoty podielov alebo nižšia suma ustanovená v odsekoch 8 až 11 pre finančné konglomeráty podliehajúce doplňujúcemu dohľadu.</w:t>
            </w:r>
          </w:p>
          <w:p>
            <w:pPr>
              <w:pStyle w:val="BodyText2"/>
              <w:spacing w:after="0" w:line="240" w:lineRule="auto"/>
              <w:rPr>
                <w:rFonts w:ascii="Times New Roman" w:hAnsi="Times New Roman" w:cs="Times New Roman"/>
                <w:sz w:val="18"/>
                <w:szCs w:val="18"/>
                <w:lang w:val="sk-SK"/>
              </w:rPr>
            </w:pPr>
          </w:p>
          <w:p>
            <w:pPr>
              <w:pStyle w:val="BodyText2"/>
              <w:spacing w:after="0" w:line="240" w:lineRule="auto"/>
              <w:rPr>
                <w:rFonts w:ascii="Times New Roman" w:hAnsi="Times New Roman" w:cs="Times New Roman"/>
                <w:sz w:val="18"/>
                <w:szCs w:val="18"/>
                <w:lang w:val="sk-SK"/>
              </w:rPr>
            </w:pPr>
            <w:r>
              <w:rPr>
                <w:rFonts w:ascii="Times New Roman" w:hAnsi="Times New Roman" w:cs="Times New Roman"/>
                <w:sz w:val="18"/>
                <w:szCs w:val="18"/>
                <w:lang w:val="sk-SK"/>
              </w:rPr>
              <w:t xml:space="preserve">(12) </w:t>
            </w:r>
            <w:r>
              <w:rPr>
                <w:rFonts w:ascii="Times New Roman" w:hAnsi="Times New Roman" w:cs="Times New Roman"/>
                <w:sz w:val="18"/>
                <w:lang w:val="sk-SK"/>
              </w:rPr>
              <w:t>Výpočty týkajúce sa celkových aktív sa robia súhrnom celkových aktív osôb v skupine z ich ročných účtovných závierok. Na účel tohto výpočtu sa pre osoby, v ktorých je vlastnená majetková účasť, berie do úvahy výška podielu vlastneného v danej osobe. Ak boli zostavené konsolidované účtovné závierky, tieto sa použijú namiesto súhrnu údajov.</w:t>
            </w:r>
          </w:p>
          <w:p>
            <w:pPr>
              <w:pStyle w:val="BodyText2"/>
              <w:spacing w:after="0" w:line="240" w:lineRule="auto"/>
              <w:rPr>
                <w:rFonts w:ascii="Times New Roman" w:hAnsi="Times New Roman" w:cs="Times New Roman"/>
                <w:sz w:val="18"/>
                <w:szCs w:val="18"/>
                <w:lang w:val="sk-SK"/>
              </w:rPr>
            </w:pPr>
          </w:p>
          <w:p>
            <w:pPr>
              <w:pStyle w:val="BodyText2"/>
              <w:spacing w:after="0" w:line="240" w:lineRule="auto"/>
              <w:rPr>
                <w:rFonts w:ascii="Times New Roman" w:hAnsi="Times New Roman" w:cs="Times New Roman"/>
                <w:sz w:val="18"/>
                <w:szCs w:val="18"/>
                <w:lang w:val="sk-SK"/>
              </w:rPr>
            </w:pPr>
          </w:p>
          <w:p>
            <w:pPr>
              <w:pStyle w:val="BodyText2"/>
              <w:spacing w:after="0" w:line="240" w:lineRule="auto"/>
              <w:rPr>
                <w:rFonts w:ascii="Times New Roman" w:hAnsi="Times New Roman" w:cs="Times New Roman"/>
                <w:bCs/>
                <w:sz w:val="18"/>
                <w:szCs w:val="18"/>
                <w:lang w:val="sk-SK"/>
              </w:rPr>
            </w:pPr>
            <w:r>
              <w:rPr>
                <w:rFonts w:ascii="Times New Roman" w:hAnsi="Times New Roman" w:cs="Times New Roman"/>
                <w:sz w:val="18"/>
                <w:szCs w:val="18"/>
                <w:lang w:val="sk-SK"/>
              </w:rPr>
              <w:t xml:space="preserve">(13) </w:t>
            </w:r>
            <w:r>
              <w:rPr>
                <w:rFonts w:ascii="Times New Roman" w:hAnsi="Times New Roman" w:cs="Times New Roman"/>
                <w:sz w:val="18"/>
                <w:lang w:val="sk-SK"/>
              </w:rPr>
              <w:t>Minimálna výška vlastných zdrojov poisťovne alebo zaisťovne na účely doplňujúceho dohľadu musí dosahovať výšku požadovanej miery solventnosti § 31 ods. 3.</w:t>
            </w:r>
          </w:p>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jc w:val="left"/>
              <w:rPr>
                <w:rFonts w:ascii="Times New Roman" w:hAnsi="Times New Roman" w:cs="Times New Roman"/>
                <w:sz w:val="18"/>
                <w:szCs w:val="18"/>
              </w:rPr>
            </w:pPr>
            <w:r>
              <w:rPr>
                <w:rFonts w:ascii="Times New Roman" w:hAnsi="Times New Roman" w:cs="Times New Roman"/>
                <w:sz w:val="18"/>
                <w:szCs w:val="18"/>
              </w:rPr>
              <w:t>Ú</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jc w:val="left"/>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Uvedené vyplýva z ust. § 48c(1) ako aj zákona o bankách.</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tc>
        <w:tc>
          <w:tcPr>
            <w:tcW w:w="71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jc w:val="left"/>
              <w:rPr>
                <w:rFonts w:ascii="Times New Roman" w:hAnsi="Times New Roman" w:cs="Times New Roman"/>
                <w:sz w:val="18"/>
                <w:szCs w:val="18"/>
              </w:rPr>
            </w:pPr>
          </w:p>
        </w:tc>
      </w:tr>
      <w:tr>
        <w:tblPrEx>
          <w:tblW w:w="15737"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Čl. 4</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spacing w:after="0"/>
              <w:rPr>
                <w:rFonts w:ascii="Times New Roman" w:hAnsi="Times New Roman" w:cs="Times New Roman"/>
                <w:b/>
                <w:sz w:val="18"/>
                <w:szCs w:val="18"/>
                <w:lang w:val="sk-SK"/>
              </w:rPr>
            </w:pPr>
            <w:r>
              <w:rPr>
                <w:rFonts w:ascii="Times New Roman" w:hAnsi="Times New Roman" w:cs="Times New Roman"/>
                <w:b/>
                <w:sz w:val="18"/>
                <w:szCs w:val="18"/>
                <w:lang w:val="sk-SK"/>
              </w:rPr>
              <w:t>Identifikácia finančného konglomerátu</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1 Príslušné orgány, ktoré majú oprávnené regulované subjekty, identifikujú na základe článkov 2, 3 a 5 akúkoľvek skupinu, ktorá patrí do predmetu tejto skupiny.</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Na tento účel:</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príslušné orgány, ktoré majú oprávnené regulované subjekty v skupine, v prípade potreby úzko spolupracujú</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 ak je príslušný orgán toho názoru, že regulovaný subjekt oprávnený týmto príslušným orgánom je členom skupiny, ktorá môže byť finančným konglomerátom, ktorý ešte nebol identifikovaný podľa tejto smernice, kompetentný orgán oznámi svoj názor ostatným dotknutým príslušným orgánom.</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2.   Koordinátor vymenovaný podľa článku 10 informuje materskú spoločnosť na vrchole skupiny, alebo ak materská spoločnosť neexistuje, regulovaný subjekt s najväčším bilančným úhrnom v najdôležitejšom finančnom sektore skupiny, že táto skupina bola identifikovaná ako finančný konglomerát a že bol vymenovaný koordinátor. Koordinátor informuje taktiež príslušné orgány, ktoré majú oprávnené regulované subjekty v skupine a príslušné orgány členského štátu, v ktorom má sídlo zmiešaná finančná spoločnosť, ako aj Komisia.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3"/>
              <w:rPr>
                <w:rFonts w:ascii="Times New Roman" w:hAnsi="Times New Roman" w:cs="Times New Roman"/>
                <w:sz w:val="18"/>
                <w:szCs w:val="18"/>
                <w:lang w:val="de-DE"/>
              </w:rPr>
            </w:pPr>
            <w:r>
              <w:rPr>
                <w:rFonts w:ascii="Times New Roman" w:hAnsi="Times New Roman" w:cs="Times New Roman"/>
                <w:sz w:val="18"/>
                <w:szCs w:val="18"/>
                <w:lang w:val="de-DE"/>
              </w:rPr>
              <w:t>N</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X/2004 Z.z</w:t>
            </w: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48d</w:t>
            </w:r>
          </w:p>
          <w:p>
            <w:pPr>
              <w:pStyle w:val="TABUKA-textsmernice"/>
              <w:rPr>
                <w:rFonts w:ascii="Times New Roman" w:hAnsi="Times New Roman" w:cs="Times New Roman"/>
                <w:sz w:val="18"/>
                <w:szCs w:val="18"/>
              </w:rPr>
            </w:pPr>
            <w:r>
              <w:rPr>
                <w:rFonts w:ascii="Times New Roman" w:hAnsi="Times New Roman" w:cs="Times New Roman"/>
                <w:sz w:val="18"/>
                <w:szCs w:val="18"/>
              </w:rPr>
              <w:t>ods. 1</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ods. 2</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ods. 3</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52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(1) </w:t>
            </w:r>
            <w:r>
              <w:rPr>
                <w:rFonts w:ascii="Times New Roman" w:hAnsi="Times New Roman" w:cs="Times New Roman"/>
                <w:sz w:val="18"/>
                <w:lang w:val="sk-SK"/>
              </w:rPr>
              <w:t>Úrad v spolupráci s Národnou bankou Slovenska a  príslušnými orgánmi dohľadu iných členských štátov, zodpovednými za dohľad nad regulovanými osobami tvoriacimi finančný konglomerát určí na základe kritérií podľa § 48e, ktoré finančné konglomeráty podliehajú doplňujúcemu dohľadu.</w:t>
            </w:r>
            <w:r>
              <w:rPr>
                <w:rFonts w:ascii="Times New Roman" w:hAnsi="Times New Roman" w:cs="Times New Roman"/>
                <w:lang w:val="sk-SK"/>
              </w:rPr>
              <w:t xml:space="preserve">  </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(2) </w:t>
            </w:r>
            <w:r>
              <w:rPr>
                <w:rFonts w:ascii="Times New Roman" w:hAnsi="Times New Roman" w:cs="Times New Roman"/>
                <w:sz w:val="18"/>
                <w:lang w:val="sk-SK"/>
              </w:rPr>
              <w:t>Úrad oznámi Národnej banke Slovenska a  príslušným orgánom dohľadu iných členských štátov, zodpovedným za dohľad nad regulovanými osobami tvoriacimi finančný konglomerát každý ďalší návrh na zaradenie  finančného konglomerátu do doplňujúceho dohľadu.</w:t>
            </w:r>
          </w:p>
          <w:p>
            <w:pPr>
              <w:pStyle w:val="BodyText2"/>
              <w:spacing w:after="0" w:line="240" w:lineRule="auto"/>
              <w:rPr>
                <w:rFonts w:ascii="Times New Roman" w:hAnsi="Times New Roman" w:cs="Times New Roman"/>
                <w:sz w:val="18"/>
                <w:szCs w:val="18"/>
                <w:lang w:val="sk-SK"/>
              </w:rPr>
            </w:pPr>
          </w:p>
          <w:p>
            <w:pPr>
              <w:pStyle w:val="BodyText2"/>
              <w:spacing w:after="0" w:line="240" w:lineRule="auto"/>
              <w:rPr>
                <w:rFonts w:ascii="Times New Roman" w:hAnsi="Times New Roman" w:cs="Times New Roman"/>
                <w:sz w:val="18"/>
                <w:szCs w:val="18"/>
                <w:lang w:val="sk-SK"/>
              </w:rPr>
            </w:pPr>
            <w:r>
              <w:rPr>
                <w:rFonts w:ascii="Times New Roman" w:hAnsi="Times New Roman" w:cs="Times New Roman"/>
                <w:sz w:val="18"/>
                <w:szCs w:val="18"/>
                <w:lang w:val="sk-SK"/>
              </w:rPr>
              <w:t xml:space="preserve">(3) </w:t>
            </w:r>
            <w:r>
              <w:rPr>
                <w:rFonts w:ascii="Times New Roman" w:hAnsi="Times New Roman" w:cs="Times New Roman"/>
                <w:sz w:val="18"/>
                <w:lang w:val="sk-SK"/>
              </w:rPr>
              <w:t>Úrad oznámi právnickej osobe, ktorá ovláda finančný konglomerát podľa § 48c ods. 1 alebo poisťovni alebo zaisťovni s najväčšími celkovými aktívami, ak  najvýznamnejším finančným sektorom finančného konglomerátu je sektor poisťovníctva, že tento finančný konglomerát bude podliehať doplňujúcemu dohľadu. Úrad o tom informuje aj Národnú banku Slovenska a príslušné orgány dohľadu iných členských štátov, v ktorom má sídlo zmiešaná finančná holdingová spoločnosť a komisiu.</w:t>
            </w:r>
          </w:p>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Ú</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71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7"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Čl. 5</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spacing w:after="0"/>
              <w:rPr>
                <w:rFonts w:ascii="Times New Roman" w:hAnsi="Times New Roman" w:cs="Times New Roman"/>
                <w:b/>
                <w:sz w:val="18"/>
                <w:szCs w:val="18"/>
                <w:lang w:val="sk-SK"/>
              </w:rPr>
            </w:pPr>
            <w:r>
              <w:rPr>
                <w:rFonts w:ascii="Times New Roman" w:hAnsi="Times New Roman" w:cs="Times New Roman"/>
                <w:b/>
                <w:sz w:val="18"/>
                <w:szCs w:val="18"/>
                <w:lang w:val="sk-SK"/>
              </w:rPr>
              <w:t>Predmet doplňujúceho dohľadu nad regulovanými subjektami ustanovenými v článku 1</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1. Členské štáty, bez dotknutia ustanovení o dohľade, ktoré sa nachádzajú v sektorových predpisoch zabezpečia doplňujúci dohľad nad regulovanými subjektami, ktorý sa ustanovuje v článku 1, v rozsahu a spôsobom, ktorý sa predpisuje v tejto smernici.</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2.   Doplňujúci dohľad na úrovni finančného konglomerátu v súlade s článkami 6 až 17 sa vzťahuje na tieto regulované subj</w:t>
            </w:r>
            <w:r>
              <w:rPr>
                <w:rFonts w:ascii="Times New Roman" w:hAnsi="Times New Roman" w:cs="Times New Roman"/>
                <w:sz w:val="18"/>
                <w:szCs w:val="18"/>
                <w:lang w:val="sk-SK"/>
              </w:rPr>
              <w:t>ekty:</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(a) každý regulovaný subjekt, ktorý je na vrchole finančného konglomerátu;</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(b) každý regulovaný subjekt, ktorého materská spoločnosť je zmiešaná finančná holdingová spoločnosť, ktorej sídlo sa nachádza v Spoločenstve;</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(c) každý regulovaný subjekt prepojený so subjektom iného finančného sektora vzťahom v zmysle článku 12 ods. 1 smernice 83/349/EHS.</w:t>
            </w:r>
          </w:p>
          <w:p>
            <w:pPr>
              <w:spacing w:after="0"/>
              <w:rPr>
                <w:rFonts w:ascii="Times New Roman" w:hAnsi="Times New Roman" w:cs="Times New Roman"/>
                <w:sz w:val="18"/>
                <w:szCs w:val="18"/>
                <w:lang w:val="sk-SK"/>
              </w:rPr>
            </w:pPr>
          </w:p>
          <w:p>
            <w:pPr>
              <w:pStyle w:val="NormalWeb"/>
              <w:rPr>
                <w:rFonts w:ascii="Times New Roman" w:hAnsi="Times New Roman" w:cs="Times New Roman"/>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Ak finančný konglomerát je podskupinou iného finančného konglomerátu, ktorý spĺňa požiadavky prvého pododseku, členské štáty môžu uplatňovať články 6 až 17 len na regulované subjekty tejto druhej skupiny a každý odkaz v tejto smernici na termíny skupina a finančný konglomerát sa potom bude chápať ako vzťahujúci sa na túto druhú skupinu.</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3.Na každý regulovaný subjekt, na ktorý sa nevzťahuje doplňujúci dohľad podľa odseku 2, ktorého materská spoločnosť je regulovaným subjektom alebo zmiešanou finančnou holdingovou spoločnosťou so sídlom mimo Spoločenstva, sa vzťahuje doplňujúci dohľad na úrovni finančného konglomerátu v rozsahu a spôsobom predpísaným v článku 18.</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4.   Ak určité osoby majú majetkovú účasť alebo kapitálové prepojenie v jednom alebo viacerých regulovaných subjektoch alebo uplatňujú významný vplyv vo vzťahu k týmto subjektom bez vlastnenia majetkovej účastni alebo kapitálového prepojenia iný ako prípady ustanovené v odsekoch 2 a 3, príslušné kompetentné orgány určia na základe spoločnej dohody a v súlade s národným zákonodarstvom, či a v akom rozsahu treba vykonávať doplňujúci dohľad nad regulovanými subjektami tak, ako keby predstavovali finančný konglomerát.</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Aby sa mohol uplatňovať takýto doplňujúci dohľad, prinajmenšom jeden zo subjektov musí byť regulovaným subjektom ustanoveným v článku 1 a musia byť splnené podmienky ustanovené v článku 2 ods. 14 písm. d a e. Príslušné kompetentné orgány prijímajú svoje rozhodnutie berúc do úvahy ciele doplňujúceho dohľadu ustanovené v tejto smernici.</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Príslušné orgány na účel uplatnenia prvého pododseku vo vzťahu k „družstevným skupinám“ musia brať do úvahy verejnú finančnú zodpovednosť týchto skupín vo vzťahu k ostatným finančným subjektom.</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5.  Uplatňovanie doplňujúceho dohľadu na úrovni finančného konglomerátu, bez dotknutia článku 13, nijako neznamená, že príslušné orgány sú povinné vykonávať úlohu dohľadu vo vzťahu k zmiešaným finančným holdingovým spoločnostiam, regulovaným subjektom tretích štátov vo finančnom konglomeráte alebo neregulovanými subjektom tretích štátov vo finančnom konglomeráte na samostatnom základe.</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3"/>
              <w:rPr>
                <w:rFonts w:ascii="Times New Roman" w:hAnsi="Times New Roman" w:cs="Times New Roman"/>
                <w:sz w:val="18"/>
                <w:szCs w:val="18"/>
                <w:lang w:val="de-DE"/>
              </w:rPr>
            </w:pPr>
            <w:r>
              <w:rPr>
                <w:rFonts w:ascii="Times New Roman" w:hAnsi="Times New Roman" w:cs="Times New Roman"/>
                <w:sz w:val="18"/>
                <w:szCs w:val="18"/>
                <w:lang w:val="de-DE"/>
              </w:rPr>
              <w:t>N</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X/2004 Z.z.</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48a</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48f</w:t>
            </w:r>
          </w:p>
          <w:p>
            <w:pPr>
              <w:pStyle w:val="TABUKA-textsmernice"/>
              <w:rPr>
                <w:rFonts w:ascii="Times New Roman" w:hAnsi="Times New Roman" w:cs="Times New Roman"/>
                <w:sz w:val="18"/>
                <w:szCs w:val="18"/>
              </w:rPr>
            </w:pPr>
            <w:r>
              <w:rPr>
                <w:rFonts w:ascii="Times New Roman" w:hAnsi="Times New Roman" w:cs="Times New Roman"/>
                <w:sz w:val="18"/>
                <w:szCs w:val="18"/>
              </w:rPr>
              <w:t>ods. 1</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48f</w:t>
            </w:r>
          </w:p>
          <w:p>
            <w:pPr>
              <w:pStyle w:val="TABUKA-textsmernice"/>
              <w:rPr>
                <w:rFonts w:ascii="Times New Roman" w:hAnsi="Times New Roman" w:cs="Times New Roman"/>
                <w:sz w:val="18"/>
                <w:szCs w:val="18"/>
              </w:rPr>
            </w:pPr>
            <w:r>
              <w:rPr>
                <w:rFonts w:ascii="Times New Roman" w:hAnsi="Times New Roman" w:cs="Times New Roman"/>
                <w:sz w:val="18"/>
                <w:szCs w:val="18"/>
              </w:rPr>
              <w:t>ods. 2</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48f</w:t>
            </w:r>
          </w:p>
          <w:p>
            <w:pPr>
              <w:pStyle w:val="TABUKA-textsmernice"/>
              <w:rPr>
                <w:rFonts w:ascii="Times New Roman" w:hAnsi="Times New Roman" w:cs="Times New Roman"/>
                <w:sz w:val="18"/>
                <w:szCs w:val="18"/>
              </w:rPr>
            </w:pPr>
            <w:r>
              <w:rPr>
                <w:rFonts w:ascii="Times New Roman" w:hAnsi="Times New Roman" w:cs="Times New Roman"/>
                <w:sz w:val="18"/>
                <w:szCs w:val="18"/>
              </w:rPr>
              <w:t>ods. 3</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48f</w:t>
            </w:r>
          </w:p>
          <w:p>
            <w:pPr>
              <w:pStyle w:val="TABUKA-textsmernice"/>
              <w:rPr>
                <w:rFonts w:ascii="Times New Roman" w:hAnsi="Times New Roman" w:cs="Times New Roman"/>
                <w:sz w:val="18"/>
                <w:szCs w:val="18"/>
              </w:rPr>
            </w:pPr>
            <w:r>
              <w:rPr>
                <w:rFonts w:ascii="Times New Roman" w:hAnsi="Times New Roman" w:cs="Times New Roman"/>
                <w:sz w:val="18"/>
                <w:szCs w:val="18"/>
              </w:rPr>
              <w:t>ods. 5</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48a</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52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spacing w:after="0"/>
              <w:rPr>
                <w:rFonts w:ascii="Times New Roman" w:hAnsi="Times New Roman" w:cs="Times New Roman"/>
                <w:sz w:val="18"/>
                <w:szCs w:val="18"/>
                <w:lang w:val="sk-SK"/>
              </w:rPr>
            </w:pPr>
            <w:r>
              <w:rPr>
                <w:rFonts w:ascii="Times New Roman" w:hAnsi="Times New Roman" w:cs="Times New Roman"/>
                <w:sz w:val="18"/>
                <w:lang w:val="sk-SK"/>
              </w:rPr>
              <w:t xml:space="preserve">Doplňujúcim dohľadom je sledovanie a regulácia rizík </w:t>
            </w:r>
            <w:r>
              <w:rPr>
                <w:rFonts w:ascii="Times New Roman" w:hAnsi="Times New Roman" w:cs="Times New Roman"/>
                <w:color w:val="000000"/>
                <w:sz w:val="18"/>
                <w:szCs w:val="20"/>
                <w:lang w:val="sk-SK"/>
              </w:rPr>
              <w:t xml:space="preserve">finančných  konglomerátov, </w:t>
            </w:r>
            <w:r>
              <w:rPr>
                <w:rFonts w:ascii="Times New Roman" w:hAnsi="Times New Roman" w:cs="Times New Roman"/>
                <w:sz w:val="18"/>
                <w:lang w:val="sk-SK"/>
              </w:rPr>
              <w:t>ktorých súčasťou sú poisťovne alebo zaisťovne, obchodníci s cennými papiermi, banky, inštitúcie elektronických peňazí, správcovské spoločnosti, na účely obmedzenia rizík, ktorým je poisťovňa, zaisťovňa alebo iná regulovaná osoba vystavená z dôvodu svojej účasti vo finančnom konglomeráte.</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BodyText2"/>
              <w:spacing w:after="0" w:line="240" w:lineRule="auto"/>
              <w:rPr>
                <w:rFonts w:ascii="Times New Roman" w:hAnsi="Times New Roman" w:cs="Times New Roman"/>
                <w:sz w:val="18"/>
                <w:szCs w:val="18"/>
                <w:lang w:val="sk-SK"/>
              </w:rPr>
            </w:pPr>
            <w:r>
              <w:rPr>
                <w:rFonts w:ascii="Times New Roman" w:hAnsi="Times New Roman" w:cs="Times New Roman"/>
                <w:sz w:val="18"/>
                <w:szCs w:val="18"/>
                <w:lang w:val="sk-SK"/>
              </w:rPr>
              <w:t xml:space="preserve">(1) </w:t>
            </w:r>
            <w:r>
              <w:rPr>
                <w:rFonts w:ascii="Times New Roman" w:hAnsi="Times New Roman" w:cs="Times New Roman"/>
                <w:sz w:val="18"/>
                <w:lang w:val="sk-SK"/>
              </w:rPr>
              <w:t>Poisťovňa alebo zaisťovňa, ktorá je súčasťou finančného konglomerátu je povinná dodržiavať podmienky podľa § 48g až 48j, ak</w:t>
            </w:r>
          </w:p>
          <w:p>
            <w:pPr>
              <w:tabs>
                <w:tab w:val="left" w:pos="426"/>
              </w:tabs>
              <w:rPr>
                <w:rFonts w:ascii="Times New Roman" w:hAnsi="Times New Roman" w:cs="Times New Roman"/>
                <w:sz w:val="18"/>
                <w:lang w:val="sk-SK"/>
              </w:rPr>
            </w:pPr>
            <w:r>
              <w:rPr>
                <w:rFonts w:ascii="Times New Roman" w:hAnsi="Times New Roman" w:cs="Times New Roman"/>
                <w:sz w:val="18"/>
                <w:lang w:val="sk-SK"/>
              </w:rPr>
              <w:t>a)  ovláda finančný konglomerát,</w:t>
            </w:r>
          </w:p>
          <w:p>
            <w:pPr>
              <w:tabs>
                <w:tab w:val="left" w:pos="0"/>
              </w:tabs>
              <w:rPr>
                <w:rFonts w:ascii="Times New Roman" w:hAnsi="Times New Roman" w:cs="Times New Roman"/>
                <w:sz w:val="18"/>
                <w:lang w:val="sk-SK"/>
              </w:rPr>
            </w:pPr>
            <w:r>
              <w:rPr>
                <w:rFonts w:ascii="Times New Roman" w:hAnsi="Times New Roman" w:cs="Times New Roman"/>
                <w:sz w:val="18"/>
                <w:lang w:val="sk-SK"/>
              </w:rPr>
              <w:t>b) jej materskou spoločnosťou je  zmiešaná finančná holdingová spoločnosť, ktorej sídlo sa nachádza v inom členskom štáte,</w:t>
            </w:r>
          </w:p>
          <w:p>
            <w:pPr>
              <w:tabs>
                <w:tab w:val="left" w:pos="0"/>
                <w:tab w:val="left" w:pos="1500"/>
              </w:tabs>
              <w:rPr>
                <w:rFonts w:ascii="Times New Roman" w:hAnsi="Times New Roman" w:cs="Times New Roman"/>
                <w:sz w:val="18"/>
                <w:lang w:val="sk-SK"/>
              </w:rPr>
            </w:pPr>
            <w:r>
              <w:rPr>
                <w:rFonts w:ascii="Times New Roman" w:hAnsi="Times New Roman" w:cs="Times New Roman"/>
                <w:sz w:val="18"/>
                <w:lang w:val="sk-SK"/>
              </w:rPr>
              <w:t>c) je prepojená s právnickou osobou iného finančného sektora vzťahom podľa § 3 písm. f) tretieho bodu a štvrtého bodu, alebo</w:t>
            </w:r>
          </w:p>
          <w:p>
            <w:pPr>
              <w:tabs>
                <w:tab w:val="left" w:pos="426"/>
              </w:tabs>
              <w:spacing w:after="0"/>
              <w:rPr>
                <w:rFonts w:ascii="Times New Roman" w:hAnsi="Times New Roman" w:cs="Times New Roman"/>
                <w:sz w:val="18"/>
                <w:szCs w:val="18"/>
                <w:lang w:val="sk-SK"/>
              </w:rPr>
            </w:pPr>
            <w:r>
              <w:rPr>
                <w:rFonts w:ascii="Times New Roman" w:hAnsi="Times New Roman" w:cs="Times New Roman"/>
                <w:sz w:val="18"/>
                <w:lang w:val="sk-SK"/>
              </w:rPr>
              <w:t>d) jej materskou spoločnosťou je regulovaná osoba alebo zmiešaná finančná holdingová spoločnosť so sídlom v štáte, ktorý nie je členským štátom,  ak  je v tomto štáte vykonávaný dohľad nad finančnými konglomerátmi, ktorý je rovnocenný s doplňujúcim dohľadom podľa tohto zákona.</w:t>
            </w:r>
          </w:p>
          <w:p>
            <w:pPr>
              <w:pStyle w:val="BodyText2"/>
              <w:spacing w:after="0" w:line="240" w:lineRule="auto"/>
              <w:rPr>
                <w:rFonts w:ascii="Times New Roman" w:hAnsi="Times New Roman" w:cs="Times New Roman"/>
                <w:sz w:val="18"/>
                <w:szCs w:val="18"/>
                <w:lang w:val="sk-SK"/>
              </w:rPr>
            </w:pPr>
          </w:p>
          <w:p>
            <w:pPr>
              <w:pStyle w:val="BodyText2"/>
              <w:spacing w:after="0" w:line="240" w:lineRule="auto"/>
              <w:rPr>
                <w:rFonts w:ascii="Times New Roman" w:hAnsi="Times New Roman" w:cs="Times New Roman"/>
                <w:sz w:val="18"/>
                <w:szCs w:val="18"/>
                <w:lang w:val="sk-SK"/>
              </w:rPr>
            </w:pPr>
            <w:r>
              <w:rPr>
                <w:rFonts w:ascii="Times New Roman" w:hAnsi="Times New Roman" w:cs="Times New Roman"/>
                <w:sz w:val="18"/>
                <w:szCs w:val="18"/>
                <w:lang w:val="sk-SK"/>
              </w:rPr>
              <w:t xml:space="preserve">(2) </w:t>
            </w:r>
            <w:r>
              <w:rPr>
                <w:rFonts w:ascii="Times New Roman" w:hAnsi="Times New Roman" w:cs="Times New Roman"/>
                <w:sz w:val="18"/>
                <w:lang w:val="sk-SK"/>
              </w:rPr>
              <w:t>Ak je finančný konglomerát  podskupinou iného finančného konglomerátu, ktorého súčasťou je poisťovňa alebo zaisťovňa spĺňajúca niektorú z podmienok podľa odseku 1, podmienky podľa § 48g až 48j sa vzťahujú na poisťovňu alebo zaisťovňu, ktorá je súčasťou finančného konglomerátu zahŕňajúceho podskupinu.</w:t>
            </w:r>
          </w:p>
          <w:p>
            <w:pPr>
              <w:pStyle w:val="BodyText2"/>
              <w:spacing w:after="0" w:line="240" w:lineRule="auto"/>
              <w:rPr>
                <w:rFonts w:ascii="Times New Roman" w:hAnsi="Times New Roman" w:cs="Times New Roman"/>
                <w:sz w:val="18"/>
                <w:szCs w:val="18"/>
                <w:lang w:val="sk-SK"/>
              </w:rPr>
            </w:pPr>
          </w:p>
          <w:p>
            <w:pPr>
              <w:pStyle w:val="BodyText2"/>
              <w:spacing w:after="0" w:line="240" w:lineRule="auto"/>
              <w:rPr>
                <w:rFonts w:ascii="Times New Roman" w:hAnsi="Times New Roman" w:cs="Times New Roman"/>
                <w:sz w:val="18"/>
                <w:szCs w:val="18"/>
                <w:lang w:val="sk-SK"/>
              </w:rPr>
            </w:pPr>
          </w:p>
          <w:p>
            <w:pPr>
              <w:pStyle w:val="BodyText2"/>
              <w:spacing w:after="0" w:line="240" w:lineRule="auto"/>
              <w:rPr>
                <w:rFonts w:ascii="Times New Roman" w:hAnsi="Times New Roman" w:cs="Times New Roman"/>
                <w:sz w:val="18"/>
                <w:szCs w:val="18"/>
                <w:lang w:val="sk-SK"/>
              </w:rPr>
            </w:pPr>
            <w:r>
              <w:rPr>
                <w:rFonts w:ascii="Times New Roman" w:hAnsi="Times New Roman" w:cs="Times New Roman"/>
                <w:sz w:val="18"/>
                <w:szCs w:val="18"/>
                <w:lang w:val="sk-SK"/>
              </w:rPr>
              <w:t xml:space="preserve">(3) </w:t>
            </w:r>
            <w:r>
              <w:rPr>
                <w:rFonts w:ascii="Times New Roman" w:hAnsi="Times New Roman" w:cs="Times New Roman"/>
                <w:sz w:val="18"/>
                <w:lang w:val="sk-SK"/>
              </w:rPr>
              <w:t>Poisťovňa alebo zaisťovňa, ktorej materskou spoločnosťou je regulovaná osoba alebo zmiešaná finančná holdingová spoločnosť so sídlom v štáte, ktorý nie je členským štátom a v tomto štáte nie je vykonávaný dohľad nad finančnými konglomerátmi, ktorý je  rovnocenný s doplňujúcim dohľadom podľa tohto zákona je povinná dodržiavať podmienky podľa § 48g až 48j. Ak nie je možné dodržať podmienky podľa § 48g až 48j z dôvodu, že dohľad vykonávaný v štáte, ktorý nie je členským štátom, nie je  rovnocenný s doplňujúcim dohľadom úrad môže určiť, že poisťovňa alebo zaisťovňa, ktorá je súčasťou takéhoto finančného konglomerátu bude predkladať úradu osobitné výkazy, hlásenia a správy o účasti v takomto finančnom konglomeráte a môže obmedziť alebo zakázať takejto poisťovni alebo zaisťovní  vnútroskupinové obchody, ktoré by mohli mať vplyv na p</w:t>
            </w:r>
            <w:r>
              <w:rPr>
                <w:rFonts w:ascii="Times New Roman" w:hAnsi="Times New Roman" w:cs="Times New Roman"/>
                <w:sz w:val="18"/>
                <w:lang w:val="sk-SK"/>
              </w:rPr>
              <w:t>lnenie podmienok solventnosti.</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BodyText2"/>
              <w:spacing w:after="0" w:line="240" w:lineRule="auto"/>
              <w:rPr>
                <w:rFonts w:ascii="Times New Roman" w:hAnsi="Times New Roman" w:cs="Times New Roman"/>
                <w:sz w:val="18"/>
                <w:szCs w:val="18"/>
                <w:lang w:val="sk-SK"/>
              </w:rPr>
            </w:pPr>
            <w:r>
              <w:rPr>
                <w:rFonts w:ascii="Times New Roman" w:hAnsi="Times New Roman" w:cs="Times New Roman"/>
                <w:sz w:val="18"/>
                <w:szCs w:val="18"/>
                <w:lang w:val="sk-SK"/>
              </w:rPr>
              <w:t xml:space="preserve">(5) </w:t>
            </w:r>
            <w:r>
              <w:rPr>
                <w:rFonts w:ascii="Times New Roman" w:hAnsi="Times New Roman" w:cs="Times New Roman"/>
                <w:sz w:val="18"/>
                <w:lang w:val="sk-SK"/>
              </w:rPr>
              <w:t>Ak právnické osoby majú majetkovú účasť v jednej alebo viacerých regulovaných osobách alebo uplatňujú významný vplyv vo vzťahu k týmto regulovaným osobám bez vlastnenia majetkovej účasti iný ako podľa odsekov 1 až 3, úrad v spolupráci s Národnou bankou Slovenska a  príslušnými orgánmi dohľadu iných členských štátov, zodpovednými za dohľad nad regulovanými osobami tvoriacimi finančný konglomerát určí, či a v akom rozsahu sa bude vykonávať doplňujúci dohľad nad regulovanými osobami  tak, ako keby predstavovali finančný konglomerát, ktorý by mal podliehať doplňujúcemu dohľadu. Aby sa mohol vykonávať takýto dohľad, aspoň jedna z právnických osôb podľa prvej vety musí byť poisťovňou alebo zaisťovňou  a musia byť splnené podmienky ustanovené v § 48b písm. a) body 1c. a 1d.,  ak je to potrebné z hľadiska plnenia cieľov doplňujúceho dohľadu.</w:t>
            </w:r>
            <w:r>
              <w:rPr>
                <w:rFonts w:ascii="Times New Roman" w:hAnsi="Times New Roman" w:cs="Times New Roman"/>
                <w:lang w:val="sk-SK"/>
              </w:rPr>
              <w:t xml:space="preserve">  </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BodyText2"/>
              <w:spacing w:after="0" w:line="240" w:lineRule="auto"/>
              <w:rPr>
                <w:rFonts w:ascii="Times New Roman" w:hAnsi="Times New Roman" w:cs="Times New Roman"/>
                <w:sz w:val="18"/>
                <w:szCs w:val="18"/>
                <w:lang w:val="sk-SK"/>
              </w:rPr>
            </w:pPr>
            <w:r>
              <w:rPr>
                <w:rFonts w:ascii="Times New Roman" w:hAnsi="Times New Roman" w:cs="Times New Roman"/>
                <w:sz w:val="18"/>
                <w:lang w:val="sk-SK"/>
              </w:rPr>
              <w:t xml:space="preserve">Doplňujúcim dohľadom je sledovanie a regulácia rizík </w:t>
            </w:r>
            <w:r>
              <w:rPr>
                <w:rFonts w:ascii="Times New Roman" w:hAnsi="Times New Roman" w:cs="Times New Roman"/>
                <w:color w:val="000000"/>
                <w:sz w:val="18"/>
                <w:szCs w:val="20"/>
                <w:lang w:val="sk-SK"/>
              </w:rPr>
              <w:t xml:space="preserve">finančných  konglomerátov, </w:t>
            </w:r>
            <w:r>
              <w:rPr>
                <w:rFonts w:ascii="Times New Roman" w:hAnsi="Times New Roman" w:cs="Times New Roman"/>
                <w:sz w:val="18"/>
                <w:lang w:val="sk-SK"/>
              </w:rPr>
              <w:t>ktorých súčasťou sú poisťovne alebo zaisťovne, obchodníci s cennými papiermi, banky, inštitúcie elektronických peňazí, správcovské spoločnosti, na účely obmedzenia rizík, ktorým je poisťovňa, zaisťovňa alebo iná regulovaná osoba vystavená z dôvodu svojej účasti vo finančnom konglomeráte.</w:t>
            </w:r>
          </w:p>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Ú</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71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7"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Čl. 6</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spacing w:after="0"/>
              <w:rPr>
                <w:rFonts w:ascii="Times New Roman" w:hAnsi="Times New Roman" w:cs="Times New Roman"/>
                <w:b/>
                <w:sz w:val="18"/>
                <w:szCs w:val="18"/>
                <w:lang w:val="sk-SK"/>
              </w:rPr>
            </w:pPr>
            <w:r>
              <w:rPr>
                <w:rFonts w:ascii="Times New Roman" w:hAnsi="Times New Roman" w:cs="Times New Roman"/>
                <w:b/>
                <w:sz w:val="18"/>
                <w:szCs w:val="18"/>
                <w:lang w:val="sk-SK"/>
              </w:rPr>
              <w:t>Kapitálová primeranosť</w:t>
            </w:r>
          </w:p>
          <w:p>
            <w:pPr>
              <w:numPr>
                <w:ilvl w:val="0"/>
                <w:numId w:val="30"/>
              </w:numPr>
              <w:tabs>
                <w:tab w:val="left" w:pos="0"/>
                <w:tab w:val="clear" w:pos="431"/>
              </w:tabs>
              <w:spacing w:after="0"/>
              <w:ind w:left="0" w:firstLine="0"/>
              <w:rPr>
                <w:rFonts w:ascii="Times New Roman" w:hAnsi="Times New Roman" w:cs="Times New Roman"/>
                <w:sz w:val="18"/>
                <w:szCs w:val="18"/>
                <w:lang w:val="sk-SK"/>
              </w:rPr>
            </w:pPr>
            <w:r>
              <w:rPr>
                <w:rFonts w:ascii="Times New Roman" w:hAnsi="Times New Roman" w:cs="Times New Roman"/>
                <w:sz w:val="18"/>
                <w:szCs w:val="18"/>
                <w:lang w:val="sk-SK"/>
              </w:rPr>
              <w:t>Doplňujúci dohľad nad kapitálovou   primeranosťou regulovaných subjektov vo finančnom konglomeráte sa uplatňuje, bez dotknutia sektorových predpisov, podľa predpisov ustanovených v článku 9 ods. 2 až 5, v časti 3 tejto kapitoly a v príloh</w:t>
            </w:r>
            <w:r>
              <w:rPr>
                <w:rFonts w:ascii="Times New Roman" w:hAnsi="Times New Roman" w:cs="Times New Roman"/>
                <w:sz w:val="18"/>
                <w:szCs w:val="18"/>
                <w:lang w:val="sk-SK"/>
              </w:rPr>
              <w:t>e I.</w:t>
            </w:r>
          </w:p>
          <w:p>
            <w:pPr>
              <w:spacing w:after="0"/>
              <w:rPr>
                <w:rFonts w:ascii="Times New Roman" w:hAnsi="Times New Roman" w:cs="Times New Roman"/>
                <w:sz w:val="18"/>
                <w:szCs w:val="18"/>
                <w:lang w:val="sk-SK"/>
              </w:rPr>
            </w:pPr>
          </w:p>
          <w:p>
            <w:pPr>
              <w:numPr>
                <w:ilvl w:val="0"/>
                <w:numId w:val="30"/>
              </w:numPr>
              <w:tabs>
                <w:tab w:val="left" w:pos="72"/>
                <w:tab w:val="clear" w:pos="431"/>
              </w:tabs>
              <w:spacing w:after="0"/>
              <w:ind w:left="0" w:firstLine="0"/>
              <w:rPr>
                <w:rFonts w:ascii="Times New Roman" w:hAnsi="Times New Roman" w:cs="Times New Roman"/>
                <w:sz w:val="18"/>
                <w:szCs w:val="18"/>
                <w:lang w:val="sk-SK"/>
              </w:rPr>
            </w:pPr>
            <w:r>
              <w:rPr>
                <w:rFonts w:ascii="Times New Roman" w:hAnsi="Times New Roman" w:cs="Times New Roman"/>
                <w:sz w:val="18"/>
                <w:szCs w:val="18"/>
                <w:lang w:val="sk-SK"/>
              </w:rPr>
              <w:t>Členské štáty musia vyžadovať, aby regulované subjekty vo finančnom konglomeráte zabezpečili aby na úrovni finančného konglomerátu boli k dispozícii vlastné zdroje, ktoré sú vždy aspoň rovnocenné povinnej kapitálovej primeranosti vypočítanej na zákla</w:t>
            </w:r>
            <w:r>
              <w:rPr>
                <w:rFonts w:ascii="Times New Roman" w:hAnsi="Times New Roman" w:cs="Times New Roman"/>
                <w:sz w:val="18"/>
                <w:szCs w:val="18"/>
                <w:lang w:val="sk-SK"/>
              </w:rPr>
              <w:t>de prílohy I.</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Členské štáty musia vyžadovať, aby regulované subjekty mali na úrovni finančného konglomerátu zavedené primerané zásady kapitálovej primeranosti.</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Dohľad nad požiadavkami ustanovenými v prvom a druhom pododseku vykonáva koordinátor v súlade s časťou 3.</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Koordinátor zabezpečí, aby výpočet ustanovený v prvom pododseku vykonávali aspoň raz za rok buď regulované subjekty alebo zmiešaná finančná holdingová spoločnosť.</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Výsledky výpočtu a príslušné údaje koordinátorovi predkladá regulovaný subjekt v zmysle článku 1, ktorý je na vrchole finančného konglomerátu, alebo ak na vrchole finančného konglomerátu nie je regulovaný subjekt v zmysle článku 1, zmiešaná finančná holdingová spoločnosť alebo regulovaný subjekt vo finančnom konglomeráte identifikovaný koordinátorom po konzultácii s ostatnými príslušnými kompetentnými orgánmi a s finančným konglomerátom.</w:t>
            </w:r>
          </w:p>
          <w:p>
            <w:pPr>
              <w:spacing w:after="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r>
              <w:rPr>
                <w:rFonts w:ascii="Times New Roman" w:hAnsi="Times New Roman" w:cs="Times New Roman"/>
                <w:sz w:val="18"/>
                <w:szCs w:val="18"/>
                <w:lang w:val="sk-SK"/>
              </w:rPr>
              <w:t>3.Na účel výpočtu povinnej kapitálovej primeranosti ustanovenej v prvom pododseku  2 sa do predmetu doplňujúceho dohľad zahŕňajú spôsobom a v</w:t>
            </w:r>
            <w:r>
              <w:rPr>
                <w:rFonts w:ascii="Times New Roman" w:hAnsi="Times New Roman" w:cs="Times New Roman"/>
                <w:sz w:val="18"/>
                <w:szCs w:val="18"/>
                <w:lang w:val="sk-SK"/>
              </w:rPr>
              <w:t> rozsahu definovanom v prílohe I tieto subjekty:</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(a) úverový ústav, finančný ústav alebo pomocný podnik bankových služieb v zmysle článku 1 ods. 5 a 23 smernice 2000/12/ES;</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(b) poisťovňa, zaisťovňa alebo poisťovacia holdingová spoločnosť v zmysle článku </w:t>
            </w:r>
            <w:r>
              <w:rPr>
                <w:rFonts w:ascii="Times New Roman" w:hAnsi="Times New Roman" w:cs="Times New Roman"/>
                <w:sz w:val="18"/>
                <w:szCs w:val="18"/>
                <w:lang w:val="sk-SK"/>
              </w:rPr>
              <w:t>1 písm. i smernice 98/78/ES;</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(c) investičná firma alebo finančný ústav v zmysle článku 2 ods. 7 smernice 93/6/EHS</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(d)  zmiešané finančné holdingové spoločnosti</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4.Pri výpočte doplňujúcich požiadaviek kapitálovej primeranosti vo vzťahu k finančnému konglomerátu s využitím metódy 1 (účtovná konsolidácia), ktorá sa ustanovuje v prílohe I, sa vlastné zdroje a kapitálové požiadavky subjektov v skupine počítajú s použitím zodpovedajúcich sektorových predpisov o forme a rozsahu konsolidácie, ktorá sa ustanovujú najmä v článku 54 smernice 2000/12/ES a v prílohe I.1.B smernice 98/78/ES.</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Pri použití metód 2 alebo 3 (odpočítanie a agregácia, účtovná hodnota/odpočítavanie požiadaviek), ktoré sa ustanovujú v prílohe I, sa pri výpočte musí brať do úvahy proporcionálny podiel vlastnený materskou spoločnosťou alebo spoločnosťou, ktorá vlastní majetkovú účasť v inom subjekte skupiny. „Proporcionálny podiel“ znamená podiel na upísanom kapitáli, ktorý táto spoločnosť priamo alebo nepriamo vlastní.</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5.Koordinátor môže rozhodnúť, že do výpočtu doplňujúcich požiadaviek na kapitálovú primeranosť nezaradí konkrétny subjekt v týchto prípadoch:</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(a)  ak sa subjekt nachádza v treťom štáte, v ktorom sú právne prekážky na transfer potrebných informácií, bez dotknutia sektorových predpisov týkajúcich sa povinnosti príslušných orgánov odmietnuť oprávnenie, ak majú prekážky efektívne vykonávať svoje funkcie dohľadu;</w:t>
            </w: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r>
              <w:rPr>
                <w:rFonts w:ascii="Times New Roman" w:hAnsi="Times New Roman" w:cs="Times New Roman"/>
                <w:sz w:val="18"/>
                <w:szCs w:val="18"/>
                <w:lang w:val="sk-SK"/>
              </w:rPr>
              <w:t>(b)  ak subjekt má zanedbateľný vplyv vo vzťahu k cieľom doplňujúceho dohľadu nad regulovanými subjektami vo finančnom kongl</w:t>
            </w:r>
            <w:r>
              <w:rPr>
                <w:rFonts w:ascii="Times New Roman" w:hAnsi="Times New Roman" w:cs="Times New Roman"/>
                <w:sz w:val="18"/>
                <w:szCs w:val="18"/>
                <w:lang w:val="sk-SK"/>
              </w:rPr>
              <w:t>omeráte.</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(c)  ak zaradenie subjektu by bolo neprimerané alebo nesprávne vo vzťahu k cieľom doplňujúceho dohľadu. </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Ak by však mali byť podľa bodu (b) prvého pododseku vylúčené viaceré subjekty, tieto sa musia zahrnúť, ak spolu predstavujú podiel, ktorý nie je zanedbateľný.</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V prípade uvedenom v bode (c) prvého pododseku sa koordinátor, okrem naliehavých prípadov, pred prijatím rozhodnutia poradí s ostatnými príslušnými kompetentnými orgánmi.</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Ak koordinátor nezahrnie regulovaný subjekt do predmetu regulovaného dohľadu na základe jedného z prípadov ustanovených v bode (b) alebo (c) prvého pododseku, príslušné orgány členského štátu, v ktorom sa tento subjekt nachádza, môžu požiadať subjekt, ktorý je na vrchole finančného konglomerátu, o informácie, ktoré môžu uľahčiť ich dohľad nad regulovaným subjektom.</w:t>
            </w:r>
          </w:p>
          <w:p>
            <w:pPr>
              <w:pStyle w:val="NormalWeb"/>
              <w:rPr>
                <w:rFonts w:ascii="Times New Roman" w:hAnsi="Times New Roman" w:cs="Times New Roman"/>
                <w:sz w:val="18"/>
                <w:szCs w:val="18"/>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3"/>
              <w:rPr>
                <w:rFonts w:ascii="Times New Roman" w:hAnsi="Times New Roman" w:cs="Times New Roman"/>
                <w:sz w:val="18"/>
                <w:szCs w:val="18"/>
                <w:lang w:val="de-DE"/>
              </w:rPr>
            </w:pPr>
            <w:r>
              <w:rPr>
                <w:rFonts w:ascii="Times New Roman" w:hAnsi="Times New Roman" w:cs="Times New Roman"/>
                <w:sz w:val="18"/>
                <w:szCs w:val="18"/>
                <w:lang w:val="de-DE"/>
              </w:rPr>
              <w:t>N</w:t>
            </w: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X/2004 Z.z.</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 48g</w:t>
            </w:r>
          </w:p>
          <w:p>
            <w:pPr>
              <w:pStyle w:val="TABUKA-textsmernice"/>
              <w:rPr>
                <w:rFonts w:ascii="Times New Roman" w:hAnsi="Times New Roman" w:cs="Times New Roman"/>
                <w:sz w:val="18"/>
                <w:szCs w:val="18"/>
              </w:rPr>
            </w:pPr>
            <w:r>
              <w:rPr>
                <w:rFonts w:ascii="Times New Roman" w:hAnsi="Times New Roman" w:cs="Times New Roman"/>
                <w:sz w:val="18"/>
                <w:szCs w:val="18"/>
              </w:rPr>
              <w:t>ods. 1</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ods. 4</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ods. 5</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ods. 6</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ods. 7</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ods. 8</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ods. 9</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ods. 3</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ods. 6</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ods. 7</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ods. 8</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52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2"/>
              <w:spacing w:after="0" w:line="240" w:lineRule="auto"/>
              <w:rPr>
                <w:rFonts w:ascii="Times New Roman" w:hAnsi="Times New Roman" w:cs="Times New Roman"/>
                <w:sz w:val="18"/>
                <w:szCs w:val="18"/>
                <w:lang w:val="sk-SK"/>
              </w:rPr>
            </w:pPr>
            <w:r>
              <w:rPr>
                <w:rFonts w:ascii="Times New Roman" w:hAnsi="Times New Roman" w:cs="Times New Roman"/>
                <w:sz w:val="18"/>
                <w:szCs w:val="18"/>
                <w:lang w:val="sk-SK"/>
              </w:rPr>
              <w:t xml:space="preserve">(1)  </w:t>
            </w:r>
            <w:r>
              <w:rPr>
                <w:rFonts w:ascii="Times New Roman" w:hAnsi="Times New Roman" w:cs="Times New Roman"/>
                <w:sz w:val="18"/>
                <w:lang w:val="sk-SK"/>
              </w:rPr>
              <w:t>Poisťovňa alebo zaisťovňa, ktorá je súčasťou finančného konglomerátu je povinná  zabezpečiť, aby na úrovni finančného konglomerátu bola dodržaná dostatočná výška vlastných zdrojov a aby na úrovni finančného konglomerátu boli prijaté pravidlá zabezpečujúce dodržiavanie dostatočnej výšky vlastných zdrojov. Vlastné zdroje finančného konglomerátu sú dostatočné, ak rozdiel medzi vlastnými zdrojmi na úrovni finančného konglomerátu a súčtom minimálnej výšky vlastných zdrojov osôb tvoriacich finančný konglomerát  je nula alebo kladné číslo.</w:t>
            </w:r>
            <w:r>
              <w:rPr>
                <w:rFonts w:ascii="Times New Roman" w:hAnsi="Times New Roman" w:cs="Times New Roman"/>
                <w:lang w:val="sk-SK"/>
              </w:rPr>
              <w:t xml:space="preserve">   </w:t>
            </w:r>
          </w:p>
          <w:p>
            <w:pPr>
              <w:pStyle w:val="BodyText2"/>
              <w:spacing w:after="0" w:line="240" w:lineRule="auto"/>
              <w:rPr>
                <w:rFonts w:ascii="Times New Roman" w:hAnsi="Times New Roman" w:cs="Times New Roman"/>
                <w:sz w:val="18"/>
                <w:szCs w:val="18"/>
                <w:lang w:val="sk-SK"/>
              </w:rPr>
            </w:pPr>
          </w:p>
          <w:p>
            <w:pPr>
              <w:pStyle w:val="BodyText2"/>
              <w:spacing w:after="0" w:line="240" w:lineRule="auto"/>
              <w:rPr>
                <w:rFonts w:ascii="Times New Roman" w:hAnsi="Times New Roman" w:cs="Times New Roman"/>
                <w:sz w:val="18"/>
                <w:szCs w:val="18"/>
                <w:lang w:val="sk-SK"/>
              </w:rPr>
            </w:pPr>
          </w:p>
          <w:p>
            <w:pPr>
              <w:pStyle w:val="BodyText2"/>
              <w:spacing w:after="0" w:line="240" w:lineRule="auto"/>
              <w:rPr>
                <w:rFonts w:ascii="Times New Roman" w:hAnsi="Times New Roman" w:cs="Times New Roman"/>
                <w:sz w:val="18"/>
                <w:szCs w:val="18"/>
                <w:lang w:val="sk-SK"/>
              </w:rPr>
            </w:pPr>
          </w:p>
          <w:p>
            <w:pPr>
              <w:pStyle w:val="BodyText2"/>
              <w:spacing w:after="0" w:line="240" w:lineRule="auto"/>
              <w:rPr>
                <w:rFonts w:ascii="Times New Roman" w:hAnsi="Times New Roman" w:cs="Times New Roman"/>
                <w:sz w:val="18"/>
                <w:szCs w:val="18"/>
                <w:lang w:val="sk-SK"/>
              </w:rPr>
            </w:pPr>
            <w:r>
              <w:rPr>
                <w:rFonts w:ascii="Times New Roman" w:hAnsi="Times New Roman" w:cs="Times New Roman"/>
                <w:sz w:val="18"/>
                <w:szCs w:val="18"/>
                <w:lang w:val="sk-SK"/>
              </w:rPr>
              <w:t xml:space="preserve">(4) </w:t>
            </w:r>
            <w:r>
              <w:rPr>
                <w:rFonts w:ascii="Times New Roman" w:hAnsi="Times New Roman" w:cs="Times New Roman"/>
                <w:sz w:val="18"/>
                <w:lang w:val="sk-SK"/>
              </w:rPr>
              <w:t>Poisťovňa alebo zaisťovňa ovládajúca finančný konglomerát je  povinná polročne ako aj na žiadosť úradu predkladať úradu údaje o výške vlastných zdrojov a o výške vlastných zdrojov na úrovni finančného konglomerátu potrebných na splnenie podmienok   dostatočnej výšky vlastných zdrojov na úrovni finančného konglomerátu, ktorý podlieha doplňujúcemu dohľadu. Ak finančný konglomerát nie je ovládaný  poisťovňou alebo zaisťovňou, údaje podľa prvej vety je povinná predkložiť úradu zmiešaná finančná holdingová spoločnosť  alebo regulovaná osoba určená úradom po predchádzajúcom vyjadrení regulovaných osôb alebo zmiešaných finančných holdingových spoločností tvoriacich finančný konglomerát.</w:t>
            </w:r>
            <w:r>
              <w:rPr>
                <w:rFonts w:ascii="Times New Roman" w:hAnsi="Times New Roman" w:cs="Times New Roman"/>
                <w:lang w:val="sk-SK"/>
              </w:rPr>
              <w:t xml:space="preserve">   </w:t>
            </w:r>
          </w:p>
          <w:p>
            <w:pPr>
              <w:pStyle w:val="BodyText2"/>
              <w:spacing w:after="0" w:line="240" w:lineRule="auto"/>
              <w:rPr>
                <w:rFonts w:ascii="Times New Roman" w:hAnsi="Times New Roman" w:cs="Times New Roman"/>
                <w:sz w:val="18"/>
                <w:szCs w:val="18"/>
                <w:lang w:val="sk-SK"/>
              </w:rPr>
            </w:pPr>
          </w:p>
          <w:p>
            <w:pPr>
              <w:pStyle w:val="BodyText2"/>
              <w:spacing w:after="0" w:line="240" w:lineRule="auto"/>
              <w:rPr>
                <w:rFonts w:ascii="Times New Roman" w:hAnsi="Times New Roman" w:cs="Times New Roman"/>
                <w:sz w:val="18"/>
                <w:szCs w:val="18"/>
                <w:lang w:val="sk-SK"/>
              </w:rPr>
            </w:pPr>
            <w:r>
              <w:rPr>
                <w:rFonts w:ascii="Times New Roman" w:hAnsi="Times New Roman" w:cs="Times New Roman"/>
                <w:sz w:val="18"/>
                <w:szCs w:val="18"/>
                <w:lang w:val="sk-SK"/>
              </w:rPr>
              <w:t xml:space="preserve">(5) </w:t>
            </w:r>
            <w:r>
              <w:rPr>
                <w:rFonts w:ascii="Times New Roman" w:hAnsi="Times New Roman" w:cs="Times New Roman"/>
                <w:sz w:val="20"/>
                <w:lang w:val="sk-SK"/>
              </w:rPr>
              <w:t>Do výpočtu dostatočnej výšky vlastných zdrojov na úrovni finančného konglomerátu sa zahŕňajú požiadavky na vlastné zdroje len za právnické osoby podľa § 48b písm. b).</w:t>
            </w:r>
          </w:p>
          <w:p>
            <w:pPr>
              <w:pStyle w:val="BodyText2"/>
              <w:spacing w:after="0" w:line="240" w:lineRule="auto"/>
              <w:rPr>
                <w:rFonts w:ascii="Times New Roman" w:hAnsi="Times New Roman" w:cs="Times New Roman"/>
                <w:sz w:val="18"/>
                <w:szCs w:val="18"/>
                <w:lang w:val="sk-SK"/>
              </w:rPr>
            </w:pPr>
          </w:p>
          <w:p>
            <w:pPr>
              <w:pStyle w:val="BodyText2"/>
              <w:spacing w:line="240" w:lineRule="auto"/>
              <w:rPr>
                <w:rFonts w:ascii="Times New Roman" w:hAnsi="Times New Roman" w:cs="Times New Roman"/>
                <w:sz w:val="18"/>
                <w:lang w:val="sk-SK"/>
              </w:rPr>
            </w:pPr>
            <w:r>
              <w:rPr>
                <w:rFonts w:ascii="Times New Roman" w:hAnsi="Times New Roman" w:cs="Times New Roman"/>
                <w:sz w:val="18"/>
                <w:lang w:val="sk-SK"/>
              </w:rPr>
              <w:t>(6) Úrad môže rozhodnúť, že sa do výpočtu požiadaviek na dostatočnú výšku vlastných zdrojov  na úrovni finančného konglomerátu podliehajúcemu doplňujúcemu dohľadu nezaradí osoba, ak</w:t>
            </w:r>
          </w:p>
          <w:p>
            <w:pPr>
              <w:pStyle w:val="BodyTextIndent"/>
              <w:tabs>
                <w:tab w:val="left" w:pos="360"/>
              </w:tabs>
              <w:rPr>
                <w:rFonts w:ascii="Times New Roman" w:hAnsi="Times New Roman" w:cs="Times New Roman"/>
                <w:sz w:val="18"/>
                <w:lang w:val="sk-SK"/>
              </w:rPr>
            </w:pPr>
            <w:r>
              <w:rPr>
                <w:rFonts w:ascii="Times New Roman" w:hAnsi="Times New Roman" w:cs="Times New Roman"/>
                <w:sz w:val="18"/>
                <w:lang w:val="sk-SK"/>
              </w:rPr>
              <w:t xml:space="preserve">a)   má sídlo v štáte, ktorý nie je členským štátom a právny poriadok tohto štátu  neumožňuje výmenu informácií potrebných na výkon doplňujúceho dohľadu, </w:t>
            </w:r>
          </w:p>
          <w:p>
            <w:pPr>
              <w:tabs>
                <w:tab w:val="left" w:pos="426"/>
              </w:tabs>
              <w:ind w:left="426" w:hanging="426"/>
              <w:rPr>
                <w:rFonts w:ascii="Times New Roman" w:hAnsi="Times New Roman" w:cs="Times New Roman"/>
                <w:sz w:val="18"/>
                <w:lang w:val="sk-SK"/>
              </w:rPr>
            </w:pPr>
            <w:r>
              <w:rPr>
                <w:rFonts w:ascii="Times New Roman" w:hAnsi="Times New Roman" w:cs="Times New Roman"/>
                <w:sz w:val="18"/>
                <w:lang w:val="sk-SK"/>
              </w:rPr>
              <w:t>b)  má zanedbateľný význam  na účely doplňujúceho dohľadu nad regulovanými osobami tvoriacimi finančný konglomerát; to neplatí, ak by bolo z výpočtu vylúčených viac právnických osôb, ktorých podiel na finančnom konglomeráte je v celkovom súčte významný podľa § 48e o</w:t>
            </w:r>
            <w:r>
              <w:rPr>
                <w:rFonts w:ascii="Times New Roman" w:hAnsi="Times New Roman" w:cs="Times New Roman"/>
                <w:sz w:val="18"/>
                <w:lang w:val="sk-SK"/>
              </w:rPr>
              <w:t xml:space="preserve">ds. 2 a 4,  </w:t>
            </w:r>
          </w:p>
          <w:p>
            <w:pPr>
              <w:pStyle w:val="BodyText2"/>
              <w:tabs>
                <w:tab w:val="left" w:pos="0"/>
              </w:tabs>
              <w:spacing w:after="0" w:line="240" w:lineRule="auto"/>
              <w:rPr>
                <w:rFonts w:ascii="Times New Roman" w:hAnsi="Times New Roman" w:cs="Times New Roman"/>
                <w:sz w:val="18"/>
                <w:szCs w:val="18"/>
                <w:lang w:val="sk-SK"/>
              </w:rPr>
            </w:pPr>
            <w:r>
              <w:rPr>
                <w:rFonts w:ascii="Times New Roman" w:hAnsi="Times New Roman" w:cs="Times New Roman"/>
                <w:sz w:val="18"/>
                <w:lang w:val="sk-SK"/>
              </w:rPr>
              <w:t>c)</w:t>
              <w:tab/>
              <w:t>jej zaradenie by bolo nevhodné alebo neprimerané  vo vzťahu k cieľom doplňujúceho dohľadu.</w:t>
            </w:r>
          </w:p>
          <w:p>
            <w:pPr>
              <w:tabs>
                <w:tab w:val="left" w:pos="0"/>
              </w:tabs>
              <w:spacing w:after="0"/>
              <w:rPr>
                <w:rFonts w:ascii="Times New Roman" w:hAnsi="Times New Roman" w:cs="Times New Roman"/>
                <w:sz w:val="18"/>
                <w:szCs w:val="18"/>
                <w:lang w:val="sk-SK"/>
              </w:rPr>
            </w:pPr>
          </w:p>
          <w:p>
            <w:pPr>
              <w:tabs>
                <w:tab w:val="left" w:pos="0"/>
              </w:tabs>
              <w:spacing w:after="0"/>
              <w:rPr>
                <w:rFonts w:ascii="Times New Roman" w:hAnsi="Times New Roman" w:cs="Times New Roman"/>
                <w:sz w:val="18"/>
                <w:szCs w:val="18"/>
                <w:lang w:val="sk-SK"/>
              </w:rPr>
            </w:pPr>
          </w:p>
          <w:p>
            <w:pPr>
              <w:tabs>
                <w:tab w:val="left" w:pos="0"/>
              </w:tabs>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(7) </w:t>
            </w:r>
            <w:r>
              <w:rPr>
                <w:rFonts w:ascii="Times New Roman" w:hAnsi="Times New Roman" w:cs="Times New Roman"/>
                <w:sz w:val="18"/>
                <w:lang w:val="sk-SK"/>
              </w:rPr>
              <w:t>Úrad nezaradenie právnickej osoby podľa odseku 6  prerokuje s  Národnou bankou Slovenska.</w:t>
            </w:r>
          </w:p>
          <w:p>
            <w:pPr>
              <w:tabs>
                <w:tab w:val="left" w:pos="0"/>
              </w:tabs>
              <w:spacing w:after="0"/>
              <w:rPr>
                <w:rFonts w:ascii="Times New Roman" w:hAnsi="Times New Roman" w:cs="Times New Roman"/>
                <w:sz w:val="18"/>
                <w:szCs w:val="18"/>
                <w:lang w:val="sk-SK"/>
              </w:rPr>
            </w:pPr>
          </w:p>
          <w:p>
            <w:pPr>
              <w:pStyle w:val="NormalWeb"/>
              <w:rPr>
                <w:rFonts w:ascii="Times New Roman" w:hAnsi="Times New Roman" w:cs="Times New Roman"/>
                <w:lang w:val="sk-SK"/>
              </w:rPr>
            </w:pPr>
          </w:p>
          <w:p>
            <w:pPr>
              <w:tabs>
                <w:tab w:val="left" w:pos="0"/>
              </w:tabs>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(8) </w:t>
            </w:r>
            <w:r>
              <w:rPr>
                <w:rFonts w:ascii="Times New Roman" w:hAnsi="Times New Roman" w:cs="Times New Roman"/>
                <w:sz w:val="18"/>
                <w:lang w:val="sk-SK"/>
              </w:rPr>
              <w:t>Ustanovením odseku 4 nie je dotknutá povinnosť poskytovať informácie na účely výkonu doplňujúceho dohľadu dotknutými osobami ani oprávnenie poskytovať informácie o týchto osobách na účely výkonu doplňujúceho dohľadu alebo dohľadu nad finančnými konglomerátmi v inom členskom štáte.</w:t>
            </w:r>
          </w:p>
          <w:p>
            <w:pPr>
              <w:pStyle w:val="BodyText2"/>
              <w:spacing w:after="0" w:line="240" w:lineRule="auto"/>
              <w:rPr>
                <w:rFonts w:ascii="Times New Roman" w:hAnsi="Times New Roman" w:cs="Times New Roman"/>
                <w:sz w:val="18"/>
                <w:szCs w:val="18"/>
                <w:lang w:val="sk-SK"/>
              </w:rPr>
            </w:pPr>
          </w:p>
          <w:p>
            <w:pPr>
              <w:pStyle w:val="BodyText"/>
              <w:spacing w:line="240" w:lineRule="atLeast"/>
              <w:rPr>
                <w:rFonts w:ascii="Times New Roman" w:hAnsi="Times New Roman" w:cs="Times New Roman"/>
                <w:sz w:val="18"/>
              </w:rPr>
            </w:pPr>
            <w:r>
              <w:rPr>
                <w:rFonts w:ascii="Times New Roman" w:hAnsi="Times New Roman" w:cs="Times New Roman"/>
                <w:sz w:val="18"/>
                <w:szCs w:val="18"/>
              </w:rPr>
              <w:t xml:space="preserve">(9) </w:t>
            </w:r>
            <w:r>
              <w:rPr>
                <w:rFonts w:ascii="Times New Roman" w:hAnsi="Times New Roman" w:cs="Times New Roman"/>
                <w:sz w:val="18"/>
              </w:rPr>
              <w:t>Všeobecne záväzný právny predpis, ktorý vydá ministerstvo, ustanoví na účely výpočtu dostatočnej výšky vlastných zdrojov na úrovni finančného konglomerátu</w:t>
            </w:r>
          </w:p>
          <w:p>
            <w:pPr>
              <w:pStyle w:val="BodyText"/>
              <w:rPr>
                <w:rFonts w:ascii="Times New Roman" w:hAnsi="Times New Roman" w:cs="Times New Roman"/>
                <w:sz w:val="18"/>
                <w:szCs w:val="18"/>
              </w:rPr>
            </w:pPr>
            <w:r>
              <w:rPr>
                <w:rFonts w:ascii="Times New Roman" w:hAnsi="Times New Roman" w:cs="Times New Roman"/>
                <w:sz w:val="18"/>
              </w:rPr>
              <w:t>a) čo tvorí vlastné zdroje na úrovni finančného konglomerátu a spôsob ich výpočtu, vrátane vlastných zdrojov zmiešanej finančnej holdingovej spoločnosti,</w:t>
            </w:r>
          </w:p>
          <w:p>
            <w:pPr>
              <w:pStyle w:val="BodyText2"/>
              <w:spacing w:after="0" w:line="240" w:lineRule="auto"/>
              <w:rPr>
                <w:rFonts w:ascii="Times New Roman" w:hAnsi="Times New Roman" w:cs="Times New Roman"/>
                <w:sz w:val="18"/>
                <w:szCs w:val="18"/>
                <w:lang w:val="sk-SK"/>
              </w:rPr>
            </w:pPr>
          </w:p>
          <w:p>
            <w:pPr>
              <w:pStyle w:val="BodyText2"/>
              <w:spacing w:after="0" w:line="240" w:lineRule="auto"/>
              <w:rPr>
                <w:rFonts w:ascii="Times New Roman" w:hAnsi="Times New Roman" w:cs="Times New Roman"/>
                <w:sz w:val="18"/>
                <w:szCs w:val="18"/>
                <w:lang w:val="sk-SK"/>
              </w:rPr>
            </w:pPr>
          </w:p>
          <w:p>
            <w:pPr>
              <w:pStyle w:val="BodyText2"/>
              <w:spacing w:after="0" w:line="240" w:lineRule="auto"/>
              <w:rPr>
                <w:rFonts w:ascii="Times New Roman" w:hAnsi="Times New Roman" w:cs="Times New Roman"/>
                <w:sz w:val="18"/>
                <w:szCs w:val="18"/>
                <w:lang w:val="sk-SK"/>
              </w:rPr>
            </w:pPr>
          </w:p>
          <w:p>
            <w:pPr>
              <w:tabs>
                <w:tab w:val="left" w:pos="426"/>
              </w:tabs>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(3) </w:t>
            </w:r>
            <w:r>
              <w:rPr>
                <w:rFonts w:ascii="Times New Roman" w:hAnsi="Times New Roman" w:cs="Times New Roman"/>
                <w:sz w:val="18"/>
                <w:lang w:val="sk-SK"/>
              </w:rPr>
              <w:t>Úrad po vyjadrení Národnej banky Slovenska a príslušných orgánov dohľadu iných členských štátov zodpovedných za dohľad nad regulovanými osobami tvoriacimi finančný konglomerát je oprávnený z vlastného podnetu alebo na žiadosť regulovanej osoby alebo zmiešanej finančnej holdingovej spoločnosti podľa odseku 4 oznámiť regulovanej osobe alebo zmiešanej finančnej holdingovej spoločnosti, ktorá metóda výpočtu dostatočnej výšky vlastných zdrojov ustanovená všeobecne záväzným právnym predpisom podľa odseku 9 sa použije.</w:t>
            </w:r>
            <w:r>
              <w:rPr>
                <w:rFonts w:ascii="Times New Roman" w:hAnsi="Times New Roman" w:cs="Times New Roman"/>
                <w:lang w:val="sk-SK"/>
              </w:rPr>
              <w:t xml:space="preserve">   </w:t>
            </w:r>
          </w:p>
          <w:p>
            <w:pPr>
              <w:pStyle w:val="BodyText2"/>
              <w:spacing w:after="0" w:line="240" w:lineRule="auto"/>
              <w:rPr>
                <w:rFonts w:ascii="Times New Roman" w:hAnsi="Times New Roman" w:cs="Times New Roman"/>
                <w:sz w:val="18"/>
                <w:szCs w:val="18"/>
                <w:lang w:val="sk-SK"/>
              </w:rPr>
            </w:pPr>
          </w:p>
          <w:p>
            <w:pPr>
              <w:pStyle w:val="BodyText2"/>
              <w:spacing w:line="240" w:lineRule="auto"/>
              <w:rPr>
                <w:rFonts w:ascii="Times New Roman" w:hAnsi="Times New Roman" w:cs="Times New Roman"/>
                <w:sz w:val="18"/>
                <w:lang w:val="sk-SK"/>
              </w:rPr>
            </w:pPr>
            <w:r>
              <w:rPr>
                <w:rFonts w:ascii="Times New Roman" w:hAnsi="Times New Roman" w:cs="Times New Roman"/>
                <w:sz w:val="18"/>
                <w:szCs w:val="18"/>
                <w:lang w:val="sk-SK"/>
              </w:rPr>
              <w:t xml:space="preserve">(6)  </w:t>
            </w:r>
            <w:r>
              <w:rPr>
                <w:rFonts w:ascii="Times New Roman" w:hAnsi="Times New Roman" w:cs="Times New Roman"/>
                <w:sz w:val="18"/>
                <w:lang w:val="sk-SK"/>
              </w:rPr>
              <w:t>Úrad môže rozhodnúť, že sa do výpočtu požiadaviek na dostatočnú výšku vlastných zdrojov  na úrovni finančného konglomerátu podliehajúcemu doplňujúcemu dohľadu nezaradí osoba, ak</w:t>
            </w:r>
          </w:p>
          <w:p>
            <w:pPr>
              <w:pStyle w:val="BodyTextIndent"/>
              <w:tabs>
                <w:tab w:val="left" w:pos="360"/>
              </w:tabs>
              <w:rPr>
                <w:rFonts w:ascii="Times New Roman" w:hAnsi="Times New Roman" w:cs="Times New Roman"/>
                <w:sz w:val="18"/>
                <w:lang w:val="sk-SK"/>
              </w:rPr>
            </w:pPr>
            <w:r>
              <w:rPr>
                <w:rFonts w:ascii="Times New Roman" w:hAnsi="Times New Roman" w:cs="Times New Roman"/>
                <w:sz w:val="18"/>
                <w:lang w:val="sk-SK"/>
              </w:rPr>
              <w:t xml:space="preserve">a)   má sídlo v štáte, ktorý nie je členským štátom a právny poriadok tohto štátu  neumožňuje výmenu informácií potrebných na výkon doplňujúceho dohľadu, </w:t>
            </w:r>
          </w:p>
          <w:p>
            <w:pPr>
              <w:tabs>
                <w:tab w:val="left" w:pos="426"/>
              </w:tabs>
              <w:ind w:left="426" w:hanging="426"/>
              <w:rPr>
                <w:rFonts w:ascii="Times New Roman" w:hAnsi="Times New Roman" w:cs="Times New Roman"/>
                <w:sz w:val="18"/>
                <w:lang w:val="sk-SK"/>
              </w:rPr>
            </w:pPr>
            <w:r>
              <w:rPr>
                <w:rFonts w:ascii="Times New Roman" w:hAnsi="Times New Roman" w:cs="Times New Roman"/>
                <w:sz w:val="18"/>
                <w:lang w:val="sk-SK"/>
              </w:rPr>
              <w:t xml:space="preserve">b)  má zanedbateľný význam  na účely doplňujúceho dohľadu nad regulovanými osobami tvoriacimi finančný konglomerát; to neplatí, ak by bolo z výpočtu vylúčených viac právnických osôb, ktorých podiel na finančnom konglomeráte je v celkovom súčte významný podľa § 48e ods. 2 a 4,  </w:t>
            </w:r>
          </w:p>
          <w:p>
            <w:pPr>
              <w:pStyle w:val="BodyText2"/>
              <w:tabs>
                <w:tab w:val="left" w:pos="0"/>
              </w:tabs>
              <w:spacing w:after="0" w:line="240" w:lineRule="auto"/>
              <w:rPr>
                <w:rFonts w:ascii="Times New Roman" w:hAnsi="Times New Roman" w:cs="Times New Roman"/>
                <w:sz w:val="18"/>
                <w:szCs w:val="18"/>
                <w:lang w:val="sk-SK"/>
              </w:rPr>
            </w:pPr>
            <w:r>
              <w:rPr>
                <w:rFonts w:ascii="Times New Roman" w:hAnsi="Times New Roman" w:cs="Times New Roman"/>
                <w:sz w:val="18"/>
                <w:lang w:val="sk-SK"/>
              </w:rPr>
              <w:t>c) jej zaradenie by bolo nevhodné alebo neprimerané  vo vzťahu k cieľom doplňujúceho dohľadu.</w:t>
            </w:r>
          </w:p>
          <w:p>
            <w:pPr>
              <w:tabs>
                <w:tab w:val="left" w:pos="0"/>
              </w:tabs>
              <w:spacing w:after="0"/>
              <w:rPr>
                <w:rFonts w:ascii="Times New Roman" w:hAnsi="Times New Roman" w:cs="Times New Roman"/>
                <w:sz w:val="18"/>
                <w:szCs w:val="18"/>
                <w:lang w:val="sk-SK"/>
              </w:rPr>
            </w:pPr>
          </w:p>
          <w:p>
            <w:pPr>
              <w:tabs>
                <w:tab w:val="left" w:pos="0"/>
              </w:tabs>
              <w:spacing w:after="0"/>
              <w:rPr>
                <w:rFonts w:ascii="Times New Roman" w:hAnsi="Times New Roman" w:cs="Times New Roman"/>
                <w:sz w:val="18"/>
                <w:szCs w:val="18"/>
                <w:lang w:val="sk-SK"/>
              </w:rPr>
            </w:pPr>
          </w:p>
          <w:p>
            <w:pPr>
              <w:tabs>
                <w:tab w:val="left" w:pos="0"/>
              </w:tabs>
              <w:spacing w:after="0"/>
              <w:rPr>
                <w:rFonts w:ascii="Times New Roman" w:hAnsi="Times New Roman" w:cs="Times New Roman"/>
                <w:sz w:val="18"/>
                <w:szCs w:val="18"/>
                <w:lang w:val="sk-SK"/>
              </w:rPr>
            </w:pPr>
            <w:r>
              <w:rPr>
                <w:rFonts w:ascii="Times New Roman" w:hAnsi="Times New Roman" w:cs="Times New Roman"/>
                <w:sz w:val="18"/>
                <w:szCs w:val="18"/>
                <w:lang w:val="sk-SK"/>
              </w:rPr>
              <w:t>(</w:t>
            </w:r>
            <w:r>
              <w:rPr>
                <w:rFonts w:ascii="Times New Roman" w:hAnsi="Times New Roman" w:cs="Times New Roman"/>
                <w:sz w:val="18"/>
                <w:szCs w:val="18"/>
                <w:lang w:val="sk-SK"/>
              </w:rPr>
              <w:t xml:space="preserve">7) </w:t>
            </w:r>
            <w:r>
              <w:rPr>
                <w:rFonts w:ascii="Times New Roman" w:hAnsi="Times New Roman" w:cs="Times New Roman"/>
                <w:sz w:val="18"/>
                <w:lang w:val="sk-SK"/>
              </w:rPr>
              <w:t>Úrad nezaradenie právnickej osoby podľa odseku 6  prerokuje s  Národnou bankou Slovenska.</w:t>
            </w:r>
          </w:p>
          <w:p>
            <w:pPr>
              <w:tabs>
                <w:tab w:val="left" w:pos="0"/>
              </w:tabs>
              <w:spacing w:after="0"/>
              <w:rPr>
                <w:rFonts w:ascii="Times New Roman" w:hAnsi="Times New Roman" w:cs="Times New Roman"/>
                <w:sz w:val="18"/>
                <w:szCs w:val="18"/>
                <w:lang w:val="sk-SK"/>
              </w:rPr>
            </w:pPr>
          </w:p>
          <w:p>
            <w:pPr>
              <w:tabs>
                <w:tab w:val="left" w:pos="0"/>
              </w:tabs>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(8) </w:t>
            </w:r>
            <w:r>
              <w:rPr>
                <w:rFonts w:ascii="Times New Roman" w:hAnsi="Times New Roman" w:cs="Times New Roman"/>
                <w:sz w:val="18"/>
                <w:lang w:val="sk-SK"/>
              </w:rPr>
              <w:t>Ustanovením odseku 4 nie je dotknutá povinnosť poskytovať informácie na účely výkonu doplňujúceho dohľadu dotknutými osobami ani oprávnenie poskytovať informácie o týchto osobách na účely výkonu doplňujúceho dohľadu alebo dohľadu nad finančnými konglomerátmi v inom členskom štáte.</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Ú</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71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7"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Čl. 7</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spacing w:after="0"/>
              <w:rPr>
                <w:rFonts w:ascii="Times New Roman" w:hAnsi="Times New Roman" w:cs="Times New Roman"/>
                <w:b/>
                <w:sz w:val="18"/>
                <w:szCs w:val="18"/>
                <w:lang w:val="sk-SK"/>
              </w:rPr>
            </w:pPr>
            <w:r>
              <w:rPr>
                <w:rFonts w:ascii="Times New Roman" w:hAnsi="Times New Roman" w:cs="Times New Roman"/>
                <w:b/>
                <w:sz w:val="18"/>
                <w:szCs w:val="18"/>
                <w:lang w:val="sk-SK"/>
              </w:rPr>
              <w:t>Koncentrácia rizík</w:t>
            </w:r>
          </w:p>
          <w:p>
            <w:pPr>
              <w:numPr>
                <w:ilvl w:val="0"/>
                <w:numId w:val="31"/>
              </w:numPr>
              <w:tabs>
                <w:tab w:val="left" w:pos="0"/>
                <w:tab w:val="clear" w:pos="290"/>
              </w:tabs>
              <w:spacing w:after="0"/>
              <w:ind w:left="0" w:firstLine="0"/>
              <w:rPr>
                <w:rFonts w:ascii="Times New Roman" w:hAnsi="Times New Roman" w:cs="Times New Roman"/>
                <w:sz w:val="18"/>
                <w:szCs w:val="18"/>
                <w:lang w:val="sk-SK"/>
              </w:rPr>
            </w:pPr>
            <w:r>
              <w:rPr>
                <w:rFonts w:ascii="Times New Roman" w:hAnsi="Times New Roman" w:cs="Times New Roman"/>
                <w:sz w:val="18"/>
                <w:szCs w:val="18"/>
                <w:lang w:val="sk-SK"/>
              </w:rPr>
              <w:t xml:space="preserve">Doplňujúci dohľad nad koncentráciou rizík v regulovaných subjektoch finančného konglomerátu sa uplatňuje bez dotknutia sektorových predpisov, v súlade s predpismi ustanovenými v článku 9 ods. 2 až 4, v časti 3 tejto kapitoly a v prílohe II. </w:t>
            </w: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r>
              <w:rPr>
                <w:rFonts w:ascii="Times New Roman" w:hAnsi="Times New Roman" w:cs="Times New Roman"/>
                <w:sz w:val="18"/>
                <w:szCs w:val="18"/>
                <w:lang w:val="sk-SK"/>
              </w:rPr>
              <w:t>2.    Členské štáty musia žiadať od regulovaných subjektov alebo zmiešaných holdingových spoločností, aby pravidelne a najmenej raz ročne hlásili koordinátorovi každú významnú koncentráciu rizík na úrovni finančného konglomerátu v súlade s predpismi ustanovenými v tomto článku a v prílohe II. Potrebné informácie koordinátorovi predkladá regulovaný subjekt v zmysle článku 1, ktorý je na vrchole finančného konglomerátu, alebo ak na vrchole finančného konglomerátu nie je regulovaný subjekt v zmysle článku 1, zmiešaná finančná holdingová spoločnosť alebo regulovaný subjekt vo finančnom konglomeráte, ktorý koordinátor určí po konzultácii s ostatnými príslušnými kompetentnými orgánmi a s finančným konglomerátom.</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Tieto koncentrácie rizík podliehajú dohľadu koordinátora v súlade s časťou 3.</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3.    Členské štáty až do ďalšej koordinácie legislatívy Spoločenstva môžu stanoviť kvantitatívne limity alebo môžu povoliť, aby ich príslušné orgány stanovili kvantitatívne limity, alebo môžu prijať iné opatrenia dohľadu, ktoré zabezpečia ciele doplňujúceho dohľadu vo vzťahu k akejkoľvek koncentrácii rizík na úrovni finančného k</w:t>
            </w:r>
            <w:r>
              <w:rPr>
                <w:rFonts w:ascii="Times New Roman" w:hAnsi="Times New Roman" w:cs="Times New Roman"/>
                <w:sz w:val="18"/>
                <w:szCs w:val="18"/>
                <w:lang w:val="sk-SK"/>
              </w:rPr>
              <w:t>onglomerátu.</w:t>
            </w:r>
          </w:p>
          <w:p>
            <w:pPr>
              <w:pStyle w:val="NormalWeb"/>
              <w:rPr>
                <w:rFonts w:ascii="Times New Roman" w:hAnsi="Times New Roman" w:cs="Times New Roman"/>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4.    Ak na vrchole finančného konglomerátu je zmiešaná finančná holdingová spoločnosť, sektorové predpisy týkajúce sa koncentrácie rizík eventuálneho najdôležitejšieho finančného sektora vo finančnom konglomeráte platia pre tento sektor ako celok vrátane zmiešanej finančnej holdingovej spoločnosti.</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3"/>
              <w:rPr>
                <w:rFonts w:ascii="Times New Roman" w:hAnsi="Times New Roman" w:cs="Times New Roman"/>
                <w:sz w:val="18"/>
                <w:szCs w:val="18"/>
                <w:lang w:val="sk-SK"/>
              </w:rPr>
            </w:pPr>
          </w:p>
          <w:p>
            <w:pPr>
              <w:pStyle w:val="BodyText3"/>
              <w:rPr>
                <w:rFonts w:ascii="Times New Roman" w:hAnsi="Times New Roman" w:cs="Times New Roman"/>
                <w:sz w:val="18"/>
                <w:szCs w:val="18"/>
                <w:lang w:val="sk-SK"/>
              </w:rPr>
            </w:pPr>
          </w:p>
          <w:p>
            <w:pPr>
              <w:pStyle w:val="BodyText3"/>
              <w:rPr>
                <w:rFonts w:ascii="Times New Roman" w:hAnsi="Times New Roman" w:cs="Times New Roman"/>
                <w:sz w:val="18"/>
                <w:szCs w:val="18"/>
                <w:lang w:val="sk-SK"/>
              </w:rPr>
            </w:pPr>
          </w:p>
          <w:p>
            <w:pPr>
              <w:pStyle w:val="BodyText3"/>
              <w:rPr>
                <w:rFonts w:ascii="Times New Roman" w:hAnsi="Times New Roman" w:cs="Times New Roman"/>
                <w:sz w:val="18"/>
                <w:szCs w:val="18"/>
                <w:lang w:val="sk-SK"/>
              </w:rPr>
            </w:pPr>
          </w:p>
          <w:p>
            <w:pPr>
              <w:pStyle w:val="BodyText3"/>
              <w:rPr>
                <w:rFonts w:ascii="Times New Roman" w:hAnsi="Times New Roman" w:cs="Times New Roman"/>
                <w:sz w:val="18"/>
                <w:szCs w:val="18"/>
                <w:lang w:val="sk-SK"/>
              </w:rPr>
            </w:pPr>
          </w:p>
          <w:p>
            <w:pPr>
              <w:pStyle w:val="BodyText3"/>
              <w:rPr>
                <w:rFonts w:ascii="Times New Roman" w:hAnsi="Times New Roman" w:cs="Times New Roman"/>
                <w:sz w:val="18"/>
                <w:szCs w:val="18"/>
                <w:lang w:val="sk-SK"/>
              </w:rPr>
            </w:pPr>
          </w:p>
          <w:p>
            <w:pPr>
              <w:pStyle w:val="BodyText3"/>
              <w:rPr>
                <w:rFonts w:ascii="Times New Roman" w:hAnsi="Times New Roman" w:cs="Times New Roman"/>
                <w:sz w:val="18"/>
                <w:szCs w:val="18"/>
                <w:lang w:val="de-DE"/>
              </w:rPr>
            </w:pPr>
            <w:r>
              <w:rPr>
                <w:rFonts w:ascii="Times New Roman" w:hAnsi="Times New Roman" w:cs="Times New Roman"/>
                <w:sz w:val="18"/>
                <w:szCs w:val="18"/>
                <w:lang w:val="de-DE"/>
              </w:rPr>
              <w:t>N</w:t>
            </w: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r>
              <w:rPr>
                <w:rFonts w:ascii="Times New Roman" w:hAnsi="Times New Roman" w:cs="Times New Roman"/>
                <w:sz w:val="18"/>
                <w:szCs w:val="18"/>
                <w:lang w:val="de-DE"/>
              </w:rPr>
              <w:t>D</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X/2004 Z.z.</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48h</w:t>
            </w:r>
          </w:p>
          <w:p>
            <w:pPr>
              <w:pStyle w:val="TABUKA-textsmernice"/>
              <w:rPr>
                <w:rFonts w:ascii="Times New Roman" w:hAnsi="Times New Roman" w:cs="Times New Roman"/>
                <w:sz w:val="18"/>
                <w:szCs w:val="18"/>
              </w:rPr>
            </w:pPr>
            <w:r>
              <w:rPr>
                <w:rFonts w:ascii="Times New Roman" w:hAnsi="Times New Roman" w:cs="Times New Roman"/>
                <w:sz w:val="18"/>
                <w:szCs w:val="18"/>
              </w:rPr>
              <w:t>ods. 1</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ods. 2</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ods. 3</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ods. 4</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52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BodyText2"/>
              <w:spacing w:after="0" w:line="240" w:lineRule="auto"/>
              <w:rPr>
                <w:rFonts w:ascii="Times New Roman" w:hAnsi="Times New Roman" w:cs="Times New Roman"/>
                <w:sz w:val="18"/>
                <w:szCs w:val="18"/>
                <w:lang w:val="sk-SK"/>
              </w:rPr>
            </w:pPr>
            <w:r>
              <w:rPr>
                <w:rFonts w:ascii="Times New Roman" w:hAnsi="Times New Roman" w:cs="Times New Roman"/>
                <w:sz w:val="18"/>
                <w:szCs w:val="18"/>
                <w:lang w:val="sk-SK"/>
              </w:rPr>
              <w:t xml:space="preserve">(1) </w:t>
            </w:r>
            <w:r>
              <w:rPr>
                <w:rFonts w:ascii="Times New Roman" w:hAnsi="Times New Roman" w:cs="Times New Roman"/>
                <w:sz w:val="18"/>
                <w:lang w:val="sk-SK"/>
              </w:rPr>
              <w:t>Poisťovňa alebo zaisťovňa, ktorá ovláda finančný konglomerát je  povinná k 31. marcu kalendárneho roka alebo na žiadosť úradu predkladať úradu údaje o koncentrácií rizík  finančného konglomerátu. Ak finančný konglomerát nie je ovládaný poisťovňou alebo zaisťovňou, údaje podľa prvej vety predkladá úradu zmiešaná finančná holdingová spoločnosť  alebo regulovaná osoba určená úradom po predchádzajúcom vyjadrení regulovaných osôb alebo zmiešaných finančných holdingových spoločností tvoriacich finančný konglomerát.</w:t>
            </w:r>
            <w:r>
              <w:rPr>
                <w:rFonts w:ascii="Times New Roman" w:hAnsi="Times New Roman" w:cs="Times New Roman"/>
                <w:lang w:val="sk-SK"/>
              </w:rPr>
              <w:t xml:space="preserve">   </w:t>
            </w:r>
          </w:p>
          <w:p>
            <w:pPr>
              <w:pStyle w:val="BodyText2"/>
              <w:spacing w:after="0" w:line="240" w:lineRule="auto"/>
              <w:rPr>
                <w:rFonts w:ascii="Times New Roman" w:hAnsi="Times New Roman" w:cs="Times New Roman"/>
                <w:sz w:val="18"/>
                <w:szCs w:val="18"/>
                <w:lang w:val="sk-SK"/>
              </w:rPr>
            </w:pPr>
          </w:p>
          <w:p>
            <w:pPr>
              <w:tabs>
                <w:tab w:val="left" w:pos="426"/>
              </w:tabs>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(2) </w:t>
            </w:r>
            <w:r>
              <w:rPr>
                <w:rFonts w:ascii="Times New Roman" w:hAnsi="Times New Roman" w:cs="Times New Roman"/>
                <w:sz w:val="18"/>
                <w:lang w:val="sk-SK"/>
              </w:rPr>
              <w:t>Koncentráciou rizík finančného konglomerátu sa na účely doplňujúceho dohľadu  rozumie každá činnosť osôb tvoriacich finančný konglomerát, ktorá môže spôsobiť takú stratu,  ktorá môže ohroziť platobnú schopnosť alebo bezpčnosť a zdravie  regulovaných osôb  tvoriacich finančný konglomerát; takáto koncentrácia môže byť v  riziku protistrany, úverovom riziku, investičnom riziku, poistnom riziku, trhovom riziku, riziku likvidity, operačnom riziku a  inom riziku alebo kombinácii týchto rizík.</w:t>
            </w:r>
          </w:p>
          <w:p>
            <w:pPr>
              <w:pStyle w:val="BodyText2"/>
              <w:spacing w:after="0" w:line="240" w:lineRule="auto"/>
              <w:rPr>
                <w:rFonts w:ascii="Times New Roman" w:hAnsi="Times New Roman" w:cs="Times New Roman"/>
                <w:sz w:val="18"/>
                <w:szCs w:val="18"/>
                <w:lang w:val="sk-SK"/>
              </w:rPr>
            </w:pPr>
          </w:p>
          <w:p>
            <w:pPr>
              <w:pStyle w:val="BodyText2"/>
              <w:spacing w:after="0" w:line="240" w:lineRule="auto"/>
              <w:rPr>
                <w:rFonts w:ascii="Times New Roman" w:hAnsi="Times New Roman" w:cs="Times New Roman"/>
                <w:sz w:val="18"/>
                <w:szCs w:val="18"/>
                <w:lang w:val="sk-SK"/>
              </w:rPr>
            </w:pPr>
          </w:p>
          <w:p>
            <w:pPr>
              <w:pStyle w:val="BodyText2"/>
              <w:spacing w:after="0" w:line="240" w:lineRule="auto"/>
              <w:rPr>
                <w:rFonts w:ascii="Times New Roman" w:hAnsi="Times New Roman" w:cs="Times New Roman"/>
                <w:sz w:val="18"/>
                <w:szCs w:val="18"/>
                <w:lang w:val="sk-SK"/>
              </w:rPr>
            </w:pPr>
            <w:r>
              <w:rPr>
                <w:rFonts w:ascii="Times New Roman" w:hAnsi="Times New Roman" w:cs="Times New Roman"/>
                <w:sz w:val="18"/>
                <w:szCs w:val="18"/>
                <w:lang w:val="sk-SK"/>
              </w:rPr>
              <w:t xml:space="preserve">(3) </w:t>
            </w:r>
            <w:r>
              <w:rPr>
                <w:rFonts w:ascii="Times New Roman" w:hAnsi="Times New Roman" w:cs="Times New Roman"/>
                <w:sz w:val="18"/>
                <w:lang w:val="sk-SK"/>
              </w:rPr>
              <w:t>Ak finančný konglomerát ovláda poisťovňa alebo zaisťovňa, vzťahuje sa na koncentráciu rizík finančného konglomerátu rovnako § 31. Ak finančný konglomerát ovláda iná regulovaná osoba,  vzťahujú sa na koncentráciu rizík finančného konglomerátu primerane ustanovenia osobitného predpisu</w:t>
            </w:r>
            <w:r>
              <w:rPr>
                <w:rFonts w:ascii="Times New Roman" w:hAnsi="Times New Roman" w:cs="Times New Roman"/>
                <w:sz w:val="18"/>
                <w:vertAlign w:val="superscript"/>
                <w:lang w:val="sk-SK"/>
              </w:rPr>
              <w:t>4a)</w:t>
            </w:r>
            <w:r>
              <w:rPr>
                <w:rFonts w:ascii="Times New Roman" w:hAnsi="Times New Roman" w:cs="Times New Roman"/>
                <w:sz w:val="18"/>
                <w:lang w:val="sk-SK"/>
              </w:rPr>
              <w:t>.</w:t>
            </w:r>
            <w:r>
              <w:rPr>
                <w:rFonts w:ascii="Times New Roman" w:hAnsi="Times New Roman" w:cs="Times New Roman"/>
                <w:lang w:val="sk-SK"/>
              </w:rPr>
              <w:t xml:space="preserve">   </w:t>
            </w:r>
          </w:p>
          <w:p>
            <w:pPr>
              <w:pStyle w:val="BodyText2"/>
              <w:spacing w:after="0" w:line="240" w:lineRule="auto"/>
              <w:rPr>
                <w:rFonts w:ascii="Times New Roman" w:hAnsi="Times New Roman" w:cs="Times New Roman"/>
                <w:sz w:val="18"/>
                <w:szCs w:val="18"/>
                <w:lang w:val="sk-SK"/>
              </w:rPr>
            </w:pPr>
          </w:p>
          <w:p>
            <w:pPr>
              <w:pStyle w:val="BodyText2"/>
              <w:spacing w:after="0" w:line="240" w:lineRule="auto"/>
              <w:rPr>
                <w:rFonts w:ascii="Times New Roman" w:hAnsi="Times New Roman" w:cs="Times New Roman"/>
                <w:sz w:val="18"/>
                <w:szCs w:val="18"/>
                <w:lang w:val="sk-SK"/>
              </w:rPr>
            </w:pPr>
          </w:p>
          <w:p>
            <w:pPr>
              <w:pStyle w:val="BodyText2"/>
              <w:spacing w:line="240" w:lineRule="auto"/>
              <w:rPr>
                <w:rFonts w:ascii="Times New Roman" w:hAnsi="Times New Roman" w:cs="Times New Roman"/>
                <w:sz w:val="18"/>
              </w:rPr>
            </w:pPr>
            <w:r>
              <w:rPr>
                <w:rFonts w:ascii="Times New Roman" w:hAnsi="Times New Roman" w:cs="Times New Roman"/>
                <w:sz w:val="18"/>
              </w:rPr>
              <w:t>Ak finančný konglomerát ovláda zmiešaná finančná holdingová spoločnosť a ak je najdôležitejším finančným sektorom vo finančnom konglomeráte sektor poisťovníctva, vzťahujú sa  na  koncentráciu  rizík  sektora poisťovníctva a zmiešanej finančnej holdingovej spoločnosti primerane ustanovenia §</w:t>
            </w:r>
            <w:r>
              <w:rPr>
                <w:rFonts w:ascii="Times New Roman" w:hAnsi="Times New Roman" w:cs="Times New Roman"/>
                <w:sz w:val="18"/>
              </w:rPr>
              <w:t xml:space="preserve"> 31. </w:t>
            </w:r>
          </w:p>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Ú</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Ú</w:t>
            </w:r>
          </w:p>
          <w:p>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Týmto nie sú dotknuté ust. o koncentrácii rizík v sektorových predpisoch – zákon o bankách, z. o CP, z. o poisťovníctve.</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Uvedené vyplýva z ust. § 48c(1).</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tc>
        <w:tc>
          <w:tcPr>
            <w:tcW w:w="71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7"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Čl. 8</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spacing w:after="0"/>
              <w:rPr>
                <w:rFonts w:ascii="Times New Roman" w:hAnsi="Times New Roman" w:cs="Times New Roman"/>
                <w:b/>
                <w:sz w:val="18"/>
                <w:szCs w:val="18"/>
                <w:lang w:val="sk-SK"/>
              </w:rPr>
            </w:pPr>
            <w:r>
              <w:rPr>
                <w:rFonts w:ascii="Times New Roman" w:hAnsi="Times New Roman" w:cs="Times New Roman"/>
                <w:b/>
                <w:sz w:val="18"/>
                <w:szCs w:val="18"/>
                <w:lang w:val="sk-SK"/>
              </w:rPr>
              <w:t>Vnútroskupinové transakcie</w:t>
            </w:r>
          </w:p>
          <w:p>
            <w:pPr>
              <w:numPr>
                <w:ilvl w:val="0"/>
                <w:numId w:val="32"/>
              </w:numPr>
              <w:tabs>
                <w:tab w:val="left" w:pos="290"/>
              </w:tabs>
              <w:spacing w:after="0"/>
              <w:ind w:left="0" w:firstLine="0"/>
              <w:rPr>
                <w:rFonts w:ascii="Times New Roman" w:hAnsi="Times New Roman" w:cs="Times New Roman"/>
                <w:sz w:val="18"/>
                <w:szCs w:val="18"/>
                <w:lang w:val="sk-SK"/>
              </w:rPr>
            </w:pPr>
            <w:r>
              <w:rPr>
                <w:rFonts w:ascii="Times New Roman" w:hAnsi="Times New Roman" w:cs="Times New Roman"/>
                <w:sz w:val="18"/>
                <w:szCs w:val="18"/>
                <w:lang w:val="sk-SK"/>
              </w:rPr>
              <w:t>Doplňujúci dohľad nad vnútroskupinovými transakciami regulovaných subjektov vo finančnom konglomeráte sa vykonávajú, bez dotknutia sektorových predpisov, v súlade s predpismi ustanovenými v článku 9 ods. 2 až 4., v časti 3 tejto kapitoly a v prílohe II.</w:t>
            </w: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r>
              <w:rPr>
                <w:rFonts w:ascii="Times New Roman" w:hAnsi="Times New Roman" w:cs="Times New Roman"/>
                <w:sz w:val="18"/>
                <w:szCs w:val="18"/>
                <w:lang w:val="sk-SK"/>
              </w:rPr>
              <w:t>2.    Členské štáty musia vyžadovať, aby regulované subjekty alebo zmiešané finančné holdingové spoločnosti pravidelne a najmenej raz ročne hlásili koordinátorovi všetky významné vnútroskupinové transakcie regulovaných subjektov vo finančnom konglomeráte v súlade s predpismi ustanovenými v tomto článku a v prílohe II. Keďže nie je vypracovaná žiadna definícia limitov ustanovených v poslednej vete prvého odseku prílohy II, vnútroskupinová transakcia sa považuje za významnú ak jej suma prevyšuje najmenej 5% celkovej výšky povinnej kapitálovej primeranosti na úrovni finančného konglomerátu.</w:t>
            </w: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r>
              <w:rPr>
                <w:rFonts w:ascii="Times New Roman" w:hAnsi="Times New Roman" w:cs="Times New Roman"/>
                <w:sz w:val="18"/>
                <w:szCs w:val="18"/>
                <w:lang w:val="sk-SK"/>
              </w:rPr>
              <w:t>Potrebné informácie musí koordinátorovi predkladať regulovaný subjekt v zmysle článku 1, ktorý je na vrchole finančného konglomerátu, alebo ak na vrchole finančného konglomerátu nie je regulovaný subjekt v zmysle článku 1, zmiešaná finančná holdingová spoločnosť alebo regulovaný subjekt vo finančnom konglomeráte, ktorý koordinátor určí po konzultácii s ostatnými príslušnými kompetentnými orgánmi a s finančným konglomerátom.</w:t>
            </w:r>
          </w:p>
          <w:p>
            <w:pPr>
              <w:spacing w:after="0"/>
              <w:ind w:firstLine="0"/>
              <w:rPr>
                <w:rFonts w:ascii="Times New Roman" w:hAnsi="Times New Roman" w:cs="Times New Roman"/>
                <w:sz w:val="18"/>
                <w:szCs w:val="18"/>
                <w:lang w:val="sk-SK"/>
              </w:rPr>
            </w:pPr>
            <w:r>
              <w:rPr>
                <w:rFonts w:ascii="Times New Roman" w:hAnsi="Times New Roman" w:cs="Times New Roman"/>
                <w:sz w:val="18"/>
                <w:szCs w:val="18"/>
                <w:lang w:val="sk-SK"/>
              </w:rPr>
              <w:t>Tieto vnútroskupinové transakcie podliehajú dohľadu koordinátora.</w:t>
            </w: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p>
          <w:p>
            <w:pPr>
              <w:spacing w:after="0"/>
              <w:ind w:firstLine="0"/>
              <w:rPr>
                <w:rFonts w:ascii="Times New Roman" w:hAnsi="Times New Roman" w:cs="Times New Roman"/>
                <w:sz w:val="18"/>
                <w:szCs w:val="18"/>
                <w:lang w:val="sk-SK"/>
              </w:rPr>
            </w:pPr>
            <w:r>
              <w:rPr>
                <w:rFonts w:ascii="Times New Roman" w:hAnsi="Times New Roman" w:cs="Times New Roman"/>
                <w:sz w:val="18"/>
                <w:szCs w:val="18"/>
                <w:lang w:val="sk-SK"/>
              </w:rPr>
              <w:t>3. Členské štáty až do ďalšej koordinácie legislatívy Spoločenstva môžu stanoviť kvantitatívne limity a kvalitatívne požiadavky alebo môže povoliť svojim príslušným orgánom, aby stanovili kvantitatívne limity a kvalitatívne požiadavky, alebo môžu prijať iné opatrenia dohľadu, ktoré zabezpečia ciele doplňujúceho dohľadu vo vzťahu k vnútroskupinovými transakciám regulovaných subjektov vo finančnom konglomeráte.</w:t>
            </w:r>
          </w:p>
          <w:p>
            <w:pPr>
              <w:spacing w:after="0"/>
              <w:ind w:firstLine="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4.Ak na vrchole finančného konglomerátu stojí zmiešaná finančná holdingová spoločnosť, sektorové predpisy týkajúce sa vnútroskupinových transakcií najdôležitejšieho finančného sektora vo finančnom konglomeráte platia pre tento sektor ako celok vrátane zmiešanej finančnej holdingovej spoločnosti.</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3"/>
              <w:rPr>
                <w:rFonts w:ascii="Times New Roman" w:hAnsi="Times New Roman" w:cs="Times New Roman"/>
                <w:sz w:val="18"/>
                <w:szCs w:val="18"/>
                <w:lang w:val="de-DE"/>
              </w:rPr>
            </w:pPr>
            <w:r>
              <w:rPr>
                <w:rFonts w:ascii="Times New Roman" w:hAnsi="Times New Roman" w:cs="Times New Roman"/>
                <w:sz w:val="18"/>
                <w:szCs w:val="18"/>
                <w:lang w:val="de-DE"/>
              </w:rPr>
              <w:t>N</w:t>
            </w: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r>
              <w:rPr>
                <w:rFonts w:ascii="Times New Roman" w:hAnsi="Times New Roman" w:cs="Times New Roman"/>
                <w:sz w:val="18"/>
                <w:szCs w:val="18"/>
                <w:lang w:val="de-DE"/>
              </w:rPr>
              <w:t>D</w:t>
            </w: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X/2004 Z.z.</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48i</w:t>
            </w:r>
          </w:p>
          <w:p>
            <w:pPr>
              <w:pStyle w:val="TABUKA-textsmernice"/>
              <w:rPr>
                <w:rFonts w:ascii="Times New Roman" w:hAnsi="Times New Roman" w:cs="Times New Roman"/>
                <w:sz w:val="18"/>
                <w:szCs w:val="18"/>
              </w:rPr>
            </w:pPr>
            <w:r>
              <w:rPr>
                <w:rFonts w:ascii="Times New Roman" w:hAnsi="Times New Roman" w:cs="Times New Roman"/>
                <w:sz w:val="18"/>
                <w:szCs w:val="18"/>
              </w:rPr>
              <w:t>ods. 1</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ods. 2</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ods. 3</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ods. 1</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ods. 4</w:t>
            </w:r>
          </w:p>
        </w:tc>
        <w:tc>
          <w:tcPr>
            <w:tcW w:w="52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BodyText2"/>
              <w:spacing w:after="0" w:line="240" w:lineRule="auto"/>
              <w:rPr>
                <w:rFonts w:ascii="Times New Roman" w:hAnsi="Times New Roman" w:cs="Times New Roman"/>
                <w:sz w:val="18"/>
                <w:szCs w:val="18"/>
                <w:lang w:val="sk-SK"/>
              </w:rPr>
            </w:pPr>
            <w:r>
              <w:rPr>
                <w:rFonts w:ascii="Times New Roman" w:hAnsi="Times New Roman" w:cs="Times New Roman"/>
                <w:sz w:val="18"/>
                <w:szCs w:val="18"/>
                <w:lang w:val="sk-SK"/>
              </w:rPr>
              <w:t xml:space="preserve">(1) </w:t>
            </w:r>
            <w:r>
              <w:rPr>
                <w:rFonts w:ascii="Times New Roman" w:hAnsi="Times New Roman" w:cs="Times New Roman"/>
                <w:sz w:val="18"/>
                <w:lang w:val="sk-SK"/>
              </w:rPr>
              <w:t>Poisťovňa alebo zaisťovňa, ktorá ovláda finančný konglomerát je  povinná na žiadosť úradu, najmenej však raz ročne k 31. marcu kalendárneho roka predkladať úradu údaje o významných vnútroskupinových obchodoch finančného konglomerátu. Ak finančný konglomerát nie je ovládaný poisťovňou alebo zaisťovňou, údaje podľa prvej vety je povinná predložiť úradu zmiešaná finančná  holdingová spoločnosť alebo regulovaná osoba určená úradom po predchádzajúcom vyjadrení regulovaných osôb alebo zmiešaných finančných holdingových spoločností tvoriacich finančný konglomerát.</w:t>
            </w:r>
            <w:r>
              <w:rPr>
                <w:rFonts w:ascii="Times New Roman" w:hAnsi="Times New Roman" w:cs="Times New Roman"/>
                <w:lang w:val="sk-SK"/>
              </w:rPr>
              <w:t xml:space="preserve">   </w:t>
            </w:r>
          </w:p>
          <w:p>
            <w:pPr>
              <w:pStyle w:val="BodyText2"/>
              <w:spacing w:after="0" w:line="240" w:lineRule="auto"/>
              <w:rPr>
                <w:rFonts w:ascii="Times New Roman" w:hAnsi="Times New Roman" w:cs="Times New Roman"/>
                <w:sz w:val="18"/>
                <w:szCs w:val="18"/>
                <w:lang w:val="sk-SK"/>
              </w:rPr>
            </w:pPr>
          </w:p>
          <w:p>
            <w:pPr>
              <w:pStyle w:val="BodyText2"/>
              <w:spacing w:after="0" w:line="240" w:lineRule="auto"/>
              <w:rPr>
                <w:rFonts w:ascii="Times New Roman" w:hAnsi="Times New Roman" w:cs="Times New Roman"/>
                <w:sz w:val="18"/>
                <w:szCs w:val="18"/>
                <w:lang w:val="sk-SK"/>
              </w:rPr>
            </w:pPr>
            <w:r>
              <w:rPr>
                <w:rFonts w:ascii="Times New Roman" w:hAnsi="Times New Roman" w:cs="Times New Roman"/>
                <w:sz w:val="18"/>
                <w:szCs w:val="18"/>
                <w:lang w:val="sk-SK"/>
              </w:rPr>
              <w:t xml:space="preserve">(2) </w:t>
            </w:r>
            <w:r>
              <w:rPr>
                <w:rFonts w:ascii="Times New Roman" w:hAnsi="Times New Roman" w:cs="Times New Roman"/>
                <w:sz w:val="18"/>
                <w:lang w:val="sk-SK"/>
              </w:rPr>
              <w:t>Vnútroskupinovým obchodom sa na účely tohto zákona rozumie obchod, v  ktorom regulované osoby tvoriace finančný konglomerát priamo alebo nepriamo využívajú iné spoločnosti tej istej skupiny alebo fyzickú osobu alebo právnickú osobu, ktoré ovládajú na splnenie povinnosti bez ohľadu na to, či je táto povinnosť určená zmluvou a či je splnenie tejto povinnosti za úhradu.</w:t>
            </w:r>
          </w:p>
          <w:p>
            <w:pPr>
              <w:pStyle w:val="BodyText2"/>
              <w:spacing w:after="0" w:line="240" w:lineRule="auto"/>
              <w:rPr>
                <w:rFonts w:ascii="Times New Roman" w:hAnsi="Times New Roman" w:cs="Times New Roman"/>
                <w:sz w:val="18"/>
                <w:szCs w:val="18"/>
                <w:lang w:val="sk-SK"/>
              </w:rPr>
            </w:pPr>
          </w:p>
          <w:p>
            <w:pPr>
              <w:pStyle w:val="BodyText2"/>
              <w:spacing w:after="0" w:line="240" w:lineRule="auto"/>
              <w:rPr>
                <w:rFonts w:ascii="Times New Roman" w:hAnsi="Times New Roman" w:cs="Times New Roman"/>
                <w:sz w:val="18"/>
                <w:szCs w:val="18"/>
                <w:lang w:val="sk-SK"/>
              </w:rPr>
            </w:pPr>
            <w:r>
              <w:rPr>
                <w:rFonts w:ascii="Times New Roman" w:hAnsi="Times New Roman" w:cs="Times New Roman"/>
                <w:sz w:val="18"/>
                <w:szCs w:val="18"/>
                <w:lang w:val="sk-SK"/>
              </w:rPr>
              <w:t xml:space="preserve">(3) </w:t>
            </w:r>
            <w:r>
              <w:rPr>
                <w:rFonts w:ascii="Times New Roman" w:hAnsi="Times New Roman" w:cs="Times New Roman"/>
                <w:sz w:val="18"/>
                <w:lang w:val="sk-SK"/>
              </w:rPr>
              <w:t>Významným vnútroskupinovým obchodom sa na účely doplňujúceho dohľadu rozumie vnútroskupinový obchod,   ktorého  výška je najmenej 5 % zo zistenej výšky vlastných zdrojov na úrovni finančného konglomerátu podľa § 48g ods. 9 písm. a).</w:t>
            </w:r>
          </w:p>
          <w:p>
            <w:pPr>
              <w:pStyle w:val="TABUKA-textsmernice"/>
              <w:rPr>
                <w:rFonts w:ascii="Times New Roman" w:hAnsi="Times New Roman" w:cs="Times New Roman"/>
                <w:sz w:val="18"/>
                <w:szCs w:val="18"/>
              </w:rPr>
            </w:pPr>
          </w:p>
          <w:p>
            <w:pPr>
              <w:pStyle w:val="BodyText2"/>
              <w:spacing w:after="0" w:line="240" w:lineRule="auto"/>
              <w:rPr>
                <w:rFonts w:ascii="Times New Roman" w:hAnsi="Times New Roman" w:cs="Times New Roman"/>
                <w:sz w:val="18"/>
                <w:szCs w:val="18"/>
                <w:lang w:val="sk-SK"/>
              </w:rPr>
            </w:pPr>
            <w:r>
              <w:rPr>
                <w:rFonts w:ascii="Times New Roman" w:hAnsi="Times New Roman" w:cs="Times New Roman"/>
                <w:sz w:val="18"/>
                <w:szCs w:val="18"/>
                <w:lang w:val="sk-SK"/>
              </w:rPr>
              <w:t xml:space="preserve">(1) </w:t>
            </w:r>
            <w:r>
              <w:rPr>
                <w:rFonts w:ascii="Times New Roman" w:hAnsi="Times New Roman" w:cs="Times New Roman"/>
                <w:sz w:val="18"/>
                <w:lang w:val="sk-SK"/>
              </w:rPr>
              <w:t>Poisťovňa alebo zaisťovňa, ktorá ovláda finančný konglomerát je  povinná na žiadosť úradu, najmenej však raz ročne k 31. marcu kalendárneho roka predkladať úradu údaje o významných vnútroskupinových obchodoch finančného konglomerátu. Ak finančný konglomerát nie je ovládaný poisťovňou alebo zaisťovňou, údaje podľa prvej vety je povinná predložiť úradu zmiešaná finančná  holdingová spoločnosť alebo regulovaná osoba určená úradom po predchádzajúcom vyjadrení regulovaných osôb alebo zmiešaných finančných holdingových spoločností tvoriacich finančný konglomerát.</w:t>
            </w:r>
            <w:r>
              <w:rPr>
                <w:rFonts w:ascii="Times New Roman" w:hAnsi="Times New Roman" w:cs="Times New Roman"/>
                <w:lang w:val="sk-SK"/>
              </w:rPr>
              <w:t xml:space="preserve">   </w:t>
            </w:r>
          </w:p>
          <w:p>
            <w:pPr>
              <w:pStyle w:val="BodyText2"/>
              <w:spacing w:after="0" w:line="240" w:lineRule="auto"/>
              <w:rPr>
                <w:rFonts w:ascii="Times New Roman" w:hAnsi="Times New Roman" w:cs="Times New Roman"/>
                <w:sz w:val="18"/>
                <w:szCs w:val="18"/>
                <w:lang w:val="sk-SK"/>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xml:space="preserve">(4) </w:t>
            </w:r>
            <w:r>
              <w:rPr>
                <w:rFonts w:ascii="Times New Roman" w:hAnsi="Times New Roman" w:cs="Times New Roman"/>
                <w:sz w:val="18"/>
              </w:rPr>
              <w:t>Pri významných vnútroskupinových obcodoch s osobami s osobitným vzťahom sa postupuje  podľa  osobitného zákona</w:t>
            </w:r>
            <w:r>
              <w:rPr>
                <w:rFonts w:ascii="Times New Roman" w:hAnsi="Times New Roman" w:cs="Times New Roman"/>
                <w:sz w:val="18"/>
                <w:vertAlign w:val="superscript"/>
              </w:rPr>
              <w:t>24b)</w:t>
            </w:r>
            <w:r>
              <w:rPr>
                <w:rFonts w:ascii="Times New Roman" w:hAnsi="Times New Roman" w:cs="Times New Roman"/>
                <w:sz w:val="18"/>
              </w:rPr>
              <w:t>.</w:t>
            </w:r>
          </w:p>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Ú</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N</w:t>
            </w:r>
          </w:p>
          <w:p>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Týmto nie sú dotknuté ust. o vnútroskupinových transakciách v sektorových predpisoch – zákon o bankách, z. o CP, z. o poisťovníctve.</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Uvedené vyplýva z ust. § 48c(1).</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tc>
        <w:tc>
          <w:tcPr>
            <w:tcW w:w="71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7"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Čl. 9</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spacing w:after="0"/>
              <w:rPr>
                <w:rFonts w:ascii="Times New Roman" w:hAnsi="Times New Roman" w:cs="Times New Roman"/>
                <w:b/>
                <w:sz w:val="18"/>
                <w:szCs w:val="18"/>
                <w:lang w:val="sk-SK"/>
              </w:rPr>
            </w:pPr>
            <w:r>
              <w:rPr>
                <w:rFonts w:ascii="Times New Roman" w:hAnsi="Times New Roman" w:cs="Times New Roman"/>
                <w:b/>
                <w:sz w:val="18"/>
                <w:szCs w:val="18"/>
                <w:lang w:val="sk-SK"/>
              </w:rPr>
              <w:t>Mechanizmy vnútornej kont</w:t>
            </w:r>
            <w:r>
              <w:rPr>
                <w:rFonts w:ascii="Times New Roman" w:hAnsi="Times New Roman" w:cs="Times New Roman"/>
                <w:b/>
                <w:sz w:val="18"/>
                <w:szCs w:val="18"/>
                <w:lang w:val="sk-SK"/>
              </w:rPr>
              <w:t>roly a postupy riadenia rizík</w:t>
            </w:r>
          </w:p>
          <w:p>
            <w:pPr>
              <w:numPr>
                <w:ilvl w:val="0"/>
                <w:numId w:val="33"/>
              </w:numPr>
              <w:tabs>
                <w:tab w:val="left" w:pos="214"/>
                <w:tab w:val="clear" w:pos="290"/>
              </w:tabs>
              <w:spacing w:after="0"/>
              <w:ind w:left="0" w:firstLine="0"/>
              <w:rPr>
                <w:rFonts w:ascii="Times New Roman" w:hAnsi="Times New Roman" w:cs="Times New Roman"/>
                <w:sz w:val="18"/>
                <w:szCs w:val="18"/>
                <w:lang w:val="sk-SK"/>
              </w:rPr>
            </w:pPr>
            <w:r>
              <w:rPr>
                <w:rFonts w:ascii="Times New Roman" w:hAnsi="Times New Roman" w:cs="Times New Roman"/>
                <w:sz w:val="18"/>
                <w:szCs w:val="18"/>
                <w:lang w:val="sk-SK"/>
              </w:rPr>
              <w:t>Členské štáty musia vyžadovať, aby regulované subjekty mali na úrovni finančného konglomerátu zavedené primerané postupy riadenia rizík a mechanizmy vnútornej kontroly vrátane správnych administratívnych a účtovných postupov.</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2. Medzi postupy riadenia rizík patrí:</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(a) správny systém riadenia a správne riadenie so schvaľovaním a periodickou kontrolou stratégie a politiky príslušným riadiacim orgánom na úrovni finančného konglomerátu vo vzťahu ku všetkým rizikám, ktoré preberaj</w:t>
            </w:r>
            <w:r>
              <w:rPr>
                <w:rFonts w:ascii="Times New Roman" w:hAnsi="Times New Roman" w:cs="Times New Roman"/>
                <w:sz w:val="18"/>
                <w:szCs w:val="18"/>
                <w:lang w:val="sk-SK"/>
              </w:rPr>
              <w:t>ú;</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(b)  vhodná politika kapitálovej primeranosti na predvídanie vplyvu ich obchodnej stratégie na rizikový profil a kapitálové požiadavky určené podľa článku 6 a prílohy I;</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(c) primerané postupy na zabezpečenie, aby ich systémy monitorovania rizika boli dobre integrované do ich organizácie a aby sa prijali všetky opatrenia na zabezpečenie, aby systémy implementované vo všetkých spoločnostiach zahrnutých do predmetu doplňujúceho dohľadu boli konzistentné, čo umožní merať, monitorovať, a kontrolovať všetky riziká na úrovni finančného konglomerátu.</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3. Mechanizmy vnútornej kontroly zahŕňajú:</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(a)  primerané mechanizmy vo vzťahu ku kapitálovej primeranosti na identifikáciu a meranie všetkých nadobudnutých závažných rizík a na primerané priraďovanie vlastných f</w:t>
            </w:r>
            <w:r>
              <w:rPr>
                <w:rFonts w:ascii="Times New Roman" w:hAnsi="Times New Roman" w:cs="Times New Roman"/>
                <w:sz w:val="18"/>
                <w:szCs w:val="18"/>
                <w:lang w:val="sk-SK"/>
              </w:rPr>
              <w:t>ondov k rizikám;</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(b) správne spravodajské a účtovné postupy na identifikáciu, meranie, monitorovanie a kontrolu vnútroskupinových transakcií a koncentrácie rizík.</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4.Členské štáty zabezpečia, aby vo všetkých spoločnostiach, ktoré patria do predmetu doplňujúceho dohľadu podľa článku 5 boli primerané mechanizmy vnútornej kontroly na produkciu akýchkoľvek údajov a informácií, ktoré budú relevantné na účely doplňujúceho dohľadu.</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5. Postupy a mechanizmy ustanovené v odsekoch 1 až 4 sú predmetom dohľadu koordi</w:t>
            </w:r>
            <w:r>
              <w:rPr>
                <w:rFonts w:ascii="Times New Roman" w:hAnsi="Times New Roman" w:cs="Times New Roman"/>
                <w:sz w:val="18"/>
                <w:szCs w:val="18"/>
                <w:lang w:val="sk-SK"/>
              </w:rPr>
              <w:t>nátora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3"/>
              <w:rPr>
                <w:rFonts w:ascii="Times New Roman" w:hAnsi="Times New Roman" w:cs="Times New Roman"/>
                <w:sz w:val="18"/>
                <w:szCs w:val="18"/>
                <w:lang w:val="de-DE"/>
              </w:rPr>
            </w:pPr>
            <w:r>
              <w:rPr>
                <w:rFonts w:ascii="Times New Roman" w:hAnsi="Times New Roman" w:cs="Times New Roman"/>
                <w:sz w:val="18"/>
                <w:szCs w:val="18"/>
                <w:lang w:val="de-DE"/>
              </w:rPr>
              <w:t>N</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X/2004 Z.z.</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48j</w:t>
            </w:r>
          </w:p>
          <w:p>
            <w:pPr>
              <w:pStyle w:val="TABUKA-textsmernice"/>
              <w:rPr>
                <w:rFonts w:ascii="Times New Roman" w:hAnsi="Times New Roman" w:cs="Times New Roman"/>
                <w:sz w:val="18"/>
                <w:szCs w:val="18"/>
              </w:rPr>
            </w:pPr>
            <w:r>
              <w:rPr>
                <w:rFonts w:ascii="Times New Roman" w:hAnsi="Times New Roman" w:cs="Times New Roman"/>
                <w:sz w:val="18"/>
                <w:szCs w:val="18"/>
              </w:rPr>
              <w:t>ods. 1</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ods. 2</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ods. 3</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48f</w:t>
            </w:r>
          </w:p>
          <w:p>
            <w:pPr>
              <w:pStyle w:val="TABUKA-textsmernice"/>
              <w:rPr>
                <w:rFonts w:ascii="Times New Roman" w:hAnsi="Times New Roman" w:cs="Times New Roman"/>
                <w:sz w:val="18"/>
                <w:szCs w:val="18"/>
              </w:rPr>
            </w:pPr>
            <w:r>
              <w:rPr>
                <w:rFonts w:ascii="Times New Roman" w:hAnsi="Times New Roman" w:cs="Times New Roman"/>
                <w:sz w:val="18"/>
                <w:szCs w:val="18"/>
              </w:rPr>
              <w:t>ods. 1</w:t>
            </w:r>
          </w:p>
          <w:p>
            <w:pPr>
              <w:pStyle w:val="TABUKA-textsmernice"/>
              <w:rPr>
                <w:rFonts w:ascii="Times New Roman" w:hAnsi="Times New Roman" w:cs="Times New Roman"/>
                <w:sz w:val="18"/>
                <w:szCs w:val="18"/>
              </w:rPr>
            </w:pPr>
          </w:p>
        </w:tc>
        <w:tc>
          <w:tcPr>
            <w:tcW w:w="52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BodyText2"/>
              <w:spacing w:after="0" w:line="240" w:lineRule="auto"/>
              <w:rPr>
                <w:rFonts w:ascii="Times New Roman" w:hAnsi="Times New Roman" w:cs="Times New Roman"/>
                <w:sz w:val="18"/>
                <w:szCs w:val="18"/>
                <w:lang w:val="sk-SK"/>
              </w:rPr>
            </w:pPr>
            <w:r>
              <w:rPr>
                <w:rFonts w:ascii="Times New Roman" w:hAnsi="Times New Roman" w:cs="Times New Roman"/>
                <w:sz w:val="18"/>
                <w:szCs w:val="18"/>
                <w:lang w:val="sk-SK"/>
              </w:rPr>
              <w:t xml:space="preserve">(1) </w:t>
            </w:r>
            <w:r>
              <w:rPr>
                <w:rFonts w:ascii="Times New Roman" w:hAnsi="Times New Roman" w:cs="Times New Roman"/>
                <w:sz w:val="18"/>
                <w:lang w:val="sk-SK"/>
              </w:rPr>
              <w:t>Poisťovňa alebo zaisťovňa, ktorá je súčasťou finančného konglomerátu je povinná vytvoriť systém riadenia rizík a systém vnútornej kontroly vrátane riadiacich postupov a vedenia účtovníctva za účelom sledovania dodržiavania ustanovení tohto zákona na úrovni finančného konglomerátu.</w:t>
            </w:r>
          </w:p>
          <w:p>
            <w:pPr>
              <w:tabs>
                <w:tab w:val="left" w:pos="426"/>
              </w:tabs>
              <w:spacing w:after="0"/>
              <w:rPr>
                <w:rFonts w:ascii="Times New Roman" w:hAnsi="Times New Roman" w:cs="Times New Roman"/>
                <w:sz w:val="18"/>
                <w:szCs w:val="18"/>
                <w:lang w:val="sk-SK"/>
              </w:rPr>
            </w:pPr>
          </w:p>
          <w:p>
            <w:pPr>
              <w:tabs>
                <w:tab w:val="left" w:pos="426"/>
              </w:tabs>
              <w:rPr>
                <w:rFonts w:ascii="Times New Roman" w:hAnsi="Times New Roman" w:cs="Times New Roman"/>
                <w:sz w:val="18"/>
                <w:lang w:val="sk-SK"/>
              </w:rPr>
            </w:pPr>
            <w:r>
              <w:rPr>
                <w:rFonts w:ascii="Times New Roman" w:hAnsi="Times New Roman" w:cs="Times New Roman"/>
                <w:sz w:val="18"/>
                <w:szCs w:val="18"/>
                <w:lang w:val="sk-SK"/>
              </w:rPr>
              <w:t xml:space="preserve">(2)  </w:t>
            </w:r>
            <w:r>
              <w:rPr>
                <w:rFonts w:ascii="Times New Roman" w:hAnsi="Times New Roman" w:cs="Times New Roman"/>
                <w:sz w:val="18"/>
                <w:lang w:val="sk-SK"/>
              </w:rPr>
              <w:t xml:space="preserve">Systém riadenia rizík  na účely doplňujúceho dohľadu zahŕňa  </w:t>
            </w:r>
          </w:p>
          <w:p>
            <w:pPr>
              <w:tabs>
                <w:tab w:val="left" w:pos="426"/>
              </w:tabs>
              <w:rPr>
                <w:rFonts w:ascii="Times New Roman" w:hAnsi="Times New Roman" w:cs="Times New Roman"/>
                <w:sz w:val="18"/>
                <w:lang w:val="sk-SK"/>
              </w:rPr>
            </w:pPr>
            <w:r>
              <w:rPr>
                <w:rFonts w:ascii="Times New Roman" w:hAnsi="Times New Roman" w:cs="Times New Roman"/>
                <w:sz w:val="18"/>
                <w:lang w:val="sk-SK"/>
              </w:rPr>
              <w:t>a) vhodný systém riadenia zabezpečujúci na úrovni finančného konglomerátu schvaľovanie a pravidelnú kontrolu podnikateľskej stratégie vo vzťahu k rizikám vyplývajúcim z činnosti finančného konglomerátu,</w:t>
            </w:r>
          </w:p>
          <w:p>
            <w:pPr>
              <w:tabs>
                <w:tab w:val="left" w:pos="0"/>
              </w:tabs>
              <w:rPr>
                <w:rFonts w:ascii="Times New Roman" w:hAnsi="Times New Roman" w:cs="Times New Roman"/>
                <w:sz w:val="18"/>
                <w:lang w:val="sk-SK"/>
              </w:rPr>
            </w:pPr>
            <w:r>
              <w:rPr>
                <w:rFonts w:ascii="Times New Roman" w:hAnsi="Times New Roman" w:cs="Times New Roman"/>
                <w:sz w:val="18"/>
                <w:lang w:val="sk-SK"/>
              </w:rPr>
              <w:t xml:space="preserve">b) postupy na zabezpečenie dostatočnej výšky vlastných zdrojov, ktoré zahŕňajú možný vplyv podnikateľskej stratégie na rizikový profil a vlastné zdroje poisťovne alebo zaisťovne, </w:t>
            </w:r>
          </w:p>
          <w:p>
            <w:pPr>
              <w:tabs>
                <w:tab w:val="left" w:pos="0"/>
              </w:tabs>
              <w:spacing w:after="0"/>
              <w:rPr>
                <w:rFonts w:ascii="Times New Roman" w:hAnsi="Times New Roman" w:cs="Times New Roman"/>
                <w:sz w:val="18"/>
                <w:szCs w:val="18"/>
                <w:lang w:val="sk-SK"/>
              </w:rPr>
            </w:pPr>
            <w:r>
              <w:rPr>
                <w:rFonts w:ascii="Times New Roman" w:hAnsi="Times New Roman" w:cs="Times New Roman"/>
                <w:sz w:val="18"/>
                <w:lang w:val="sk-SK"/>
              </w:rPr>
              <w:t xml:space="preserve">       c) postupy na sledovanie  rizík  a opatrenia zabezpečujúce sledovanie a kontrolu rizík na úrovni finančného konglomerátu.</w:t>
            </w:r>
          </w:p>
          <w:p>
            <w:pPr>
              <w:tabs>
                <w:tab w:val="left" w:pos="426"/>
              </w:tabs>
              <w:spacing w:after="0"/>
              <w:rPr>
                <w:rFonts w:ascii="Times New Roman" w:hAnsi="Times New Roman" w:cs="Times New Roman"/>
                <w:sz w:val="18"/>
                <w:szCs w:val="18"/>
                <w:lang w:val="sk-SK"/>
              </w:rPr>
            </w:pPr>
          </w:p>
          <w:p>
            <w:pPr>
              <w:tabs>
                <w:tab w:val="left" w:pos="426"/>
              </w:tabs>
              <w:spacing w:after="0"/>
              <w:rPr>
                <w:rFonts w:ascii="Times New Roman" w:hAnsi="Times New Roman" w:cs="Times New Roman"/>
                <w:sz w:val="18"/>
                <w:szCs w:val="18"/>
                <w:lang w:val="sk-SK"/>
              </w:rPr>
            </w:pPr>
          </w:p>
          <w:p>
            <w:pPr>
              <w:tabs>
                <w:tab w:val="left" w:pos="426"/>
              </w:tabs>
              <w:spacing w:after="0"/>
              <w:rPr>
                <w:rFonts w:ascii="Times New Roman" w:hAnsi="Times New Roman" w:cs="Times New Roman"/>
                <w:sz w:val="18"/>
                <w:szCs w:val="18"/>
                <w:lang w:val="sk-SK"/>
              </w:rPr>
            </w:pPr>
          </w:p>
          <w:p>
            <w:pPr>
              <w:tabs>
                <w:tab w:val="left" w:pos="426"/>
              </w:tabs>
              <w:spacing w:after="0"/>
              <w:rPr>
                <w:rFonts w:ascii="Times New Roman" w:hAnsi="Times New Roman" w:cs="Times New Roman"/>
                <w:sz w:val="18"/>
                <w:szCs w:val="18"/>
                <w:lang w:val="sk-SK"/>
              </w:rPr>
            </w:pPr>
          </w:p>
          <w:p>
            <w:pPr>
              <w:tabs>
                <w:tab w:val="left" w:pos="426"/>
              </w:tabs>
              <w:spacing w:after="0"/>
              <w:rPr>
                <w:rFonts w:ascii="Times New Roman" w:hAnsi="Times New Roman" w:cs="Times New Roman"/>
                <w:sz w:val="18"/>
                <w:szCs w:val="18"/>
                <w:lang w:val="sk-SK"/>
              </w:rPr>
            </w:pPr>
          </w:p>
          <w:p>
            <w:pPr>
              <w:tabs>
                <w:tab w:val="left" w:pos="426"/>
              </w:tabs>
              <w:spacing w:after="0"/>
              <w:rPr>
                <w:rFonts w:ascii="Times New Roman" w:hAnsi="Times New Roman" w:cs="Times New Roman"/>
                <w:sz w:val="18"/>
                <w:szCs w:val="18"/>
                <w:lang w:val="sk-SK"/>
              </w:rPr>
            </w:pPr>
          </w:p>
          <w:p>
            <w:pPr>
              <w:tabs>
                <w:tab w:val="left" w:pos="426"/>
              </w:tabs>
              <w:rPr>
                <w:rFonts w:ascii="Times New Roman" w:hAnsi="Times New Roman" w:cs="Times New Roman"/>
                <w:sz w:val="18"/>
                <w:lang w:val="sk-SK"/>
              </w:rPr>
            </w:pPr>
            <w:r>
              <w:rPr>
                <w:rFonts w:ascii="Times New Roman" w:hAnsi="Times New Roman" w:cs="Times New Roman"/>
                <w:sz w:val="18"/>
                <w:szCs w:val="18"/>
                <w:lang w:val="sk-SK"/>
              </w:rPr>
              <w:t xml:space="preserve">(3)  </w:t>
            </w:r>
            <w:r>
              <w:rPr>
                <w:rFonts w:ascii="Times New Roman" w:hAnsi="Times New Roman" w:cs="Times New Roman"/>
                <w:sz w:val="18"/>
                <w:lang w:val="sk-SK"/>
              </w:rPr>
              <w:t xml:space="preserve">Systém vnútornej kontroly na účely doplňujúceho dohľadu zahŕňa hodnotenie postupov </w:t>
            </w:r>
          </w:p>
          <w:p>
            <w:pPr>
              <w:tabs>
                <w:tab w:val="left" w:pos="0"/>
              </w:tabs>
              <w:ind w:hanging="426"/>
              <w:rPr>
                <w:rFonts w:ascii="Times New Roman" w:hAnsi="Times New Roman" w:cs="Times New Roman"/>
                <w:sz w:val="18"/>
                <w:lang w:val="sk-SK"/>
              </w:rPr>
            </w:pPr>
            <w:r>
              <w:rPr>
                <w:rFonts w:ascii="Times New Roman" w:hAnsi="Times New Roman" w:cs="Times New Roman"/>
                <w:sz w:val="18"/>
                <w:lang w:val="sk-SK"/>
              </w:rPr>
              <w:t xml:space="preserve">       a) na identifikáciu a meranie rizík ovplyvňujúcich plnenie ustanovení o dostatočnej výške vlastných zdrojov na úrovni finančného konglomerátu a hodnotenie ich funkčnosti a účinnosti,  </w:t>
            </w:r>
          </w:p>
          <w:p>
            <w:pPr>
              <w:pStyle w:val="BodyText2"/>
              <w:tabs>
                <w:tab w:val="left" w:pos="0"/>
              </w:tabs>
              <w:spacing w:after="0" w:line="240" w:lineRule="auto"/>
              <w:rPr>
                <w:rFonts w:ascii="Times New Roman" w:hAnsi="Times New Roman" w:cs="Times New Roman"/>
                <w:sz w:val="18"/>
                <w:szCs w:val="18"/>
                <w:lang w:val="sk-SK"/>
              </w:rPr>
            </w:pPr>
            <w:r>
              <w:rPr>
                <w:rFonts w:ascii="Times New Roman" w:hAnsi="Times New Roman" w:cs="Times New Roman"/>
                <w:sz w:val="18"/>
                <w:lang w:val="sk-SK"/>
              </w:rPr>
              <w:t>b) účtovania a poskytovania informácií, ktoré slúžia na zisťovanie, meranie, sledovanie a kontrolu vnútroskupinových obchodov a koncentráciu rizík.</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BodyText2"/>
              <w:spacing w:line="240" w:lineRule="auto"/>
              <w:rPr>
                <w:rFonts w:ascii="Times New Roman" w:hAnsi="Times New Roman" w:cs="Times New Roman"/>
                <w:sz w:val="18"/>
                <w:lang w:val="sk-SK"/>
              </w:rPr>
            </w:pPr>
            <w:r>
              <w:rPr>
                <w:rFonts w:ascii="Times New Roman" w:hAnsi="Times New Roman" w:cs="Times New Roman"/>
                <w:sz w:val="18"/>
                <w:szCs w:val="18"/>
                <w:lang w:val="sk-SK"/>
              </w:rPr>
              <w:t xml:space="preserve">(1) </w:t>
            </w:r>
            <w:r>
              <w:rPr>
                <w:rFonts w:ascii="Times New Roman" w:hAnsi="Times New Roman" w:cs="Times New Roman"/>
                <w:sz w:val="18"/>
                <w:lang w:val="sk-SK"/>
              </w:rPr>
              <w:t>Poisťovňa alebo zaisťovňa, ktorá je súčasťou finančného konglomerátu je povinná dodržiavať podmienky podľa § 48g až 48</w:t>
            </w:r>
            <w:r>
              <w:rPr>
                <w:rFonts w:ascii="Times New Roman" w:hAnsi="Times New Roman" w:cs="Times New Roman"/>
                <w:sz w:val="18"/>
                <w:lang w:val="sk-SK"/>
              </w:rPr>
              <w:t xml:space="preserve">j, ak </w:t>
            </w:r>
          </w:p>
          <w:p>
            <w:pPr>
              <w:tabs>
                <w:tab w:val="left" w:pos="426"/>
              </w:tabs>
              <w:rPr>
                <w:rFonts w:ascii="Times New Roman" w:hAnsi="Times New Roman" w:cs="Times New Roman"/>
                <w:sz w:val="18"/>
                <w:lang w:val="sk-SK"/>
              </w:rPr>
            </w:pPr>
            <w:r>
              <w:rPr>
                <w:rFonts w:ascii="Times New Roman" w:hAnsi="Times New Roman" w:cs="Times New Roman"/>
                <w:sz w:val="18"/>
                <w:lang w:val="sk-SK"/>
              </w:rPr>
              <w:t>a)  ovláda finančný konglomerát,</w:t>
            </w:r>
          </w:p>
          <w:p>
            <w:pPr>
              <w:tabs>
                <w:tab w:val="left" w:pos="0"/>
              </w:tabs>
              <w:rPr>
                <w:rFonts w:ascii="Times New Roman" w:hAnsi="Times New Roman" w:cs="Times New Roman"/>
                <w:sz w:val="18"/>
                <w:lang w:val="sk-SK"/>
              </w:rPr>
            </w:pPr>
            <w:r>
              <w:rPr>
                <w:rFonts w:ascii="Times New Roman" w:hAnsi="Times New Roman" w:cs="Times New Roman"/>
                <w:sz w:val="18"/>
                <w:lang w:val="sk-SK"/>
              </w:rPr>
              <w:t>b) jej materskou spoločnosťou je  zmiešaná finančná holdingová spoločnosť, ktorej sídlo sa nachádza v inom členskom štáte,</w:t>
            </w:r>
          </w:p>
          <w:p>
            <w:pPr>
              <w:tabs>
                <w:tab w:val="left" w:pos="0"/>
                <w:tab w:val="left" w:pos="1500"/>
              </w:tabs>
              <w:rPr>
                <w:rFonts w:ascii="Times New Roman" w:hAnsi="Times New Roman" w:cs="Times New Roman"/>
                <w:sz w:val="18"/>
                <w:lang w:val="sk-SK"/>
              </w:rPr>
            </w:pPr>
            <w:r>
              <w:rPr>
                <w:rFonts w:ascii="Times New Roman" w:hAnsi="Times New Roman" w:cs="Times New Roman"/>
                <w:sz w:val="18"/>
                <w:lang w:val="sk-SK"/>
              </w:rPr>
              <w:t>c) je prepojená s právnickou osobou iného finančného sektora vzťahom podľa § 3 písm. f) treti</w:t>
            </w:r>
            <w:r>
              <w:rPr>
                <w:rFonts w:ascii="Times New Roman" w:hAnsi="Times New Roman" w:cs="Times New Roman"/>
                <w:sz w:val="18"/>
                <w:lang w:val="sk-SK"/>
              </w:rPr>
              <w:t>eho bodu a štvrtého bodu, alebo</w:t>
            </w:r>
          </w:p>
          <w:p>
            <w:pPr>
              <w:tabs>
                <w:tab w:val="left" w:pos="426"/>
              </w:tabs>
              <w:spacing w:after="0"/>
              <w:rPr>
                <w:rFonts w:ascii="Times New Roman" w:hAnsi="Times New Roman" w:cs="Times New Roman"/>
                <w:sz w:val="18"/>
                <w:szCs w:val="18"/>
                <w:lang w:val="sk-SK"/>
              </w:rPr>
            </w:pPr>
            <w:r>
              <w:rPr>
                <w:rFonts w:ascii="Times New Roman" w:hAnsi="Times New Roman" w:cs="Times New Roman"/>
                <w:sz w:val="18"/>
                <w:lang w:val="sk-SK"/>
              </w:rPr>
              <w:t>d) jej materskou spoločnosťou je regulovaná osoba alebo zmiešaná finančná holdingová spoločnosť so sídlom v štáte, ktorý nie je členským štátom,  ak  je v tomto štáte vykonávaný dohľad nad finančnými konglomerátmi, ktorý je rovnocenný s doplňujúcim dohľadom podľa tohto zákona.</w:t>
            </w:r>
          </w:p>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Ú</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71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7"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Čl. 10</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spacing w:after="0"/>
              <w:rPr>
                <w:rFonts w:ascii="Times New Roman" w:hAnsi="Times New Roman" w:cs="Times New Roman"/>
                <w:b/>
                <w:sz w:val="18"/>
                <w:szCs w:val="18"/>
                <w:lang w:val="sk-SK"/>
              </w:rPr>
            </w:pPr>
            <w:r>
              <w:rPr>
                <w:rFonts w:ascii="Times New Roman" w:hAnsi="Times New Roman" w:cs="Times New Roman"/>
                <w:b/>
                <w:sz w:val="18"/>
                <w:szCs w:val="18"/>
                <w:lang w:val="sk-SK"/>
              </w:rPr>
              <w:t>Príslušný orgán zodpovedný za vykonávanie doplňujúceho dohľadu (koordinátor)</w:t>
            </w:r>
          </w:p>
          <w:p>
            <w:pPr>
              <w:numPr>
                <w:ilvl w:val="0"/>
                <w:numId w:val="34"/>
              </w:numPr>
              <w:tabs>
                <w:tab w:val="left" w:pos="-70"/>
                <w:tab w:val="clear" w:pos="560"/>
              </w:tabs>
              <w:spacing w:after="0"/>
              <w:ind w:left="0" w:firstLine="0"/>
              <w:rPr>
                <w:rFonts w:ascii="Times New Roman" w:hAnsi="Times New Roman" w:cs="Times New Roman"/>
                <w:sz w:val="18"/>
                <w:szCs w:val="18"/>
                <w:lang w:val="sk-SK"/>
              </w:rPr>
            </w:pPr>
            <w:r>
              <w:rPr>
                <w:rFonts w:ascii="Times New Roman" w:hAnsi="Times New Roman" w:cs="Times New Roman"/>
                <w:sz w:val="18"/>
                <w:szCs w:val="18"/>
                <w:lang w:val="sk-SK"/>
              </w:rPr>
              <w:t>Na zabezpečenie správneho doplňujúceho dohľadu nad regulovanými subjektmi vo finančnom konglomeráte sa vymenuje jediný koordinátor zodpovedný za koordináciu a vykonávanie doplňujúceho dohľadu spomedzi príslušných orgánov príslušných členských štátov vrátane toho členského štátu, v ktorom sa nachádza sídlo zmiešanej finančnej holdingovej spoločnosti.</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2. Toto vym</w:t>
            </w:r>
            <w:r>
              <w:rPr>
                <w:rFonts w:ascii="Times New Roman" w:hAnsi="Times New Roman" w:cs="Times New Roman"/>
                <w:sz w:val="18"/>
                <w:szCs w:val="18"/>
                <w:lang w:val="sk-SK"/>
              </w:rPr>
              <w:t>enovanie sa zakladá na týchto kritériách:</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(a)  ak sa na vrchole finančného konglomerátu nachádza regulovaný subjekt, úlohou koordinátora vykonáva príslušný orgán, ktorý udelil oprávnenie danému regulovanému subjektu podľa príslušných sektorových predpisov</w:t>
            </w:r>
            <w:r>
              <w:rPr>
                <w:rFonts w:ascii="Times New Roman" w:hAnsi="Times New Roman" w:cs="Times New Roman"/>
                <w:sz w:val="18"/>
                <w:szCs w:val="18"/>
                <w:lang w:val="sk-SK"/>
              </w:rPr>
              <w:t>;</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(b)  ak sa na vrchole finančného konglomerátu nenachádza regulovaný subjekt, úlohu koordinátora vykonáva príslušný orgán určený na základe týchto princípov:</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(i) ak materskou spoločnosťou regulovaného subjektu je zmiešaná finančná holdingová spoločnosť, úlohou koordinátora vykonáva príslušný orgán, ktorý udelil oprávnenie danému regulovanému subjektu podľa príslušných sektorových predpisov;</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(ii) ak materskou  spoločnosťou viac ako jedného regulovaného subjektu so sídlom v Spoločenstve je tá istá zmiešaná finančná holdingová spoločnosť a jeden z týchto subjektov dostal oprávnenie v členskom štáte, v ktorom má sídlo zmiešaná finančná holdingová spoločnosť, úlohu koordinátora vykonáva príslušný orgán regulovaného subjektu schváleného v tom členskom štáte.</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Ak viaceré regulované subjekty, aktívne v rôznych finančných sektoroch majú oprávnenie v členskom štáte, v ktorom má sídlo zmiešaná finančná holdingová spoločnosť, úlohu koordinátora vykonáva príslušný orgán regulovaného subjektu, ktorý je aktívny v najdôležitejšom finančnom sektore.</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Ak na vrchole finančného konglomerátu je viac ako jedna zmiešaná finančná holdingová spoločnosť so sídlom v rôznych členských štátoch a v každom z týchto štátov sa nachádza regulovaný subjekt, úlohu koordinátora vykonáva príslušný orgán regulovaného subjektu s najvyšším bilančným úhrnom, ak sa tieto subjekty nachádzajú v tom istom finančnom sektore, alebo príslušný orgán regulovaného subjektu v najdôležitejšom finančnom sektore;</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(iii)  ak materskou spoločnosťou viac ako jedného regulovaného subjektu so sídlom v Spoločenstve je tá istá zmiešaná finančná holdingová spoločnosť a žiaden z týchto subjektov nedostal oprávnenie v členskom štáte, v ktorom má sídlo zmiešaná finančná holdingová spoločnosť, úlohu koordinátora vykonáva príslušný orgán, ktorý udelil oprávnenie regulovanému subjektu s najvyšším bilančným úhrnom v najdôležitejšom finančnom sektore;</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(iv)  ak finančný konglomerát je skupina bez materskej spoločnosti na vrchole alebo v akomkoľvek inom prípade úlohu koordinátora vykonáva príslušný orgán, ktorý udelil oprávnenie regulovanému subjektu s najvyšším bilančným úhrnom v najdôležitejšom finančnom sektore.</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3.V osobitných prípadoch sa príslušné kompetentné orgány môžu na základe spoločnej dohody vzdať kritérií ustanovených v odseku 2, ak by ich uplatňovanie nebolo vhodné, berúc do úvahy štruktúru konglomerátu a relatívnu dôležitosť jeho činností v rôznych štátoch a môžu vymenovať za koordinátora iný príslušný orgán. Príslušné orgány v týchto prípadoch pred prijatím rozhodnutia poskytnú konglomerátu príležitosť vyjadriť názor na toto rozhodnutie.</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3"/>
              <w:rPr>
                <w:rFonts w:ascii="Times New Roman" w:hAnsi="Times New Roman" w:cs="Times New Roman"/>
                <w:sz w:val="18"/>
                <w:szCs w:val="18"/>
                <w:lang w:val="de-DE"/>
              </w:rPr>
            </w:pPr>
            <w:r>
              <w:rPr>
                <w:rFonts w:ascii="Times New Roman" w:hAnsi="Times New Roman" w:cs="Times New Roman"/>
                <w:sz w:val="18"/>
                <w:szCs w:val="18"/>
                <w:lang w:val="de-DE"/>
              </w:rPr>
              <w:t>N</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X/2004 Z.z.</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48c</w:t>
            </w:r>
          </w:p>
          <w:p>
            <w:pPr>
              <w:pStyle w:val="TABUKA-textsmernice"/>
              <w:rPr>
                <w:rFonts w:ascii="Times New Roman" w:hAnsi="Times New Roman" w:cs="Times New Roman"/>
                <w:sz w:val="18"/>
                <w:szCs w:val="18"/>
              </w:rPr>
            </w:pPr>
            <w:r>
              <w:rPr>
                <w:rFonts w:ascii="Times New Roman" w:hAnsi="Times New Roman" w:cs="Times New Roman"/>
                <w:sz w:val="18"/>
                <w:szCs w:val="18"/>
              </w:rPr>
              <w:t>ods. 1</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48c</w:t>
            </w:r>
          </w:p>
          <w:p>
            <w:pPr>
              <w:pStyle w:val="TABUKA-textsmernice"/>
              <w:rPr>
                <w:rFonts w:ascii="Times New Roman" w:hAnsi="Times New Roman" w:cs="Times New Roman"/>
                <w:sz w:val="18"/>
                <w:szCs w:val="18"/>
              </w:rPr>
            </w:pPr>
            <w:r>
              <w:rPr>
                <w:rFonts w:ascii="Times New Roman" w:hAnsi="Times New Roman" w:cs="Times New Roman"/>
                <w:sz w:val="18"/>
                <w:szCs w:val="18"/>
              </w:rPr>
              <w:t>ods. 3</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52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tabs>
                <w:tab w:val="left" w:pos="426"/>
              </w:tabs>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(1) </w:t>
            </w:r>
            <w:r>
              <w:rPr>
                <w:rFonts w:ascii="Times New Roman" w:hAnsi="Times New Roman" w:cs="Times New Roman"/>
                <w:sz w:val="18"/>
                <w:lang w:val="sk-SK"/>
              </w:rPr>
              <w:t>Úrad vykonáva doplňujúci dohľad, ak</w:t>
            </w:r>
          </w:p>
          <w:p>
            <w:pPr>
              <w:pStyle w:val="BodyTextIndent"/>
              <w:tabs>
                <w:tab w:val="left" w:pos="360"/>
              </w:tabs>
              <w:spacing w:after="0"/>
              <w:ind w:left="0"/>
              <w:jc w:val="both"/>
              <w:rPr>
                <w:rFonts w:ascii="Times New Roman" w:hAnsi="Times New Roman" w:cs="Times New Roman"/>
                <w:sz w:val="18"/>
                <w:szCs w:val="18"/>
                <w:lang w:val="sk-SK"/>
              </w:rPr>
            </w:pPr>
          </w:p>
          <w:p>
            <w:pPr>
              <w:pStyle w:val="BodyTextIndent"/>
              <w:tabs>
                <w:tab w:val="left" w:pos="360"/>
              </w:tabs>
              <w:spacing w:after="0"/>
              <w:ind w:left="0"/>
              <w:jc w:val="both"/>
              <w:rPr>
                <w:rFonts w:ascii="Times New Roman" w:hAnsi="Times New Roman" w:cs="Times New Roman"/>
                <w:sz w:val="18"/>
                <w:szCs w:val="18"/>
                <w:lang w:val="sk-SK"/>
              </w:rPr>
            </w:pPr>
          </w:p>
          <w:p>
            <w:pPr>
              <w:pStyle w:val="BodyTextIndent"/>
              <w:tabs>
                <w:tab w:val="left" w:pos="360"/>
              </w:tabs>
              <w:spacing w:after="0"/>
              <w:ind w:left="0"/>
              <w:jc w:val="both"/>
              <w:rPr>
                <w:rFonts w:ascii="Times New Roman" w:hAnsi="Times New Roman" w:cs="Times New Roman"/>
                <w:sz w:val="18"/>
                <w:szCs w:val="18"/>
                <w:lang w:val="sk-SK"/>
              </w:rPr>
            </w:pPr>
          </w:p>
          <w:p>
            <w:pPr>
              <w:pStyle w:val="BodyTextIndent"/>
              <w:tabs>
                <w:tab w:val="left" w:pos="360"/>
              </w:tabs>
              <w:spacing w:after="0"/>
              <w:ind w:left="0"/>
              <w:jc w:val="both"/>
              <w:rPr>
                <w:rFonts w:ascii="Times New Roman" w:hAnsi="Times New Roman" w:cs="Times New Roman"/>
                <w:sz w:val="18"/>
                <w:szCs w:val="18"/>
                <w:lang w:val="sk-SK"/>
              </w:rPr>
            </w:pPr>
          </w:p>
          <w:p>
            <w:pPr>
              <w:pStyle w:val="BodyTextIndent"/>
              <w:tabs>
                <w:tab w:val="left" w:pos="360"/>
              </w:tabs>
              <w:spacing w:after="0"/>
              <w:ind w:left="0"/>
              <w:jc w:val="both"/>
              <w:rPr>
                <w:rFonts w:ascii="Times New Roman" w:hAnsi="Times New Roman" w:cs="Times New Roman"/>
                <w:sz w:val="18"/>
                <w:szCs w:val="18"/>
                <w:lang w:val="sk-SK"/>
              </w:rPr>
            </w:pPr>
          </w:p>
          <w:p>
            <w:pPr>
              <w:pStyle w:val="BodyTextIndent"/>
              <w:tabs>
                <w:tab w:val="left" w:pos="360"/>
              </w:tabs>
              <w:spacing w:after="0"/>
              <w:ind w:left="0"/>
              <w:jc w:val="both"/>
              <w:rPr>
                <w:rFonts w:ascii="Times New Roman" w:hAnsi="Times New Roman" w:cs="Times New Roman"/>
                <w:sz w:val="18"/>
                <w:szCs w:val="18"/>
                <w:lang w:val="sk-SK"/>
              </w:rPr>
            </w:pPr>
          </w:p>
          <w:p>
            <w:pPr>
              <w:pStyle w:val="BodyTextIndent"/>
              <w:tabs>
                <w:tab w:val="left" w:pos="360"/>
              </w:tabs>
              <w:spacing w:after="0"/>
              <w:ind w:left="0"/>
              <w:jc w:val="both"/>
              <w:rPr>
                <w:rFonts w:ascii="Times New Roman" w:hAnsi="Times New Roman" w:cs="Times New Roman"/>
                <w:sz w:val="18"/>
                <w:szCs w:val="18"/>
                <w:lang w:val="sk-SK"/>
              </w:rPr>
            </w:pPr>
            <w:r>
              <w:rPr>
                <w:rFonts w:ascii="Times New Roman" w:hAnsi="Times New Roman" w:cs="Times New Roman"/>
                <w:sz w:val="18"/>
                <w:szCs w:val="18"/>
                <w:lang w:val="sk-SK"/>
              </w:rPr>
              <w:t xml:space="preserve">a) </w:t>
            </w:r>
            <w:r>
              <w:rPr>
                <w:rFonts w:ascii="Times New Roman" w:hAnsi="Times New Roman" w:cs="Times New Roman"/>
                <w:sz w:val="18"/>
                <w:lang w:val="sk-SK"/>
              </w:rPr>
              <w:t>finančný konglomerát je ovládaný poisťovňou alebo zaisťovňou,</w:t>
            </w:r>
          </w:p>
          <w:p>
            <w:pPr>
              <w:tabs>
                <w:tab w:val="left" w:pos="360"/>
                <w:tab w:val="left" w:pos="426"/>
              </w:tabs>
              <w:spacing w:after="0"/>
              <w:rPr>
                <w:rFonts w:ascii="Times New Roman" w:hAnsi="Times New Roman" w:cs="Times New Roman"/>
                <w:sz w:val="18"/>
                <w:szCs w:val="18"/>
                <w:lang w:val="sk-SK"/>
              </w:rPr>
            </w:pPr>
          </w:p>
          <w:p>
            <w:pPr>
              <w:tabs>
                <w:tab w:val="left" w:pos="360"/>
                <w:tab w:val="left" w:pos="426"/>
              </w:tabs>
              <w:spacing w:after="0"/>
              <w:rPr>
                <w:rFonts w:ascii="Times New Roman" w:hAnsi="Times New Roman" w:cs="Times New Roman"/>
                <w:sz w:val="18"/>
                <w:szCs w:val="18"/>
                <w:lang w:val="sk-SK"/>
              </w:rPr>
            </w:pPr>
          </w:p>
          <w:p>
            <w:pPr>
              <w:tabs>
                <w:tab w:val="left" w:pos="360"/>
                <w:tab w:val="left" w:pos="426"/>
              </w:tabs>
              <w:spacing w:after="0"/>
              <w:rPr>
                <w:rFonts w:ascii="Times New Roman" w:hAnsi="Times New Roman" w:cs="Times New Roman"/>
                <w:sz w:val="18"/>
                <w:szCs w:val="18"/>
                <w:lang w:val="sk-SK"/>
              </w:rPr>
            </w:pPr>
          </w:p>
          <w:p>
            <w:pPr>
              <w:tabs>
                <w:tab w:val="left" w:pos="360"/>
                <w:tab w:val="left" w:pos="426"/>
              </w:tabs>
              <w:spacing w:after="0"/>
              <w:rPr>
                <w:rFonts w:ascii="Times New Roman" w:hAnsi="Times New Roman" w:cs="Times New Roman"/>
                <w:sz w:val="18"/>
                <w:szCs w:val="18"/>
                <w:lang w:val="sk-SK"/>
              </w:rPr>
            </w:pPr>
          </w:p>
          <w:p>
            <w:pPr>
              <w:tabs>
                <w:tab w:val="left" w:pos="360"/>
                <w:tab w:val="left" w:pos="426"/>
              </w:tabs>
              <w:spacing w:after="0"/>
              <w:rPr>
                <w:rFonts w:ascii="Times New Roman" w:hAnsi="Times New Roman" w:cs="Times New Roman"/>
                <w:sz w:val="18"/>
                <w:szCs w:val="18"/>
                <w:lang w:val="sk-SK"/>
              </w:rPr>
            </w:pPr>
          </w:p>
          <w:p>
            <w:pPr>
              <w:tabs>
                <w:tab w:val="left" w:pos="360"/>
                <w:tab w:val="left" w:pos="426"/>
              </w:tabs>
              <w:spacing w:after="0"/>
              <w:rPr>
                <w:rFonts w:ascii="Times New Roman" w:hAnsi="Times New Roman" w:cs="Times New Roman"/>
                <w:sz w:val="18"/>
                <w:szCs w:val="18"/>
                <w:lang w:val="sk-SK"/>
              </w:rPr>
            </w:pPr>
          </w:p>
          <w:p>
            <w:pPr>
              <w:tabs>
                <w:tab w:val="left" w:pos="360"/>
                <w:tab w:val="left" w:pos="426"/>
              </w:tabs>
              <w:spacing w:after="0"/>
              <w:rPr>
                <w:rFonts w:ascii="Times New Roman" w:hAnsi="Times New Roman" w:cs="Times New Roman"/>
                <w:sz w:val="18"/>
                <w:szCs w:val="18"/>
                <w:lang w:val="sk-SK"/>
              </w:rPr>
            </w:pPr>
          </w:p>
          <w:p>
            <w:pPr>
              <w:tabs>
                <w:tab w:val="left" w:pos="360"/>
                <w:tab w:val="left" w:pos="426"/>
              </w:tabs>
              <w:rPr>
                <w:rFonts w:ascii="Times New Roman" w:hAnsi="Times New Roman" w:cs="Times New Roman"/>
                <w:sz w:val="18"/>
                <w:lang w:val="sk-SK"/>
              </w:rPr>
            </w:pPr>
            <w:r>
              <w:rPr>
                <w:rFonts w:ascii="Times New Roman" w:hAnsi="Times New Roman" w:cs="Times New Roman"/>
                <w:sz w:val="18"/>
                <w:szCs w:val="18"/>
                <w:lang w:val="sk-SK"/>
              </w:rPr>
              <w:t xml:space="preserve">b) </w:t>
            </w:r>
            <w:r>
              <w:rPr>
                <w:rFonts w:ascii="Times New Roman" w:hAnsi="Times New Roman" w:cs="Times New Roman"/>
                <w:sz w:val="18"/>
                <w:lang w:val="sk-SK"/>
              </w:rPr>
              <w:t xml:space="preserve">finančný konglomerát je ovládaný zmiešanou finančnou holdingovou spoločnosťou, ktorá je  materskou spoločnosťou poisťovne alebo zaisťovne a finančný konglomerát netvoria ďalšie regulované osoby, </w:t>
            </w:r>
          </w:p>
          <w:p>
            <w:pPr>
              <w:pStyle w:val="BodyTextIndent"/>
              <w:tabs>
                <w:tab w:val="left" w:pos="360"/>
              </w:tabs>
              <w:spacing w:after="0"/>
              <w:ind w:left="0"/>
              <w:jc w:val="both"/>
              <w:rPr>
                <w:rFonts w:ascii="Times New Roman" w:hAnsi="Times New Roman" w:cs="Times New Roman"/>
                <w:sz w:val="18"/>
                <w:szCs w:val="18"/>
                <w:lang w:val="sk-SK"/>
              </w:rPr>
            </w:pPr>
            <w:r>
              <w:rPr>
                <w:rFonts w:ascii="Times New Roman" w:hAnsi="Times New Roman" w:cs="Times New Roman"/>
                <w:sz w:val="18"/>
                <w:lang w:val="sk-SK"/>
              </w:rPr>
              <w:t>c) materskou spoločnosťou poisťovne alebo zaisťovne je zmiešaná finančná holdingová  spoločnosť a finančný konglomerát tvoria ďalšie regulované osoby so sídlom v inom členskom štáte, pričom najvýznamnejším finančným sektorom finančného konglomerátu je sektor poisťo</w:t>
            </w:r>
            <w:r>
              <w:rPr>
                <w:rFonts w:ascii="Times New Roman" w:hAnsi="Times New Roman" w:cs="Times New Roman"/>
                <w:sz w:val="18"/>
                <w:lang w:val="sk-SK"/>
              </w:rPr>
              <w:t>vníctva,</w:t>
            </w:r>
          </w:p>
          <w:p>
            <w:pPr>
              <w:pStyle w:val="BodyText2"/>
              <w:tabs>
                <w:tab w:val="left" w:pos="0"/>
              </w:tabs>
              <w:spacing w:after="0" w:line="240" w:lineRule="auto"/>
              <w:rPr>
                <w:rFonts w:ascii="Times New Roman" w:hAnsi="Times New Roman" w:cs="Times New Roman"/>
                <w:sz w:val="18"/>
                <w:szCs w:val="18"/>
                <w:lang w:val="sk-SK"/>
              </w:rPr>
            </w:pPr>
          </w:p>
          <w:p>
            <w:pPr>
              <w:pStyle w:val="BodyText2"/>
              <w:tabs>
                <w:tab w:val="left" w:pos="0"/>
              </w:tabs>
              <w:spacing w:after="0" w:line="240" w:lineRule="auto"/>
              <w:rPr>
                <w:rFonts w:ascii="Times New Roman" w:hAnsi="Times New Roman" w:cs="Times New Roman"/>
                <w:sz w:val="18"/>
                <w:szCs w:val="18"/>
                <w:lang w:val="sk-SK"/>
              </w:rPr>
            </w:pPr>
          </w:p>
          <w:p>
            <w:pPr>
              <w:pStyle w:val="BodyText2"/>
              <w:tabs>
                <w:tab w:val="left" w:pos="0"/>
              </w:tabs>
              <w:spacing w:after="0" w:line="240" w:lineRule="auto"/>
              <w:rPr>
                <w:rFonts w:ascii="Times New Roman" w:hAnsi="Times New Roman" w:cs="Times New Roman"/>
                <w:sz w:val="18"/>
                <w:szCs w:val="18"/>
                <w:lang w:val="sk-SK"/>
              </w:rPr>
            </w:pPr>
          </w:p>
          <w:p>
            <w:pPr>
              <w:pStyle w:val="BodyText2"/>
              <w:tabs>
                <w:tab w:val="left" w:pos="0"/>
              </w:tabs>
              <w:spacing w:after="0" w:line="240" w:lineRule="auto"/>
              <w:rPr>
                <w:rFonts w:ascii="Times New Roman" w:hAnsi="Times New Roman" w:cs="Times New Roman"/>
                <w:sz w:val="18"/>
                <w:szCs w:val="18"/>
                <w:lang w:val="sk-SK"/>
              </w:rPr>
            </w:pPr>
          </w:p>
          <w:p>
            <w:pPr>
              <w:pStyle w:val="BodyText2"/>
              <w:tabs>
                <w:tab w:val="left" w:pos="0"/>
              </w:tabs>
              <w:spacing w:after="0" w:line="240" w:lineRule="auto"/>
              <w:rPr>
                <w:rFonts w:ascii="Times New Roman" w:hAnsi="Times New Roman" w:cs="Times New Roman"/>
                <w:sz w:val="18"/>
                <w:szCs w:val="18"/>
                <w:lang w:val="sk-SK"/>
              </w:rPr>
            </w:pPr>
          </w:p>
          <w:p>
            <w:pPr>
              <w:pStyle w:val="BodyText2"/>
              <w:tabs>
                <w:tab w:val="left" w:pos="0"/>
              </w:tabs>
              <w:spacing w:after="0" w:line="240" w:lineRule="auto"/>
              <w:rPr>
                <w:rFonts w:ascii="Times New Roman" w:hAnsi="Times New Roman" w:cs="Times New Roman"/>
                <w:sz w:val="18"/>
                <w:szCs w:val="18"/>
                <w:lang w:val="sk-SK"/>
              </w:rPr>
            </w:pPr>
          </w:p>
          <w:p>
            <w:pPr>
              <w:pStyle w:val="BodyText2"/>
              <w:tabs>
                <w:tab w:val="left" w:pos="0"/>
              </w:tabs>
              <w:spacing w:after="0" w:line="240" w:lineRule="auto"/>
              <w:rPr>
                <w:rFonts w:ascii="Times New Roman" w:hAnsi="Times New Roman" w:cs="Times New Roman"/>
                <w:sz w:val="18"/>
                <w:szCs w:val="18"/>
                <w:lang w:val="sk-SK"/>
              </w:rPr>
            </w:pPr>
          </w:p>
          <w:p>
            <w:pPr>
              <w:pStyle w:val="BodyText2"/>
              <w:tabs>
                <w:tab w:val="left" w:pos="0"/>
              </w:tabs>
              <w:spacing w:after="0" w:line="240" w:lineRule="auto"/>
              <w:rPr>
                <w:rFonts w:ascii="Times New Roman" w:hAnsi="Times New Roman" w:cs="Times New Roman"/>
                <w:sz w:val="18"/>
                <w:szCs w:val="18"/>
                <w:lang w:val="sk-SK"/>
              </w:rPr>
            </w:pPr>
          </w:p>
          <w:p>
            <w:pPr>
              <w:pStyle w:val="BodyText2"/>
              <w:tabs>
                <w:tab w:val="left" w:pos="0"/>
              </w:tabs>
              <w:spacing w:line="240" w:lineRule="auto"/>
              <w:rPr>
                <w:rFonts w:ascii="Times New Roman" w:hAnsi="Times New Roman" w:cs="Times New Roman"/>
                <w:sz w:val="18"/>
                <w:lang w:val="sk-SK"/>
              </w:rPr>
            </w:pPr>
            <w:r>
              <w:rPr>
                <w:rFonts w:ascii="Times New Roman" w:hAnsi="Times New Roman" w:cs="Times New Roman"/>
                <w:sz w:val="18"/>
                <w:szCs w:val="18"/>
                <w:lang w:val="sk-SK"/>
              </w:rPr>
              <w:t xml:space="preserve">d) </w:t>
            </w:r>
            <w:r>
              <w:rPr>
                <w:rFonts w:ascii="Times New Roman" w:hAnsi="Times New Roman" w:cs="Times New Roman"/>
                <w:sz w:val="18"/>
                <w:lang w:val="sk-SK"/>
              </w:rPr>
              <w:t xml:space="preserve">finančný konglomerát je ovládaný viac ako jednou zmiešanou finančnou  holdingovou spoločnosťou so sídlom v rôznych členských štátoch a v každom z týchto členských štátov má sídlo regulovaná osoba, pričom regulovanou osobou s najvyššími celkovými aktívami vo finančnom konglomeráte je poisťovňa alebo zaisťovňa, alebo ak  najvýznamnejším finančným sektorom finančného konglomerátu je sektor poisťovníctva; ak je  súčasťou sektora poisťovníctva aj poisťovňa alebo zaisťovňa so sídlom v inom členskom štáte, ak sa tak úrad dohodol s  príslušným orgánom dohľadu tohto členského štátu, </w:t>
            </w:r>
          </w:p>
          <w:p>
            <w:pPr>
              <w:pStyle w:val="BodyTextIndent"/>
              <w:ind w:left="0"/>
              <w:rPr>
                <w:rFonts w:ascii="Times New Roman" w:hAnsi="Times New Roman" w:cs="Times New Roman"/>
                <w:sz w:val="18"/>
                <w:lang w:val="sk-SK"/>
              </w:rPr>
            </w:pPr>
            <w:r>
              <w:rPr>
                <w:rFonts w:ascii="Times New Roman" w:hAnsi="Times New Roman" w:cs="Times New Roman"/>
                <w:sz w:val="18"/>
                <w:lang w:val="sk-SK"/>
              </w:rPr>
              <w:t xml:space="preserve">e) finančný konglomerát je ovládaný zmiešanou finančnou holdingovou spoločnosťou so sídlom v Slovenskej republike, ktorá je materskou spoločnosťou  viac ako jednej regulovanej osoby so sídlom v inom členskom štáte a žiadnej z týchto  regulovaných osôb nebolo udelené povolenie v Slovenskej republike, pričom najvýznamnejším finančným sektorom finančného konglomerátu  je sektor poisťovníctva, </w:t>
            </w:r>
          </w:p>
          <w:p>
            <w:pPr>
              <w:pStyle w:val="BodyTextIndent"/>
              <w:spacing w:after="0"/>
              <w:ind w:left="0"/>
              <w:jc w:val="both"/>
              <w:rPr>
                <w:rFonts w:ascii="Times New Roman" w:hAnsi="Times New Roman" w:cs="Times New Roman"/>
                <w:sz w:val="18"/>
                <w:szCs w:val="18"/>
                <w:lang w:val="sk-SK"/>
              </w:rPr>
            </w:pPr>
            <w:r>
              <w:rPr>
                <w:rFonts w:ascii="Times New Roman" w:hAnsi="Times New Roman" w:cs="Times New Roman"/>
                <w:sz w:val="18"/>
                <w:lang w:val="sk-SK"/>
              </w:rPr>
              <w:t>f) finančný konglomerát nie je ovládaný materskou spoločnosťou  alebo v  inom prípade ako je uvedené v písmenách a) až e), ak najvýznamnejším finančným sektorom finančného konglomerátu  je sektor poisťovníctva a regulovanou osobou s najvyššími  celkovými aktívami v tomto sektore je poisťovňa alebo zaisťovňa.</w:t>
            </w:r>
          </w:p>
          <w:p>
            <w:pPr>
              <w:pStyle w:val="BodyText2"/>
              <w:tabs>
                <w:tab w:val="left" w:pos="0"/>
              </w:tabs>
              <w:spacing w:after="0" w:line="240" w:lineRule="auto"/>
              <w:rPr>
                <w:rFonts w:ascii="Times New Roman" w:hAnsi="Times New Roman" w:cs="Times New Roman"/>
                <w:sz w:val="18"/>
                <w:szCs w:val="18"/>
                <w:lang w:val="sk-SK"/>
              </w:rPr>
            </w:pPr>
          </w:p>
          <w:p>
            <w:pPr>
              <w:pStyle w:val="BodyText2"/>
              <w:tabs>
                <w:tab w:val="left" w:pos="0"/>
              </w:tabs>
              <w:spacing w:after="0" w:line="240" w:lineRule="auto"/>
              <w:rPr>
                <w:rFonts w:ascii="Times New Roman" w:hAnsi="Times New Roman" w:cs="Times New Roman"/>
                <w:sz w:val="18"/>
                <w:szCs w:val="18"/>
                <w:lang w:val="sk-SK"/>
              </w:rPr>
            </w:pPr>
          </w:p>
          <w:p>
            <w:pPr>
              <w:pStyle w:val="BodyText2"/>
              <w:tabs>
                <w:tab w:val="left" w:pos="0"/>
              </w:tabs>
              <w:spacing w:after="0" w:line="240" w:lineRule="auto"/>
              <w:rPr>
                <w:rFonts w:ascii="Times New Roman" w:hAnsi="Times New Roman" w:cs="Times New Roman"/>
                <w:sz w:val="18"/>
                <w:szCs w:val="18"/>
                <w:lang w:val="sk-SK"/>
              </w:rPr>
            </w:pPr>
          </w:p>
          <w:p>
            <w:pPr>
              <w:pStyle w:val="BodyText2"/>
              <w:tabs>
                <w:tab w:val="left" w:pos="0"/>
              </w:tabs>
              <w:spacing w:after="0" w:line="240" w:lineRule="auto"/>
              <w:rPr>
                <w:rFonts w:ascii="Times New Roman" w:hAnsi="Times New Roman" w:cs="Times New Roman"/>
                <w:sz w:val="18"/>
                <w:szCs w:val="18"/>
                <w:lang w:val="sk-SK"/>
              </w:rPr>
            </w:pPr>
          </w:p>
          <w:p>
            <w:pPr>
              <w:pStyle w:val="BodyText2"/>
              <w:tabs>
                <w:tab w:val="left" w:pos="0"/>
              </w:tabs>
              <w:spacing w:after="0" w:line="240" w:lineRule="auto"/>
              <w:rPr>
                <w:rFonts w:ascii="Times New Roman" w:hAnsi="Times New Roman" w:cs="Times New Roman"/>
                <w:sz w:val="18"/>
                <w:szCs w:val="18"/>
                <w:lang w:val="sk-SK"/>
              </w:rPr>
            </w:pPr>
          </w:p>
          <w:p>
            <w:pPr>
              <w:pStyle w:val="BodyText2"/>
              <w:tabs>
                <w:tab w:val="left" w:pos="0"/>
              </w:tabs>
              <w:spacing w:after="0" w:line="240" w:lineRule="auto"/>
              <w:rPr>
                <w:rFonts w:ascii="Times New Roman" w:hAnsi="Times New Roman" w:cs="Times New Roman"/>
                <w:sz w:val="18"/>
                <w:szCs w:val="18"/>
                <w:lang w:val="sk-SK"/>
              </w:rPr>
            </w:pPr>
            <w:r>
              <w:rPr>
                <w:rFonts w:ascii="Times New Roman" w:hAnsi="Times New Roman" w:cs="Times New Roman"/>
                <w:sz w:val="18"/>
                <w:szCs w:val="18"/>
                <w:lang w:val="sk-SK"/>
              </w:rPr>
              <w:t xml:space="preserve">(3) </w:t>
            </w:r>
            <w:r>
              <w:rPr>
                <w:rFonts w:ascii="Times New Roman" w:hAnsi="Times New Roman" w:cs="Times New Roman"/>
                <w:sz w:val="18"/>
                <w:lang w:val="sk-SK"/>
              </w:rPr>
              <w:t>Úrad  môže na základe dohody s Národnou bankou Slovenska alebo s príslušnými orgánmi dohľadu iných členských štátov, zodpovednými za dohľad nad regulovanými osobami tvoriacimi finančný konglomerát a po vyjadrení osoby ovládajúcej príslušný finančný konglomerát prenechať výkon doplňujúceho dohľadu v prípadoch uvedených v odseku 1 Národnej banke Slovenska alebo príslušnému orgánu dohľadu iného členského štátu, ak je to vhodné z hľadiska plnenia cieľov doplňujúceho dohľadu.</w:t>
            </w:r>
          </w:p>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Ú</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71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7"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Čl. 11</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spacing w:after="0"/>
              <w:rPr>
                <w:rFonts w:ascii="Times New Roman" w:hAnsi="Times New Roman" w:cs="Times New Roman"/>
                <w:b/>
                <w:sz w:val="18"/>
                <w:szCs w:val="18"/>
                <w:lang w:val="sk-SK"/>
              </w:rPr>
            </w:pPr>
            <w:r>
              <w:rPr>
                <w:rFonts w:ascii="Times New Roman" w:hAnsi="Times New Roman" w:cs="Times New Roman"/>
                <w:b/>
                <w:sz w:val="18"/>
                <w:szCs w:val="18"/>
                <w:lang w:val="sk-SK"/>
              </w:rPr>
              <w:t>Úlohy koordinátora</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1.  Medzi úlohy, ktoré má koordinátor vykonávať v oblasti doplňujúceho dohľadu patrí:</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(a)   koordinácia zberu a rozširovania relevantných alebo dôležitých informácií za normálnej činnosti a v kritických situáciách vrátane rozširovania informácií, ktoré sú dôležité na úlohu príslušného orgánu v oblasti dohľadu podľa sektorových predpisov;</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(b)prehľad o finančnej situácii a hodnotenie finančnej situácie finančného konglomerátu na potreby dohľadu;</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(c) hodnotenie súladu s predpismi o kapitálovej primeranosti, koncentrácii rizík a vnútroskupinových transakciách, ktoré sa ustanovujú v článkoch 6, 7 a 8;</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(d)   hodnotenie štruktúry finančného konglomerátu, jeho organizácie a systému vnútornej kontroly ustanoveného v článku 9;</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(e) plánovanie a koordinácia činností dohľadu za normálnej činnosti a v kritických situáciách v spolupráci so zainteresovanými príslušnými kompetentnými orgánmi;</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(f)ostatné úlohy, opatrenia a rozhodnutia pridelené koordinátorovi podľa tejto smernice alebo odvodené z uplatňovania tejto smernice.</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Koordinátor a ostatné príslušné kompetentné orgány a v prípade potreby ostatné dotknuté príslušné orgány musia mať zavedené mechanizmy koordinácie na uľahčenie a vytvorenie doplňujúceho dohľadu na širokom právnom základe. Mechanizmy koordinácie môžu poveriť koordinátora dodatočnými úlohami a môžu špecifikovať postupy procesu rozhodovania medzi príslušnými kompetentnými orgánmi, ktorý sa ustanovuje v článkoch 3, 4 , 5 ods. 4, 6, 12 ods. 2, 16 a 18 a spolupráce s prís</w:t>
            </w:r>
            <w:r>
              <w:rPr>
                <w:rFonts w:ascii="Times New Roman" w:hAnsi="Times New Roman" w:cs="Times New Roman"/>
                <w:sz w:val="18"/>
                <w:szCs w:val="18"/>
                <w:lang w:val="sk-SK"/>
              </w:rPr>
              <w:t>lušnými orgánmi.</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2.Keď koordinátor potrebuje informácie, ktoré už boli poskytnuté inému príslušnému orgánu v súlade so sektorovými predpismi, musí kontaktovať tento orgán vždy, keď je to možné, aby  zabránil duplicitnému spravodajstvu pre rôzne orgány zaangažované v dohľade.</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3.Prítomnosť koordinátora povereného špecifickými úlohami týkajúcimi sa doplňujúceho dohľadu nad regulovanými subjektmi vo finančnom konglomeráte, bez dotknutia možnosti delegovania špecifických kompetencií a povinností dohľadu, nemá v</w:t>
            </w:r>
            <w:r>
              <w:rPr>
                <w:rFonts w:ascii="Times New Roman" w:hAnsi="Times New Roman" w:cs="Times New Roman"/>
                <w:sz w:val="18"/>
                <w:szCs w:val="18"/>
                <w:lang w:val="sk-SK"/>
              </w:rPr>
              <w:t>plyv na úlohy a povinnosti príslušných orgánov, ktoré sa ustanovujú v sektorových predpisoch.</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3"/>
              <w:rPr>
                <w:rFonts w:ascii="Times New Roman" w:hAnsi="Times New Roman" w:cs="Times New Roman"/>
                <w:sz w:val="18"/>
                <w:szCs w:val="18"/>
                <w:lang w:val="de-DE"/>
              </w:rPr>
            </w:pPr>
            <w:r>
              <w:rPr>
                <w:rFonts w:ascii="Times New Roman" w:hAnsi="Times New Roman" w:cs="Times New Roman"/>
                <w:sz w:val="18"/>
                <w:szCs w:val="18"/>
                <w:lang w:val="de-DE"/>
              </w:rPr>
              <w:t>N</w:t>
            </w: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X/2004 Z.z.</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48k</w:t>
            </w:r>
          </w:p>
          <w:p>
            <w:pPr>
              <w:pStyle w:val="TABUKA-textsmernice"/>
              <w:rPr>
                <w:rFonts w:ascii="Times New Roman" w:hAnsi="Times New Roman" w:cs="Times New Roman"/>
                <w:sz w:val="18"/>
                <w:szCs w:val="18"/>
              </w:rPr>
            </w:pPr>
            <w:r>
              <w:rPr>
                <w:rFonts w:ascii="Times New Roman" w:hAnsi="Times New Roman" w:cs="Times New Roman"/>
                <w:sz w:val="18"/>
                <w:szCs w:val="18"/>
              </w:rPr>
              <w:t>ods. 1</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ods. 2</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ods. 3</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52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BodyText2"/>
              <w:spacing w:after="0" w:line="240" w:lineRule="auto"/>
              <w:rPr>
                <w:rFonts w:ascii="Times New Roman" w:hAnsi="Times New Roman" w:cs="Times New Roman"/>
                <w:sz w:val="18"/>
                <w:szCs w:val="18"/>
                <w:lang w:val="sk-SK"/>
              </w:rPr>
            </w:pPr>
            <w:r>
              <w:rPr>
                <w:rFonts w:ascii="Times New Roman" w:hAnsi="Times New Roman" w:cs="Times New Roman"/>
                <w:sz w:val="18"/>
                <w:szCs w:val="18"/>
                <w:lang w:val="sk-SK"/>
              </w:rPr>
              <w:t xml:space="preserve">(1)  </w:t>
            </w:r>
            <w:r>
              <w:rPr>
                <w:rFonts w:ascii="Times New Roman" w:hAnsi="Times New Roman" w:cs="Times New Roman"/>
                <w:sz w:val="18"/>
                <w:lang w:val="sk-SK"/>
              </w:rPr>
              <w:t>Úrad pri výkone doplňujúceho dohľadu podľa § 48c</w:t>
            </w:r>
            <w:r>
              <w:rPr>
                <w:rFonts w:ascii="Times New Roman" w:hAnsi="Times New Roman" w:cs="Times New Roman"/>
                <w:lang w:val="sk-SK"/>
              </w:rPr>
              <w:t xml:space="preserve">  </w:t>
            </w:r>
          </w:p>
          <w:p>
            <w:pPr>
              <w:pStyle w:val="BodyText2"/>
              <w:spacing w:line="240" w:lineRule="auto"/>
              <w:rPr>
                <w:rFonts w:ascii="Times New Roman" w:hAnsi="Times New Roman" w:cs="Times New Roman"/>
                <w:sz w:val="18"/>
                <w:lang w:val="sk-SK"/>
              </w:rPr>
            </w:pPr>
            <w:r>
              <w:rPr>
                <w:rFonts w:ascii="Times New Roman" w:hAnsi="Times New Roman" w:cs="Times New Roman"/>
                <w:sz w:val="18"/>
                <w:lang w:val="sk-SK"/>
              </w:rPr>
              <w:t xml:space="preserve">a) zabezpečuje koordináciu zhromažďovania a rozširovania informácií potrebných na sledovanie činnosti finančného konglomerátu a poskytovanie informácií dôležitých na výkon doplňujúceho dohľadu v jednotlivých finančných sektoroch Národnej banke Slovenska a príslušnými orgánmi dohľadu iných štátov vykonávajúcich dohľad nad regulovanými osobami, tvoriacimi finančný konglomerát, </w:t>
            </w:r>
          </w:p>
          <w:p>
            <w:pPr>
              <w:tabs>
                <w:tab w:val="left" w:pos="426"/>
              </w:tabs>
              <w:rPr>
                <w:rFonts w:ascii="Times New Roman" w:hAnsi="Times New Roman" w:cs="Times New Roman"/>
                <w:sz w:val="18"/>
                <w:lang w:val="sk-SK"/>
              </w:rPr>
            </w:pPr>
          </w:p>
          <w:p>
            <w:pPr>
              <w:tabs>
                <w:tab w:val="left" w:pos="426"/>
              </w:tabs>
              <w:rPr>
                <w:rFonts w:ascii="Times New Roman" w:hAnsi="Times New Roman" w:cs="Times New Roman"/>
                <w:sz w:val="18"/>
                <w:lang w:val="sk-SK"/>
              </w:rPr>
            </w:pPr>
          </w:p>
          <w:p>
            <w:pPr>
              <w:tabs>
                <w:tab w:val="left" w:pos="426"/>
              </w:tabs>
              <w:rPr>
                <w:rFonts w:ascii="Times New Roman" w:hAnsi="Times New Roman" w:cs="Times New Roman"/>
                <w:sz w:val="18"/>
                <w:lang w:val="sk-SK"/>
              </w:rPr>
            </w:pPr>
            <w:r>
              <w:rPr>
                <w:rFonts w:ascii="Times New Roman" w:hAnsi="Times New Roman" w:cs="Times New Roman"/>
                <w:sz w:val="18"/>
                <w:lang w:val="sk-SK"/>
              </w:rPr>
              <w:t xml:space="preserve">b) zhromažďuje informácie potrebné na zhodnotenie finančnej situácie finančného konglomerátu na účely výkonu doplňujúceho dohľadu, </w:t>
            </w:r>
          </w:p>
          <w:p>
            <w:pPr>
              <w:pStyle w:val="BodyText2"/>
              <w:tabs>
                <w:tab w:val="left" w:pos="0"/>
              </w:tabs>
              <w:spacing w:line="240" w:lineRule="auto"/>
              <w:rPr>
                <w:rFonts w:ascii="Times New Roman" w:hAnsi="Times New Roman" w:cs="Times New Roman"/>
                <w:sz w:val="18"/>
                <w:lang w:val="sk-SK"/>
              </w:rPr>
            </w:pPr>
          </w:p>
          <w:p>
            <w:pPr>
              <w:pStyle w:val="BodyText2"/>
              <w:tabs>
                <w:tab w:val="left" w:pos="0"/>
              </w:tabs>
              <w:spacing w:line="240" w:lineRule="auto"/>
              <w:rPr>
                <w:rFonts w:ascii="Times New Roman" w:hAnsi="Times New Roman" w:cs="Times New Roman"/>
                <w:sz w:val="18"/>
                <w:lang w:val="sk-SK"/>
              </w:rPr>
            </w:pPr>
            <w:r>
              <w:rPr>
                <w:rFonts w:ascii="Times New Roman" w:hAnsi="Times New Roman" w:cs="Times New Roman"/>
                <w:sz w:val="18"/>
                <w:lang w:val="sk-SK"/>
              </w:rPr>
              <w:t>c) sleduje dodržiavanie ustanovení tohto zákona o dostatočnej výške vlastných zdrojov,  koncentrácii rizík  a vnútroskupinových obchodoch,</w:t>
            </w:r>
          </w:p>
          <w:p>
            <w:pPr>
              <w:rPr>
                <w:rFonts w:ascii="Times New Roman" w:hAnsi="Times New Roman" w:cs="Times New Roman"/>
                <w:sz w:val="18"/>
                <w:lang w:val="sk-SK"/>
              </w:rPr>
            </w:pPr>
            <w:r>
              <w:rPr>
                <w:rFonts w:ascii="Times New Roman" w:hAnsi="Times New Roman" w:cs="Times New Roman"/>
                <w:sz w:val="18"/>
                <w:lang w:val="sk-SK"/>
              </w:rPr>
              <w:t>d) sleduje štruktúru finančného konglomerátu, jeho organizáciu a sleduje funkčnosť systému  vnútornej kontroly podľa § 48j</w:t>
            </w:r>
            <w:r>
              <w:rPr>
                <w:rFonts w:ascii="Times New Roman" w:hAnsi="Times New Roman" w:cs="Times New Roman"/>
                <w:sz w:val="18"/>
                <w:lang w:val="sk-SK"/>
              </w:rPr>
              <w:t xml:space="preserve">, </w:t>
            </w:r>
          </w:p>
          <w:p>
            <w:pPr>
              <w:pStyle w:val="BodyText2"/>
              <w:tabs>
                <w:tab w:val="left" w:pos="0"/>
              </w:tabs>
              <w:spacing w:line="240" w:lineRule="auto"/>
              <w:rPr>
                <w:rFonts w:ascii="Times New Roman" w:hAnsi="Times New Roman" w:cs="Times New Roman"/>
                <w:sz w:val="18"/>
                <w:lang w:val="sk-SK"/>
              </w:rPr>
            </w:pPr>
            <w:r>
              <w:rPr>
                <w:rFonts w:ascii="Times New Roman" w:hAnsi="Times New Roman" w:cs="Times New Roman"/>
                <w:sz w:val="18"/>
                <w:lang w:val="sk-SK"/>
              </w:rPr>
              <w:t xml:space="preserve">e) plánuje a koordinuje výkon doplňujúceho dohľadu za akejkoľvek situácie v spolupráci s Národnou bankou Slovenska a s príslušnými orgánmi dohľadu iných štátov, ktoré vykonávajú dohľad nad regulovanými osobami, tvoriacimi finančný konglomerát, </w:t>
            </w:r>
          </w:p>
          <w:p>
            <w:pPr>
              <w:tabs>
                <w:tab w:val="left" w:pos="426"/>
              </w:tabs>
              <w:spacing w:after="0"/>
              <w:rPr>
                <w:rFonts w:ascii="Times New Roman" w:hAnsi="Times New Roman" w:cs="Times New Roman"/>
                <w:sz w:val="18"/>
                <w:lang w:val="sk-SK"/>
              </w:rPr>
            </w:pPr>
          </w:p>
          <w:p>
            <w:pPr>
              <w:tabs>
                <w:tab w:val="left" w:pos="426"/>
              </w:tabs>
              <w:spacing w:after="0"/>
              <w:rPr>
                <w:rFonts w:ascii="Times New Roman" w:hAnsi="Times New Roman" w:cs="Times New Roman"/>
                <w:sz w:val="18"/>
                <w:szCs w:val="18"/>
                <w:lang w:val="sk-SK"/>
              </w:rPr>
            </w:pPr>
            <w:r>
              <w:rPr>
                <w:rFonts w:ascii="Times New Roman" w:hAnsi="Times New Roman" w:cs="Times New Roman"/>
                <w:sz w:val="18"/>
                <w:lang w:val="sk-SK"/>
              </w:rPr>
              <w:t>f) plní ďalšie úlohy potrebné na výkon doplňujúceho dohľadu.</w:t>
            </w:r>
          </w:p>
          <w:p>
            <w:pPr>
              <w:pStyle w:val="BodyText2"/>
              <w:spacing w:after="0" w:line="240" w:lineRule="auto"/>
              <w:rPr>
                <w:rFonts w:ascii="Times New Roman" w:hAnsi="Times New Roman" w:cs="Times New Roman"/>
                <w:sz w:val="18"/>
                <w:szCs w:val="18"/>
                <w:lang w:val="sk-SK"/>
              </w:rPr>
            </w:pPr>
          </w:p>
          <w:p>
            <w:pPr>
              <w:pStyle w:val="BodyText2"/>
              <w:spacing w:after="0" w:line="240" w:lineRule="auto"/>
              <w:rPr>
                <w:rFonts w:ascii="Times New Roman" w:hAnsi="Times New Roman" w:cs="Times New Roman"/>
                <w:sz w:val="18"/>
                <w:szCs w:val="18"/>
                <w:lang w:val="sk-SK"/>
              </w:rPr>
            </w:pPr>
          </w:p>
          <w:p>
            <w:pPr>
              <w:pStyle w:val="BodyText2"/>
              <w:spacing w:after="0" w:line="240" w:lineRule="auto"/>
              <w:rPr>
                <w:rFonts w:ascii="Times New Roman" w:hAnsi="Times New Roman" w:cs="Times New Roman"/>
                <w:sz w:val="18"/>
                <w:szCs w:val="18"/>
                <w:lang w:val="sk-SK"/>
              </w:rPr>
            </w:pPr>
            <w:r>
              <w:rPr>
                <w:rFonts w:ascii="Times New Roman" w:hAnsi="Times New Roman" w:cs="Times New Roman"/>
                <w:sz w:val="18"/>
                <w:szCs w:val="18"/>
                <w:lang w:val="sk-SK"/>
              </w:rPr>
              <w:t xml:space="preserve">(2)  </w:t>
            </w:r>
            <w:r>
              <w:rPr>
                <w:rFonts w:ascii="Times New Roman" w:hAnsi="Times New Roman" w:cs="Times New Roman"/>
                <w:sz w:val="18"/>
                <w:lang w:val="sk-SK"/>
              </w:rPr>
              <w:t>Úrad je povinný v spolupráci s Národnou bankou Slovenska a s príslušnými orgánmi dohľadu iných štátov vykonávajúcimi dohľad nad regulovanými osobami, tvoriacimi finančný konglomerát koordinovať výkon doplňujúceho dohľadu a upraviť postupy spolupráce pri uplatňovaní ustanovení § 48d, 48e, 48f ods. 3 a 5, § 48g, 48l ods. 2 a 49a.</w:t>
            </w:r>
            <w:r>
              <w:rPr>
                <w:rFonts w:ascii="Times New Roman" w:hAnsi="Times New Roman" w:cs="Times New Roman"/>
                <w:lang w:val="sk-SK"/>
              </w:rPr>
              <w:t xml:space="preserve">   </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xml:space="preserve">(3) </w:t>
            </w:r>
            <w:r>
              <w:rPr>
                <w:rFonts w:ascii="Times New Roman" w:hAnsi="Times New Roman" w:cs="Times New Roman"/>
                <w:sz w:val="18"/>
              </w:rPr>
              <w:t>Informácie potrebné pre výkon doplňujúceho dohľadu,  ktoré už boli poskytnuté Národnej banke Slovenska alebo príslušnému orgánu dohľadu iného štátu vykonávajúcemu dohľad nad regulovanými osobami si úrad vyžiada od orgánu, ktorému už boli poskytnuté. Ak tieto informácie úrad nezískal postupom podľa prvej vety, je oprávnený vyžiadať si ich priamo od príslušných subjektov tvoriacich finančný konglomerát.</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Ú</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71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7"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Čl. 12</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spacing w:after="0"/>
              <w:rPr>
                <w:rFonts w:ascii="Times New Roman" w:hAnsi="Times New Roman" w:cs="Times New Roman"/>
                <w:b/>
                <w:sz w:val="18"/>
                <w:szCs w:val="18"/>
                <w:lang w:val="sk-SK"/>
              </w:rPr>
            </w:pPr>
            <w:r>
              <w:rPr>
                <w:rFonts w:ascii="Times New Roman" w:hAnsi="Times New Roman" w:cs="Times New Roman"/>
                <w:b/>
                <w:sz w:val="18"/>
                <w:szCs w:val="18"/>
                <w:lang w:val="sk-SK"/>
              </w:rPr>
              <w:t>Spolupráca a výmena informácií medzi príslušnými orgánmi</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1. Príslušné orgány zodpovedné za dohľad nad regulovanými subjektmi vo finančnom konglomeráte a príslušný orgán vymenovaný za koordinátora pre tento finančný konglomerát spolu úzko spolupracujú. Tieto orgány, bez dotknutia ich príslušných povinností definovaných v sektorových predpisoch, či sú alebo nie sú zriadené v tom istom členskom štáte, sú povinné poskytovať si vzájomne akékoľvek informácie, ktoré sú dôležité alebo relevantné na vykonávanie úloh dohľadu iných orgánov podľa sektorových predpisov a podľa tejto smernice. Príslušné orgány a koordinátor v spojitosti s tým poskytnú  na požiadanie všetky relevantné informácie a z vlastnej iniciatívy oznámia všetky dôležité informácie.</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Táto spolupráca zabezpečí prinajmenšom zber a výmenu informácií v týchto oblastiach:</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(a) identifikácia štruktúry skupiny všetkých významných subjektov skupiny patriacich k finančnému konglomerátu ako aj</w:t>
            </w:r>
            <w:r>
              <w:rPr>
                <w:rFonts w:ascii="Times New Roman" w:hAnsi="Times New Roman" w:cs="Times New Roman"/>
                <w:sz w:val="18"/>
                <w:szCs w:val="18"/>
                <w:lang w:val="sk-SK"/>
              </w:rPr>
              <w:t xml:space="preserve"> príslušných orgánov regulovaných subjektov v skupine;</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(b) strategické zásady finančného konglomerátu;</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(c) finančná situácia finančného konglomerátu, najmä čo sa týka kapitálovej primeranosti, vnútroskupinových transakcií, koncentrácie rizík a ziskovosti</w:t>
            </w:r>
            <w:r>
              <w:rPr>
                <w:rFonts w:ascii="Times New Roman" w:hAnsi="Times New Roman" w:cs="Times New Roman"/>
                <w:sz w:val="18"/>
                <w:szCs w:val="18"/>
                <w:lang w:val="sk-SK"/>
              </w:rPr>
              <w:t>;</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(d) hlavní akcionári a manažment finančného konglomerátu;</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(e) organizácia, riadenie rizík a systémy vnútornej kontroly na úrovni finančného konglomerátu;</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(f) postupy zberu informácií od subjektov vo finančnom konglomeráte a overovanie týchto informáci</w:t>
            </w:r>
            <w:r>
              <w:rPr>
                <w:rFonts w:ascii="Times New Roman" w:hAnsi="Times New Roman" w:cs="Times New Roman"/>
                <w:sz w:val="18"/>
                <w:szCs w:val="18"/>
                <w:lang w:val="sk-SK"/>
              </w:rPr>
              <w:t>í;</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(g) nepriaznivý vývoj v regulovaných subjektoch alebo v iných subjektoch finančného konglomerátu, ktorý by mohol mať vážny negatívny vplyv na regulované subjekty;</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(h) závažné sankcie a mimoriadne opatrenia prijaté príslušnými orgánmi podľa sektorových predpisov alebo podľa tejto smernice.</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Príslušné orgány môžu tiež vymieňať s nasledujúcimi orgánmi také informácie, ktoré môžu byť potrebné na vykonávanie ich príslušných úloh týkajúcich sa regulovaných subjektov vo finančnom konglomeráte, v súlade s us</w:t>
            </w:r>
            <w:r>
              <w:rPr>
                <w:rFonts w:ascii="Times New Roman" w:hAnsi="Times New Roman" w:cs="Times New Roman"/>
                <w:sz w:val="18"/>
                <w:szCs w:val="18"/>
                <w:lang w:val="sk-SK"/>
              </w:rPr>
              <w:t>tanoveniami zakotvenými v sektorových predpisoch: centrálne banky, Európsky systém centrálnych bánk a Európska centrálna banka.</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2. Príslušné kompetentné orgány, bez dotknutia ich príslušných povinností definovaných v sektorových predpisoch, sa vzájomne </w:t>
            </w:r>
            <w:r>
              <w:rPr>
                <w:rFonts w:ascii="Times New Roman" w:hAnsi="Times New Roman" w:cs="Times New Roman"/>
                <w:sz w:val="18"/>
                <w:szCs w:val="18"/>
                <w:lang w:val="sk-SK"/>
              </w:rPr>
              <w:t>poradia pred prijatím rozhodnutia v nasledujúcich bodoch, ak tieto rozhodnutia sú dôležité na úlohy dohľadu ostatných príslušných orgánov:</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(a) zmeny akcionárskej, organizačnej alebo riadiacej štruktúry regulovaných subjektov vo finančnom konglomeráte, ktoré vyžadujú súhlas alebo schválenie príslušných orgánov;</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(b) závažné sankcie alebo výnimočné opatrenia prijaté príslušnými orgánmi.</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Príslušný orgán sa môže rozhodnúť nekonzultovať v naliehavých prípadoch alebo ak takáto konzultácia môže ohroziť účinnosť rozhodnutí. Príslušný orgán v tom prípade bez meškania informuje ostatné príslušné orgány.</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3.Koordinátor môže vyzvať príslušné orgány členského štátu, v ktorom má sídlo materská spoločnosť a ktoré sami nevykonávajú doplňujúci dohľad podľa článku 10, aby požiadali materskú spoločnosť o akékoľvek informácie, ktoré sú relevantné na vykonávanie jeho koordinačných úloh ustanovených v článku 11, a aby postúpili tieto informácie koordinátorovi.</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Ak informácie ustanovené v článku 14 ods. 2 už boli poskytnuté príslušnému orgánu na základe sektorových predpisov, príslušné orgány zodpovedné za vykonávanie doplňujúceho dohľadu sa môžu obrátiť na tento orgán so žiadosťou o získanie informácií.</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4.   Členské štáty poskytnú oprávnenie na výmenu informácií medzi svojimi príslušnými orgánmi a medzi svojimi príslušnými orgánmi a inými orgánmi, ktorá sa ustanovuje v odsekoch 1, 2 a 3. Zber alebo vlastníctvo informácií vo vzťahu k subjektu vo finančnom konglomeráte, ktorý nie je regulovaným subjektom, nijako neznamená, že príslušné orgány sú povinné vykonávať úlohu dohľadu vo vzťahu k týmto orgánom na samostatnom základe.</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Na informácie prijaté v rámci doplňujúceho dohľadu, najmä každú výmenu informácií medzi príslušnými orgánmi a medzi príslušnými orgánmi a inými, ktorá sa ustanovuje v tejto smernici, sa vzťahujú ustanovenia o profesionálnom tajomstve a oznamovaní dôverných informácií zakotvené v sektorových predpisoch.</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3"/>
              <w:rPr>
                <w:rFonts w:ascii="Times New Roman" w:hAnsi="Times New Roman" w:cs="Times New Roman"/>
                <w:sz w:val="18"/>
                <w:szCs w:val="18"/>
                <w:lang w:val="de-DE"/>
              </w:rPr>
            </w:pPr>
            <w:r>
              <w:rPr>
                <w:rFonts w:ascii="Times New Roman" w:hAnsi="Times New Roman" w:cs="Times New Roman"/>
                <w:sz w:val="18"/>
                <w:szCs w:val="18"/>
                <w:lang w:val="de-DE"/>
              </w:rPr>
              <w:t>N</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X/2004 Z.z.</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48l</w:t>
            </w:r>
          </w:p>
          <w:p>
            <w:pPr>
              <w:pStyle w:val="TABUKA-textsmernice"/>
              <w:rPr>
                <w:rFonts w:ascii="Times New Roman" w:hAnsi="Times New Roman" w:cs="Times New Roman"/>
                <w:sz w:val="18"/>
                <w:szCs w:val="18"/>
              </w:rPr>
            </w:pPr>
            <w:r>
              <w:rPr>
                <w:rFonts w:ascii="Times New Roman" w:hAnsi="Times New Roman" w:cs="Times New Roman"/>
                <w:sz w:val="18"/>
                <w:szCs w:val="18"/>
              </w:rPr>
              <w:t>ods. 1</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ods. 2</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ods. 3</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48l</w:t>
            </w:r>
          </w:p>
          <w:p>
            <w:pPr>
              <w:pStyle w:val="TABUKA-textsmernice"/>
              <w:rPr>
                <w:rFonts w:ascii="Times New Roman" w:hAnsi="Times New Roman" w:cs="Times New Roman"/>
                <w:sz w:val="18"/>
                <w:szCs w:val="18"/>
              </w:rPr>
            </w:pPr>
            <w:r>
              <w:rPr>
                <w:rFonts w:ascii="Times New Roman" w:hAnsi="Times New Roman" w:cs="Times New Roman"/>
                <w:sz w:val="18"/>
                <w:szCs w:val="18"/>
              </w:rPr>
              <w:t>ods. 2, tretia veta</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48l</w:t>
            </w:r>
          </w:p>
          <w:p>
            <w:pPr>
              <w:pStyle w:val="TABUKA-textsmernice"/>
              <w:rPr>
                <w:rFonts w:ascii="Times New Roman" w:hAnsi="Times New Roman" w:cs="Times New Roman"/>
                <w:sz w:val="18"/>
                <w:szCs w:val="18"/>
              </w:rPr>
            </w:pPr>
            <w:r>
              <w:rPr>
                <w:rFonts w:ascii="Times New Roman" w:hAnsi="Times New Roman" w:cs="Times New Roman"/>
                <w:sz w:val="18"/>
                <w:szCs w:val="18"/>
              </w:rPr>
              <w:t>ods. 4</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ods. 5</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ods. 6</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ods. 7</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ods. 8</w:t>
            </w:r>
          </w:p>
          <w:p>
            <w:pPr>
              <w:pStyle w:val="TABUKA-textsmernice"/>
              <w:rPr>
                <w:rFonts w:ascii="Times New Roman" w:hAnsi="Times New Roman" w:cs="Times New Roman"/>
                <w:sz w:val="18"/>
                <w:szCs w:val="18"/>
              </w:rPr>
            </w:pPr>
          </w:p>
        </w:tc>
        <w:tc>
          <w:tcPr>
            <w:tcW w:w="52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2"/>
              <w:spacing w:after="0" w:line="240" w:lineRule="auto"/>
              <w:rPr>
                <w:rFonts w:ascii="Times New Roman" w:hAnsi="Times New Roman" w:cs="Times New Roman"/>
                <w:sz w:val="18"/>
                <w:szCs w:val="18"/>
              </w:rPr>
            </w:pPr>
          </w:p>
          <w:p>
            <w:pPr>
              <w:pStyle w:val="BodyText2"/>
              <w:spacing w:after="0" w:line="240" w:lineRule="auto"/>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rPr>
              <w:t>Úrad spolupracuje s  Národnou bankou Slovenska a s príslušnými orgánmi dohľadu iných členských štátov zodpovednými za dohľad nad regulovanými osobami tvoriacimi finančný konglomerát pri výkone dohľadu nad finančným konglomerátom, a to aj ak doplňujúci dohľad vykonáva Národná banka Slovenska alebo príslušný orgán dohľadu iného členského štátu, najmenej v rozsahu podľa odseku 3.</w:t>
            </w:r>
            <w:r>
              <w:rPr>
                <w:rFonts w:ascii="Times New Roman" w:hAnsi="Times New Roman" w:cs="Times New Roman"/>
              </w:rPr>
              <w:t xml:space="preserve">    </w:t>
            </w:r>
          </w:p>
          <w:p>
            <w:pPr>
              <w:pStyle w:val="BodyText2"/>
              <w:spacing w:after="0" w:line="240" w:lineRule="auto"/>
              <w:rPr>
                <w:rFonts w:ascii="Times New Roman" w:hAnsi="Times New Roman" w:cs="Times New Roman"/>
                <w:sz w:val="18"/>
                <w:szCs w:val="18"/>
              </w:rPr>
            </w:pPr>
          </w:p>
          <w:p>
            <w:pPr>
              <w:pStyle w:val="BodyText2"/>
              <w:spacing w:after="0" w:line="240" w:lineRule="auto"/>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rPr>
              <w:t>Úrad je povinný na žiadosť Národnej banky Slovenska a príslušných orgánov dohľadu iných členských štátov zodpovedných za dohľad nad regulovanými osobami tvoriacimi finančný konglomerát a  za doplňujúci dohľad poskytnúť informácie potrebné na výkon dohľadu nad regulovanými osobami tvoriacimi finančný konglomerát a doplňujúceho dohľadu, najmenej však v rozsahu podľa odseku 3. Úrad je povinný poskytnúť tieto informácie aj z vlastného podnetu, ak zistí, že uvedené informácie sú dôležité pre výkon dohľadu nad finančnými konglomerátmi. Úrad je oprávnený  vyžiadať si od Národnej banky Slovenska a príslušných orgánov dohľadu iných členských štátov zodpovedných za dohľad nad regulovanými osobami tvoriacimi  finančný konglomerát informácie potrebné na výkon doplňujúceho dohľadu najmenej v rozsahu podľa odseku 3 a vymieňať si informácie potrebné na výkon doplňujúceho dohľadu aj s centrálnymi bankami, Európskym systémom centrálnych bánk a Európskou centrálnou bankou.</w:t>
            </w:r>
          </w:p>
          <w:p>
            <w:pPr>
              <w:tabs>
                <w:tab w:val="left" w:pos="426"/>
              </w:tabs>
              <w:spacing w:after="0"/>
              <w:rPr>
                <w:rFonts w:ascii="Times New Roman" w:hAnsi="Times New Roman" w:cs="Times New Roman"/>
                <w:sz w:val="18"/>
                <w:szCs w:val="18"/>
              </w:rPr>
            </w:pPr>
          </w:p>
          <w:p>
            <w:pPr>
              <w:tabs>
                <w:tab w:val="left" w:pos="426"/>
              </w:tabs>
              <w:rPr>
                <w:rFonts w:ascii="Times New Roman" w:hAnsi="Times New Roman" w:cs="Times New Roman"/>
                <w:sz w:val="18"/>
              </w:rPr>
            </w:pPr>
            <w:r>
              <w:rPr>
                <w:rFonts w:ascii="Times New Roman" w:hAnsi="Times New Roman" w:cs="Times New Roman"/>
                <w:sz w:val="18"/>
                <w:szCs w:val="18"/>
              </w:rPr>
              <w:t xml:space="preserve">(3) </w:t>
            </w:r>
            <w:r>
              <w:rPr>
                <w:rFonts w:ascii="Times New Roman" w:hAnsi="Times New Roman" w:cs="Times New Roman"/>
                <w:sz w:val="18"/>
              </w:rPr>
              <w:t>Spolupráca a výmena informácií podľa odsekov 1 a 2 sa týka najmä</w:t>
            </w:r>
          </w:p>
          <w:p>
            <w:pPr>
              <w:tabs>
                <w:tab w:val="left" w:pos="214"/>
              </w:tabs>
              <w:ind w:left="214"/>
              <w:rPr>
                <w:rFonts w:ascii="Times New Roman" w:hAnsi="Times New Roman" w:cs="Times New Roman"/>
                <w:sz w:val="18"/>
              </w:rPr>
            </w:pPr>
            <w:r>
              <w:rPr>
                <w:rFonts w:ascii="Times New Roman" w:hAnsi="Times New Roman" w:cs="Times New Roman"/>
                <w:sz w:val="18"/>
              </w:rPr>
              <w:t xml:space="preserve">       a) štruktúry finančného konglomerátu a príslušných orgánov dohľadu zodpovedných za dohľad nad regulovanými osobami tvoriacimi finančný konglomerát,</w:t>
            </w:r>
          </w:p>
          <w:p>
            <w:pPr>
              <w:tabs>
                <w:tab w:val="left" w:pos="214"/>
                <w:tab w:val="left" w:pos="426"/>
              </w:tabs>
              <w:ind w:left="214"/>
              <w:rPr>
                <w:rFonts w:ascii="Times New Roman" w:hAnsi="Times New Roman" w:cs="Times New Roman"/>
                <w:sz w:val="18"/>
                <w:lang w:val="fr-FR"/>
              </w:rPr>
            </w:pPr>
            <w:r>
              <w:rPr>
                <w:rFonts w:ascii="Times New Roman" w:hAnsi="Times New Roman" w:cs="Times New Roman"/>
                <w:sz w:val="18"/>
                <w:lang w:val="fr-FR"/>
              </w:rPr>
              <w:t>b) stratégie a zamerania finančného konglomerátu,</w:t>
            </w:r>
          </w:p>
          <w:p>
            <w:pPr>
              <w:tabs>
                <w:tab w:val="left" w:pos="214"/>
              </w:tabs>
              <w:ind w:left="214" w:hanging="426"/>
              <w:rPr>
                <w:rFonts w:ascii="Times New Roman" w:hAnsi="Times New Roman" w:cs="Times New Roman"/>
                <w:sz w:val="18"/>
                <w:lang w:val="fr-FR"/>
              </w:rPr>
            </w:pPr>
            <w:r>
              <w:rPr>
                <w:rFonts w:ascii="Times New Roman" w:hAnsi="Times New Roman" w:cs="Times New Roman"/>
                <w:sz w:val="18"/>
                <w:lang w:val="fr-FR"/>
              </w:rPr>
              <w:t xml:space="preserve">       c) finančnej situácie finančného konglomerátu, najmä dostatočnej výšky vlastných zdrojov, vnútroskupinových obchodov, koncentrácie rizík  a výsledkov hospodárenia,</w:t>
            </w:r>
          </w:p>
          <w:p>
            <w:pPr>
              <w:pStyle w:val="BodyText2"/>
              <w:tabs>
                <w:tab w:val="left" w:pos="214"/>
              </w:tabs>
              <w:ind w:left="214"/>
              <w:rPr>
                <w:rFonts w:ascii="Times New Roman" w:hAnsi="Times New Roman" w:cs="Times New Roman"/>
                <w:sz w:val="18"/>
                <w:lang w:val="fr-FR"/>
              </w:rPr>
            </w:pPr>
            <w:r>
              <w:rPr>
                <w:rFonts w:ascii="Times New Roman" w:hAnsi="Times New Roman" w:cs="Times New Roman"/>
                <w:sz w:val="18"/>
                <w:lang w:val="fr-FR"/>
              </w:rPr>
              <w:t xml:space="preserve">d) akcionárov s kvalifikovanou účasťou v osobách tvoriacich finančný konglomerát a členov štatutárnych orgánov osôb tvoriacich finančný </w:t>
            </w:r>
            <w:r>
              <w:rPr>
                <w:rFonts w:ascii="Times New Roman" w:hAnsi="Times New Roman" w:cs="Times New Roman"/>
                <w:sz w:val="18"/>
                <w:lang w:val="fr-FR"/>
              </w:rPr>
              <w:t>konglomerát,</w:t>
            </w:r>
          </w:p>
          <w:p>
            <w:pPr>
              <w:tabs>
                <w:tab w:val="left" w:pos="356"/>
              </w:tabs>
              <w:ind w:left="356" w:hanging="142"/>
              <w:rPr>
                <w:rFonts w:ascii="Times New Roman" w:hAnsi="Times New Roman" w:cs="Times New Roman"/>
                <w:sz w:val="18"/>
                <w:lang w:val="fr-FR"/>
              </w:rPr>
            </w:pPr>
            <w:r>
              <w:rPr>
                <w:rFonts w:ascii="Times New Roman" w:hAnsi="Times New Roman" w:cs="Times New Roman"/>
                <w:sz w:val="18"/>
                <w:lang w:val="fr-FR"/>
              </w:rPr>
              <w:t xml:space="preserve">       e) organizácie, riadenia rizík a systému vnútornej kontroly na úrovni finančného konglomerátu, </w:t>
            </w:r>
          </w:p>
          <w:p>
            <w:pPr>
              <w:tabs>
                <w:tab w:val="left" w:pos="356"/>
              </w:tabs>
              <w:ind w:left="356" w:hanging="142"/>
              <w:rPr>
                <w:rFonts w:ascii="Times New Roman" w:hAnsi="Times New Roman" w:cs="Times New Roman"/>
                <w:sz w:val="18"/>
                <w:lang w:val="fr-FR"/>
              </w:rPr>
            </w:pPr>
            <w:r>
              <w:rPr>
                <w:rFonts w:ascii="Times New Roman" w:hAnsi="Times New Roman" w:cs="Times New Roman"/>
                <w:sz w:val="18"/>
                <w:lang w:val="fr-FR"/>
              </w:rPr>
              <w:t>f) postupov zberu informácií od osôb tvoriacich finančný konglomerát a preverovania týchto informácií,</w:t>
            </w:r>
          </w:p>
          <w:p>
            <w:pPr>
              <w:tabs>
                <w:tab w:val="left" w:pos="356"/>
              </w:tabs>
              <w:ind w:left="356" w:hanging="142"/>
              <w:rPr>
                <w:rFonts w:ascii="Times New Roman" w:hAnsi="Times New Roman" w:cs="Times New Roman"/>
                <w:sz w:val="18"/>
                <w:lang w:val="fr-FR"/>
              </w:rPr>
            </w:pPr>
            <w:r>
              <w:rPr>
                <w:rFonts w:ascii="Times New Roman" w:hAnsi="Times New Roman" w:cs="Times New Roman"/>
                <w:sz w:val="18"/>
                <w:lang w:val="fr-FR"/>
              </w:rPr>
              <w:t>g) nepriaznivého vývoja v regulovaných osobách alebo v iných osobách tvoriacich finančný konglomerát, ktorý by mohol mať vážny negatívny vplyv na poisťovňu alebo zaisťovňu,</w:t>
            </w:r>
          </w:p>
          <w:p>
            <w:pPr>
              <w:tabs>
                <w:tab w:val="left" w:pos="356"/>
              </w:tabs>
              <w:spacing w:after="0"/>
              <w:ind w:left="356" w:hanging="142"/>
              <w:rPr>
                <w:rFonts w:ascii="Times New Roman" w:hAnsi="Times New Roman" w:cs="Times New Roman"/>
                <w:sz w:val="18"/>
                <w:szCs w:val="18"/>
                <w:lang w:val="fr-FR"/>
              </w:rPr>
            </w:pPr>
            <w:r>
              <w:rPr>
                <w:rFonts w:ascii="Times New Roman" w:hAnsi="Times New Roman" w:cs="Times New Roman"/>
                <w:sz w:val="18"/>
                <w:lang w:val="fr-FR"/>
              </w:rPr>
              <w:t xml:space="preserve">       h) závažných sankcií a mimoriadnych opatrení prijatých úradom, Národnou bankou Slovenska a príslušnými orgánmi dohľadu iných členských štátov zodpovednými za dohľad nad regulovanými osobami tvoriacimi finančný konglomerát.</w:t>
            </w:r>
          </w:p>
          <w:p>
            <w:pPr>
              <w:spacing w:after="0"/>
              <w:rPr>
                <w:rFonts w:ascii="Times New Roman" w:hAnsi="Times New Roman" w:cs="Times New Roman"/>
                <w:sz w:val="18"/>
                <w:szCs w:val="18"/>
                <w:lang w:val="fr-FR"/>
              </w:rPr>
            </w:pPr>
          </w:p>
          <w:p>
            <w:pPr>
              <w:pStyle w:val="BodyText2"/>
              <w:spacing w:line="240" w:lineRule="auto"/>
              <w:rPr>
                <w:rFonts w:ascii="Times New Roman" w:hAnsi="Times New Roman" w:cs="Times New Roman"/>
                <w:lang w:val="fr-FR"/>
              </w:rPr>
            </w:pPr>
            <w:r>
              <w:rPr>
                <w:rFonts w:ascii="Times New Roman" w:hAnsi="Times New Roman" w:cs="Times New Roman"/>
                <w:lang w:val="fr-FR"/>
              </w:rPr>
              <w:t xml:space="preserve">. </w:t>
            </w:r>
            <w:r>
              <w:rPr>
                <w:rFonts w:ascii="Times New Roman" w:hAnsi="Times New Roman" w:cs="Times New Roman"/>
                <w:sz w:val="18"/>
                <w:lang w:val="fr-FR"/>
              </w:rPr>
              <w:t>Úrad je oprávnený  vyžiadať si od Národnej banky Slovenska a príslušných orgánov dohľadu iných členských štátov zodpovedných za dohľad nad regulovanými osobami tvoriacimi  finančný konglomerát informácie potrebné na výkon doplňujúceho dohľadu najmenej v rozsahu podľa odseku 3 a vymieňať si informácie potrebné na výkon doplňujúceho dohľadu aj s centrálnymi bankami, Európskym systémom centrálnych b</w:t>
            </w:r>
            <w:r>
              <w:rPr>
                <w:rFonts w:ascii="Times New Roman" w:hAnsi="Times New Roman" w:cs="Times New Roman"/>
                <w:sz w:val="18"/>
                <w:lang w:val="fr-FR"/>
              </w:rPr>
              <w:t>ánk a Európskou centrálnou bankou.</w:t>
            </w:r>
          </w:p>
          <w:p>
            <w:pPr>
              <w:spacing w:after="0"/>
              <w:ind w:left="214"/>
              <w:rPr>
                <w:rFonts w:ascii="Times New Roman" w:hAnsi="Times New Roman" w:cs="Times New Roman"/>
                <w:sz w:val="18"/>
                <w:szCs w:val="18"/>
                <w:lang w:val="fr-FR"/>
              </w:rPr>
            </w:pPr>
          </w:p>
          <w:p>
            <w:pPr>
              <w:ind w:left="214"/>
              <w:rPr>
                <w:rFonts w:ascii="Times New Roman" w:hAnsi="Times New Roman" w:cs="Times New Roman"/>
                <w:sz w:val="18"/>
                <w:lang w:val="fr-FR"/>
              </w:rPr>
            </w:pPr>
            <w:r>
              <w:rPr>
                <w:rFonts w:ascii="Times New Roman" w:hAnsi="Times New Roman" w:cs="Times New Roman"/>
                <w:sz w:val="18"/>
                <w:szCs w:val="18"/>
                <w:lang w:val="fr-FR"/>
              </w:rPr>
              <w:t xml:space="preserve">(4) </w:t>
            </w:r>
            <w:r>
              <w:rPr>
                <w:rFonts w:ascii="Times New Roman" w:hAnsi="Times New Roman" w:cs="Times New Roman"/>
                <w:sz w:val="18"/>
                <w:lang w:val="fr-FR"/>
              </w:rPr>
              <w:t>Úrad je povinný prerokovať s Národnou bankou Slovenska alebo s príslušnými orgánmi dohľadu iných členských štátov zodpovednými za dohľad nad regulovanými osobami tvoriacimi finančný konglomerát</w:t>
            </w:r>
          </w:p>
          <w:p>
            <w:pPr>
              <w:ind w:left="214"/>
              <w:rPr>
                <w:rFonts w:ascii="Times New Roman" w:hAnsi="Times New Roman" w:cs="Times New Roman"/>
                <w:sz w:val="18"/>
                <w:lang w:val="fr-FR"/>
              </w:rPr>
            </w:pPr>
            <w:r>
              <w:rPr>
                <w:rFonts w:ascii="Times New Roman" w:hAnsi="Times New Roman" w:cs="Times New Roman"/>
                <w:sz w:val="18"/>
                <w:lang w:val="fr-FR"/>
              </w:rPr>
              <w:t xml:space="preserve">a) vydanie rozhodnutia o predchádzajúcom súhlase podľa § 36 ods. 1 písm. a), c) a d), ak by zmeny v akcionárskej štruktúre alebo zmeny v orgánoch poisťovne alebo zaisťovne ovplyvnili výkon doplňujúceho dohľadu, </w:t>
            </w:r>
          </w:p>
          <w:p>
            <w:pPr>
              <w:pStyle w:val="BodyTextIndent"/>
              <w:spacing w:after="0"/>
              <w:ind w:left="214"/>
              <w:rPr>
                <w:rFonts w:ascii="Times New Roman" w:hAnsi="Times New Roman" w:cs="Times New Roman"/>
                <w:sz w:val="18"/>
                <w:szCs w:val="18"/>
                <w:lang w:val="fr-FR"/>
              </w:rPr>
            </w:pPr>
            <w:r>
              <w:rPr>
                <w:rFonts w:ascii="Times New Roman" w:hAnsi="Times New Roman" w:cs="Times New Roman"/>
                <w:sz w:val="18"/>
                <w:lang w:val="fr-FR"/>
              </w:rPr>
              <w:t xml:space="preserve">      b) prijatie sankcií alebo opatrení voči regulovaným osobám tvoriacim finančný konglomerát, ktoré by mohli mať vplyv na výkon dohľadu nad regulovanými osobami podliehajúcimi dohľadu Národnej banky Slovenska alebo príslušných orgánov dohľadu iných členských štátov, zodpovedných za dohľad nad regulovanými osobami tvoriacimi finančný konglomerát.</w:t>
            </w:r>
          </w:p>
          <w:p>
            <w:pPr>
              <w:spacing w:after="0"/>
              <w:rPr>
                <w:rFonts w:ascii="Times New Roman" w:hAnsi="Times New Roman" w:cs="Times New Roman"/>
                <w:sz w:val="18"/>
                <w:szCs w:val="18"/>
                <w:lang w:val="fr-FR"/>
              </w:rPr>
            </w:pPr>
          </w:p>
          <w:p>
            <w:pPr>
              <w:spacing w:after="0"/>
              <w:rPr>
                <w:rFonts w:ascii="Times New Roman" w:hAnsi="Times New Roman" w:cs="Times New Roman"/>
                <w:sz w:val="18"/>
                <w:szCs w:val="18"/>
                <w:lang w:val="fr-FR"/>
              </w:rPr>
            </w:pPr>
            <w:r>
              <w:rPr>
                <w:rFonts w:ascii="Times New Roman" w:hAnsi="Times New Roman" w:cs="Times New Roman"/>
                <w:sz w:val="18"/>
                <w:szCs w:val="18"/>
                <w:lang w:val="fr-FR"/>
              </w:rPr>
              <w:t xml:space="preserve">(5) </w:t>
            </w:r>
            <w:r>
              <w:rPr>
                <w:rFonts w:ascii="Times New Roman" w:hAnsi="Times New Roman" w:cs="Times New Roman"/>
                <w:sz w:val="18"/>
                <w:lang w:val="fr-FR"/>
              </w:rPr>
              <w:t>Úrad nie je povinný prerokovať skutočnosti podľa odseku 4, ak toto prerokovanie môže ohroziť prijatie rozhodnutí v príslušnej lehote alebo prijatie sankcií a opatrení  neznesie odklad. Úrad v takom prípade bez zbytočného odkladu informuje  Národnú banku Slovenska alebo príslušné orgány dohľadu iných členských štátov zodpovedné za dohľad nad regulovanými osobami tvoriacimi finančný konglomerát.</w:t>
            </w:r>
          </w:p>
          <w:p>
            <w:pPr>
              <w:pStyle w:val="BodyText2"/>
              <w:spacing w:after="0" w:line="240" w:lineRule="auto"/>
              <w:rPr>
                <w:rFonts w:ascii="Times New Roman" w:hAnsi="Times New Roman" w:cs="Times New Roman"/>
                <w:sz w:val="18"/>
                <w:szCs w:val="18"/>
                <w:lang w:val="fr-FR"/>
              </w:rPr>
            </w:pPr>
          </w:p>
          <w:p>
            <w:pPr>
              <w:pStyle w:val="BodyText2"/>
              <w:spacing w:after="0" w:line="240" w:lineRule="auto"/>
              <w:rPr>
                <w:rFonts w:ascii="Times New Roman" w:hAnsi="Times New Roman" w:cs="Times New Roman"/>
                <w:sz w:val="18"/>
                <w:szCs w:val="18"/>
                <w:lang w:val="fr-FR"/>
              </w:rPr>
            </w:pPr>
          </w:p>
          <w:p>
            <w:pPr>
              <w:pStyle w:val="TABUKA-textsmernice"/>
              <w:rPr>
                <w:rFonts w:ascii="Times New Roman" w:hAnsi="Times New Roman" w:cs="Times New Roman"/>
                <w:sz w:val="18"/>
                <w:szCs w:val="18"/>
              </w:rPr>
            </w:pPr>
            <w:r>
              <w:rPr>
                <w:rFonts w:ascii="Times New Roman" w:hAnsi="Times New Roman" w:cs="Times New Roman"/>
                <w:sz w:val="18"/>
                <w:szCs w:val="18"/>
                <w:lang w:val="fr-FR"/>
              </w:rPr>
              <w:t xml:space="preserve">(6) </w:t>
            </w:r>
            <w:r>
              <w:rPr>
                <w:rFonts w:ascii="Times New Roman" w:hAnsi="Times New Roman" w:cs="Times New Roman"/>
                <w:sz w:val="18"/>
              </w:rPr>
              <w:t>Úrad je pri výkone doplňujúceho dohľadu oprávnený vyzvať príslušný orgán dohľadu iného členského štátu zodpovedný za dohľad nad regulovanými osobami tvoriacimi finančný konglomerát, v ktorom má sídlo materská spoločnosť, aby požiadal materskú spoločnosť o informácie potrebné na vykonávanie úloh úradu podľa § 48k  a aby mu postúpi</w:t>
            </w:r>
            <w:r>
              <w:rPr>
                <w:rFonts w:ascii="Times New Roman" w:hAnsi="Times New Roman" w:cs="Times New Roman"/>
                <w:sz w:val="18"/>
              </w:rPr>
              <w:t>li tieto informácie.</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ind w:left="214"/>
              <w:rPr>
                <w:rFonts w:ascii="Times New Roman" w:hAnsi="Times New Roman" w:cs="Times New Roman"/>
                <w:sz w:val="18"/>
                <w:szCs w:val="18"/>
              </w:rPr>
            </w:pPr>
          </w:p>
          <w:p>
            <w:pPr>
              <w:pStyle w:val="BodyText2"/>
              <w:spacing w:line="240" w:lineRule="auto"/>
              <w:ind w:left="214"/>
              <w:rPr>
                <w:rFonts w:ascii="Times New Roman" w:hAnsi="Times New Roman" w:cs="Times New Roman"/>
                <w:sz w:val="18"/>
                <w:lang w:val="sk-SK"/>
              </w:rPr>
            </w:pPr>
            <w:r>
              <w:rPr>
                <w:rFonts w:ascii="Times New Roman" w:hAnsi="Times New Roman" w:cs="Times New Roman"/>
                <w:sz w:val="18"/>
                <w:szCs w:val="18"/>
                <w:lang w:val="sk-SK"/>
              </w:rPr>
              <w:t xml:space="preserve">(7) </w:t>
            </w:r>
            <w:r>
              <w:rPr>
                <w:rFonts w:ascii="Times New Roman" w:hAnsi="Times New Roman" w:cs="Times New Roman"/>
                <w:sz w:val="18"/>
                <w:lang w:val="sk-SK"/>
              </w:rPr>
              <w:t xml:space="preserve">Ustanovenia odsekov 1 až 6 sa vzťahujú aj na spoluprácu úradu s orgánmi dohľadu štátov, s ktorými Európska únia podpísala dohodu o spolupráci pri výkone doplňujúceho dohľadu. </w:t>
            </w:r>
          </w:p>
          <w:p>
            <w:pPr>
              <w:pStyle w:val="BodyText2"/>
              <w:spacing w:after="0" w:line="240" w:lineRule="auto"/>
              <w:ind w:left="214"/>
              <w:rPr>
                <w:rFonts w:ascii="Times New Roman" w:hAnsi="Times New Roman" w:cs="Times New Roman"/>
                <w:sz w:val="18"/>
                <w:szCs w:val="18"/>
                <w:lang w:val="sk-SK"/>
              </w:rPr>
            </w:pPr>
            <w:r>
              <w:rPr>
                <w:rFonts w:ascii="Times New Roman" w:hAnsi="Times New Roman" w:cs="Times New Roman"/>
                <w:sz w:val="18"/>
                <w:lang w:val="sk-SK"/>
              </w:rPr>
              <w:t xml:space="preserve"> (8) Ustanovením odseku 7 nie je dotknuté oprávnenie uzavrieť dohodu o podmienkach výkonu doplňujúceho dohľadu s príslušným orgánom dohľadu iného štátu, ktorý nie je členským štátom a dohodu  o vzájomnej výmene informácií, ak takáto dohoda nie je v rozpore s pravidlami výkonu doplňujúceho dohľadu.</w:t>
            </w:r>
          </w:p>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Ú</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109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6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7"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Čl. 13</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spacing w:after="0"/>
              <w:rPr>
                <w:rFonts w:ascii="Times New Roman" w:hAnsi="Times New Roman" w:cs="Times New Roman"/>
                <w:b/>
                <w:sz w:val="18"/>
                <w:szCs w:val="18"/>
                <w:lang w:val="sk-SK"/>
              </w:rPr>
            </w:pPr>
            <w:r>
              <w:rPr>
                <w:rFonts w:ascii="Times New Roman" w:hAnsi="Times New Roman" w:cs="Times New Roman"/>
                <w:b/>
                <w:sz w:val="18"/>
                <w:szCs w:val="18"/>
                <w:lang w:val="sk-SK"/>
              </w:rPr>
              <w:t>Riadiaci orgán zmiešaných finančných holdingových  spoločností</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Členské štáty musia vyžadovať, aby osoby, ktoré efektívne riadia činnosť zmiešanej finančnej holdingovej spoločnosti, mali dostatočne dobrú povesť a dostatočné skúsenosti na vykonávanie</w:t>
            </w:r>
            <w:r>
              <w:rPr>
                <w:rFonts w:ascii="Times New Roman" w:hAnsi="Times New Roman" w:cs="Times New Roman"/>
                <w:sz w:val="18"/>
                <w:szCs w:val="18"/>
                <w:lang w:val="sk-SK"/>
              </w:rPr>
              <w:t xml:space="preserve"> týchto úloh</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3"/>
              <w:rPr>
                <w:rFonts w:ascii="Times New Roman" w:hAnsi="Times New Roman" w:cs="Times New Roman"/>
                <w:sz w:val="18"/>
                <w:szCs w:val="18"/>
                <w:lang w:val="de-DE"/>
              </w:rPr>
            </w:pPr>
            <w:r>
              <w:rPr>
                <w:rFonts w:ascii="Times New Roman" w:hAnsi="Times New Roman" w:cs="Times New Roman"/>
                <w:sz w:val="18"/>
                <w:szCs w:val="18"/>
                <w:lang w:val="de-DE"/>
              </w:rPr>
              <w:t>N</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X/2004 Z.z.</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 5</w:t>
            </w:r>
          </w:p>
          <w:p>
            <w:pPr>
              <w:pStyle w:val="TABUKA-textsmernice"/>
              <w:rPr>
                <w:rFonts w:ascii="Times New Roman" w:hAnsi="Times New Roman" w:cs="Times New Roman"/>
                <w:sz w:val="18"/>
                <w:szCs w:val="18"/>
              </w:rPr>
            </w:pPr>
            <w:r>
              <w:rPr>
                <w:rFonts w:ascii="Times New Roman" w:hAnsi="Times New Roman" w:cs="Times New Roman"/>
                <w:sz w:val="18"/>
                <w:szCs w:val="18"/>
              </w:rPr>
              <w:t>ods. 3</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pís. j)</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36</w:t>
            </w:r>
          </w:p>
          <w:p>
            <w:pPr>
              <w:pStyle w:val="TABUKA-textsmernice"/>
              <w:rPr>
                <w:rFonts w:ascii="Times New Roman" w:hAnsi="Times New Roman" w:cs="Times New Roman"/>
                <w:sz w:val="18"/>
                <w:szCs w:val="18"/>
              </w:rPr>
            </w:pPr>
            <w:r>
              <w:rPr>
                <w:rFonts w:ascii="Times New Roman" w:hAnsi="Times New Roman" w:cs="Times New Roman"/>
                <w:sz w:val="18"/>
                <w:szCs w:val="18"/>
              </w:rPr>
              <w:t>ods. 10</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52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xml:space="preserve">j) </w:t>
            </w:r>
            <w:r>
              <w:rPr>
                <w:rFonts w:ascii="Times New Roman" w:hAnsi="Times New Roman" w:cs="Times New Roman"/>
                <w:sz w:val="18"/>
              </w:rPr>
              <w:t>preukázanie dôveryhodnosti  a odbornej spôsobilosti fyzických osôb, ktoré sú členmi štatutárneho orgánu alebo akcionármi kontrolujúcimi zmiešanú finančnú holdingovú inštitúciu a preukázanie vhodnosti akcionárov kontrolujúcich zmiešanú finančnú holdingovú inštitúciu, ak je poisťovňa, poisťovňa z iného členského štátu, zahraničná poisťovňa vrátane ich pobočiek, zaisťovňa, zahraničná zaisťovňa vrátane ich pobočiek súčasťou finančného konglomerátu, ktorého súčasťou je aj zmiešaná finančná holdingová spoločnosť; vhodnosťou akcionárov kontrolujúcich zmiešanú finančnú holdingovú spoločnosť sa rozumie schopnosť zabezpečiť riadny a bezpečný výkon činností regulovaných osôb tvoriacich finančný konglomerát  kontrolovaný touto zmiešanou finančnou holdingovou spoločnosťou v záujme stability finančného trhu.</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xml:space="preserve">(10) </w:t>
            </w:r>
            <w:r>
              <w:rPr>
                <w:rFonts w:ascii="Times New Roman" w:hAnsi="Times New Roman" w:cs="Times New Roman"/>
                <w:sz w:val="18"/>
              </w:rPr>
              <w:t>Ak v dôsledku získania podielu podľa odseku 1 by sa poisťovňa alebo zaisťovňa stala súčasťou finančného konglomerátu, ktorého súčasťou je aj zmiešaná finančná holdingová spoločnosť, podmienkou na udelenie predchádzajúceho súhlasu úradu je aj preukázanie dôveryhodnosti a odbornej spôsobilosti fyzických osôb, ktoré sú členmi štatutárneho orgánu alebo akcionármi kontrolujúcimi zmiešanú finančnú holdingovú spoločnosť a vhodnosti akcionárov kontrolujúcich zmiešanú finančnú holdingovú spoločnosť.</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Ú</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109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6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7"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Čl. 14</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spacing w:after="0"/>
              <w:rPr>
                <w:rFonts w:ascii="Times New Roman" w:hAnsi="Times New Roman" w:cs="Times New Roman"/>
                <w:b/>
                <w:sz w:val="18"/>
                <w:szCs w:val="18"/>
                <w:lang w:val="sk-SK"/>
              </w:rPr>
            </w:pPr>
            <w:r>
              <w:rPr>
                <w:rFonts w:ascii="Times New Roman" w:hAnsi="Times New Roman" w:cs="Times New Roman"/>
                <w:b/>
                <w:sz w:val="18"/>
                <w:szCs w:val="18"/>
                <w:lang w:val="sk-SK"/>
              </w:rPr>
              <w:t>Prístup k informáciám</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1. Členské štáty zabezpečia, aby neexistovali žiadne právne prekážky v rámci ich jurisdikcie, ktoré by bránili fyzickým a právnickým osobám zahrnutým do predmetu doplňujúceho dohľadu, či sú alebo nie sú regulovaným subjektom, vo vzájomnej výmene akýchkoľvek informácií, ktoré by boli relevantné na účel doplňujúceho dohľadu.</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2.  Členské štáty zabezpečia,  aby pri styku so subjektmi vo finančnom konglomeráte, či tieto sú alebo nie sú regulovaným subjektom, ich príslušné orgány zodpovedné za vykonávanie doplňujúceho dohľadu mali buď priamo alebo nepriamo prístup k akýmkoľvek informáciám , ktoré sú relevantné na účely doplňujúceho dohľadu.</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3"/>
              <w:rPr>
                <w:rFonts w:ascii="Times New Roman" w:hAnsi="Times New Roman" w:cs="Times New Roman"/>
                <w:sz w:val="18"/>
                <w:szCs w:val="18"/>
                <w:lang w:val="de-DE"/>
              </w:rPr>
            </w:pPr>
            <w:r>
              <w:rPr>
                <w:rFonts w:ascii="Times New Roman" w:hAnsi="Times New Roman" w:cs="Times New Roman"/>
                <w:sz w:val="18"/>
                <w:szCs w:val="18"/>
                <w:lang w:val="de-DE"/>
              </w:rPr>
              <w:t>N</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X/2004 Z.z.</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95/2002 Z.z.</w:t>
            </w:r>
          </w:p>
          <w:p>
            <w:pPr>
              <w:pStyle w:val="TABUKA-textsmernice"/>
              <w:rPr>
                <w:rFonts w:ascii="Times New Roman" w:hAnsi="Times New Roman" w:cs="Times New Roman"/>
                <w:sz w:val="18"/>
                <w:szCs w:val="18"/>
              </w:rPr>
            </w:pPr>
            <w:r>
              <w:rPr>
                <w:rFonts w:ascii="Times New Roman" w:hAnsi="Times New Roman" w:cs="Times New Roman"/>
                <w:sz w:val="18"/>
                <w:szCs w:val="18"/>
              </w:rPr>
              <w:t>X/2004 Z.z.</w:t>
            </w:r>
          </w:p>
          <w:p>
            <w:pPr>
              <w:pStyle w:val="TABUKA-textsmernice"/>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48n</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42</w:t>
            </w:r>
          </w:p>
          <w:p>
            <w:pPr>
              <w:pStyle w:val="TABUKA-textsmernice"/>
              <w:rPr>
                <w:rFonts w:ascii="Times New Roman" w:hAnsi="Times New Roman" w:cs="Times New Roman"/>
                <w:sz w:val="18"/>
                <w:szCs w:val="18"/>
              </w:rPr>
            </w:pPr>
            <w:r>
              <w:rPr>
                <w:rFonts w:ascii="Times New Roman" w:hAnsi="Times New Roman" w:cs="Times New Roman"/>
                <w:sz w:val="18"/>
                <w:szCs w:val="18"/>
              </w:rPr>
              <w:t>ods. 9</w:t>
            </w:r>
          </w:p>
          <w:p>
            <w:pPr>
              <w:pStyle w:val="TABUKA-textsmernice"/>
              <w:rPr>
                <w:rFonts w:ascii="Times New Roman" w:hAnsi="Times New Roman" w:cs="Times New Roman"/>
                <w:sz w:val="18"/>
                <w:szCs w:val="18"/>
              </w:rPr>
            </w:pPr>
          </w:p>
        </w:tc>
        <w:tc>
          <w:tcPr>
            <w:tcW w:w="52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BodyText2"/>
              <w:spacing w:after="0" w:line="240" w:lineRule="auto"/>
              <w:rPr>
                <w:rFonts w:ascii="Times New Roman" w:hAnsi="Times New Roman" w:cs="Times New Roman"/>
                <w:sz w:val="18"/>
                <w:szCs w:val="18"/>
                <w:lang w:val="sk-SK"/>
              </w:rPr>
            </w:pPr>
            <w:r>
              <w:rPr>
                <w:rFonts w:ascii="Times New Roman" w:hAnsi="Times New Roman" w:cs="Times New Roman"/>
                <w:sz w:val="18"/>
                <w:lang w:val="sk-SK"/>
              </w:rPr>
              <w:t>Osoby, ktoré tvoria finančný konglomerát sú povinné poskytovať si navzájom informácie potrebné na plnenie povinností podľa § 48g až 48j a poskytovať tieto informácie</w:t>
            </w:r>
            <w:r>
              <w:rPr>
                <w:rFonts w:ascii="Times New Roman" w:hAnsi="Times New Roman" w:cs="Times New Roman"/>
                <w:sz w:val="18"/>
                <w:lang w:val="sk-SK"/>
              </w:rPr>
              <w:t xml:space="preserve"> úradu</w:t>
            </w:r>
            <w:r>
              <w:rPr>
                <w:rFonts w:ascii="Times New Roman" w:hAnsi="Times New Roman" w:cs="Times New Roman"/>
                <w:b/>
                <w:bCs/>
                <w:sz w:val="18"/>
                <w:lang w:val="sk-SK"/>
              </w:rPr>
              <w:t xml:space="preserve"> </w:t>
            </w:r>
            <w:r>
              <w:rPr>
                <w:rFonts w:ascii="Times New Roman" w:hAnsi="Times New Roman" w:cs="Times New Roman"/>
                <w:sz w:val="18"/>
                <w:lang w:val="sk-SK"/>
              </w:rPr>
              <w:t>na účely doplňujúceho dohľadu.</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BodyText2"/>
              <w:spacing w:after="0" w:line="240" w:lineRule="auto"/>
              <w:rPr>
                <w:rFonts w:ascii="Times New Roman" w:hAnsi="Times New Roman" w:cs="Times New Roman"/>
                <w:iCs/>
                <w:sz w:val="18"/>
                <w:szCs w:val="18"/>
                <w:lang w:val="sk-SK"/>
              </w:rPr>
            </w:pPr>
            <w:r>
              <w:rPr>
                <w:rFonts w:ascii="Times New Roman" w:hAnsi="Times New Roman" w:cs="Times New Roman"/>
                <w:iCs/>
                <w:sz w:val="18"/>
                <w:szCs w:val="18"/>
                <w:lang w:val="sk-SK"/>
              </w:rPr>
              <w:t>(9) Osoby podliehajúce dohľadu podľa odseku 1 dohľadu na konsolidovanom základe a doplňujúcemu dohľadu nad finančnými konglomerátmi sú povinné, v úradom určenej lehote, odovzdať úradu ním požadované údaje, vrátane zá</w:t>
            </w:r>
            <w:r>
              <w:rPr>
                <w:rFonts w:ascii="Times New Roman" w:hAnsi="Times New Roman" w:cs="Times New Roman"/>
                <w:iCs/>
                <w:sz w:val="18"/>
                <w:szCs w:val="18"/>
                <w:lang w:val="sk-SK"/>
              </w:rPr>
              <w:t>znamov telefónnych hovorov a záznamov o práci s údajmi</w:t>
            </w:r>
          </w:p>
          <w:p>
            <w:pPr>
              <w:pStyle w:val="BodyText"/>
              <w:rPr>
                <w:rFonts w:ascii="Times New Roman" w:hAnsi="Times New Roman" w:cs="Times New Roman"/>
                <w:i/>
                <w:sz w:val="18"/>
                <w:szCs w:val="18"/>
              </w:rPr>
            </w:pPr>
            <w:r>
              <w:rPr>
                <w:rFonts w:ascii="Times New Roman" w:hAnsi="Times New Roman" w:cs="Times New Roman"/>
                <w:iCs/>
                <w:sz w:val="18"/>
                <w:szCs w:val="18"/>
              </w:rPr>
              <w:t xml:space="preserve"> doklady a informácie potrebné pre riadny výkon tohto dohľadu.</w:t>
            </w:r>
            <w:r>
              <w:rPr>
                <w:rFonts w:ascii="Times New Roman" w:hAnsi="Times New Roman" w:cs="Times New Roman"/>
                <w:i/>
                <w:sz w:val="18"/>
                <w:szCs w:val="18"/>
              </w:rPr>
              <w:t xml:space="preserve"> </w:t>
            </w:r>
          </w:p>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Ú</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109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6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7"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Čl. 15</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spacing w:after="0"/>
              <w:rPr>
                <w:rFonts w:ascii="Times New Roman" w:hAnsi="Times New Roman" w:cs="Times New Roman"/>
                <w:b/>
                <w:sz w:val="18"/>
                <w:szCs w:val="18"/>
                <w:lang w:val="sk-SK"/>
              </w:rPr>
            </w:pPr>
            <w:r>
              <w:rPr>
                <w:rFonts w:ascii="Times New Roman" w:hAnsi="Times New Roman" w:cs="Times New Roman"/>
                <w:b/>
                <w:sz w:val="18"/>
                <w:szCs w:val="18"/>
                <w:lang w:val="sk-SK"/>
              </w:rPr>
              <w:t>Overovanie</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Ak si príslušné orgány pri uplatňovaní tejto smernice v špecifických prípadoch želajú overiť informácie týkajúce s určitého subjektu, regulovaného či neregulovaného, ktorý je súčasťou finančného konglomerátu a nachádza sa v inom členskom štáte, požiadajú príslušné orgány tohto iného členského štátu, aby dali vykonať toto overenie.</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Orgány, ktoré dostanú takúto žiadosť, ju v súlade so svojou kompetenciou vybavia buď ta, že overenie vykonajú sami, dajú ho vykonať audítorovi, alebo expertovi, alebo umožnia orgánu, ktorý žiadosť zadal, vykonať ho sám.</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Príslušný orgán, ktorý zadal žiadosť, môže ak chce, participovať na ove</w:t>
            </w:r>
            <w:r>
              <w:rPr>
                <w:rFonts w:ascii="Times New Roman" w:hAnsi="Times New Roman" w:cs="Times New Roman"/>
                <w:sz w:val="18"/>
                <w:szCs w:val="18"/>
                <w:lang w:val="sk-SK"/>
              </w:rPr>
              <w:t>rení, ak nevykonáva overenie sám.</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3"/>
              <w:rPr>
                <w:rFonts w:ascii="Times New Roman" w:hAnsi="Times New Roman" w:cs="Times New Roman"/>
                <w:sz w:val="18"/>
                <w:szCs w:val="18"/>
                <w:lang w:val="de-DE"/>
              </w:rPr>
            </w:pPr>
            <w:r>
              <w:rPr>
                <w:rFonts w:ascii="Times New Roman" w:hAnsi="Times New Roman" w:cs="Times New Roman"/>
                <w:sz w:val="18"/>
                <w:szCs w:val="18"/>
                <w:lang w:val="de-DE"/>
              </w:rPr>
              <w:t>N</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X/2004 Z.z.</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48m</w:t>
            </w:r>
          </w:p>
        </w:tc>
        <w:tc>
          <w:tcPr>
            <w:tcW w:w="52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spacing w:after="0"/>
              <w:rPr>
                <w:rFonts w:ascii="Times New Roman" w:hAnsi="Times New Roman" w:cs="Times New Roman"/>
                <w:sz w:val="18"/>
                <w:szCs w:val="18"/>
                <w:lang w:val="sk-SK"/>
              </w:rPr>
            </w:pPr>
            <w:r>
              <w:rPr>
                <w:rFonts w:ascii="Times New Roman" w:hAnsi="Times New Roman" w:cs="Times New Roman"/>
                <w:sz w:val="18"/>
                <w:lang w:val="sk-SK"/>
              </w:rPr>
              <w:t>Úrad na požiadanie príslušného orgánu dohľadu iného členského štátu zodpovedného za dohľad nad regulovanými osobam tvoriacimi finančný konglomerát preverí  informácie potrebné na výkon doplňujúceho dohľadu o osobe, ktorá tvorí finančný konglomerát a jej sídlo je na území  Slovenskej republike alebo preverí tieto informácie prostredníctvom poverených osôb. Osoby poverené príslušným orgánom dohľadu iného členského štátu sú oprávnené zúčastniť sa preverovania vykonávaného úradom  alebo môžu preveriť tieto informácie samostatne. Úrad je oprávnený   požiadať príslušný orgán dohľadu iného členského štátu zodpovedný za dohľad nad regulovanými osobami tvoriacimi finančný konglomerát o preverenie  informácie potrebnej na výkon doplňujúceho dohľadu o osobách so sídlom v tomto členskom štáte alebo preveriť tieto informácie samostatne alebo prostredníctvom poverených osôb.</w:t>
            </w:r>
          </w:p>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Ú</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109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6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7"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Čl. 16</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spacing w:after="0"/>
              <w:rPr>
                <w:rFonts w:ascii="Times New Roman" w:hAnsi="Times New Roman" w:cs="Times New Roman"/>
                <w:b/>
                <w:sz w:val="18"/>
                <w:szCs w:val="18"/>
                <w:lang w:val="sk-SK"/>
              </w:rPr>
            </w:pPr>
            <w:r>
              <w:rPr>
                <w:rFonts w:ascii="Times New Roman" w:hAnsi="Times New Roman" w:cs="Times New Roman"/>
                <w:b/>
                <w:sz w:val="18"/>
                <w:szCs w:val="18"/>
                <w:lang w:val="sk-SK"/>
              </w:rPr>
              <w:t>Opatrenia na vynucovanie</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Ak regulované subjekty vo finančnom konglomeráte nespĺňajú požiadavky ustanovené v článkoch 6 až 9 alebo ak sú požiadavky splnené, ale napriek tomu platobná schopnosť môže byť ohrozená, alebo ak vnútroskupinové transakcie alebo koncentrácie rizík predstavujú hrozbu pre finančnú pozíciu regulovaných subjektov, vyžadujú sa potrebné opatrenia na čo najrýchlejšiu nápravu situácie:</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koordinátorom vo vzťahu k zmiešanej finančnej holdingovej spoločnosti,</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  príslušnými orgánmi vo vzťahu k regulovaným subjektom; koordinátor na tento účel informuje tieto príslušné </w:t>
            </w:r>
            <w:r>
              <w:rPr>
                <w:rFonts w:ascii="Times New Roman" w:hAnsi="Times New Roman" w:cs="Times New Roman"/>
                <w:sz w:val="18"/>
                <w:szCs w:val="18"/>
                <w:lang w:val="sk-SK"/>
              </w:rPr>
              <w:t>orgány o svojich zisteniach.</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Členské štáty môžu bez dotknutia  článku 17 ods. 2 určiť, aké  opatrenia môžu prijať ich príslušné orgány vo vzťahu k zmiešaným finančným holdingovým spoločnostiam.</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Zainteresované príslušné orgány vrátane koordinátora v prípade vhodnosti koordinujú svoje kroky v oblasti dohľadu.</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3"/>
              <w:rPr>
                <w:rFonts w:ascii="Times New Roman" w:hAnsi="Times New Roman" w:cs="Times New Roman"/>
                <w:sz w:val="18"/>
                <w:szCs w:val="18"/>
                <w:lang w:val="de-DE"/>
              </w:rPr>
            </w:pPr>
            <w:r>
              <w:rPr>
                <w:rFonts w:ascii="Times New Roman" w:hAnsi="Times New Roman" w:cs="Times New Roman"/>
                <w:sz w:val="18"/>
                <w:szCs w:val="18"/>
                <w:lang w:val="de-DE"/>
              </w:rPr>
              <w:t>N</w:t>
            </w: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p>
          <w:p>
            <w:pPr>
              <w:pStyle w:val="BodyText3"/>
              <w:rPr>
                <w:rFonts w:ascii="Times New Roman" w:hAnsi="Times New Roman" w:cs="Times New Roman"/>
                <w:sz w:val="18"/>
                <w:szCs w:val="18"/>
                <w:lang w:val="de-DE"/>
              </w:rPr>
            </w:pPr>
            <w:r>
              <w:rPr>
                <w:rFonts w:ascii="Times New Roman" w:hAnsi="Times New Roman" w:cs="Times New Roman"/>
                <w:sz w:val="18"/>
                <w:szCs w:val="18"/>
                <w:lang w:val="de-DE"/>
              </w:rPr>
              <w:t>D</w:t>
            </w:r>
          </w:p>
          <w:p>
            <w:pPr>
              <w:pStyle w:val="BodyText3"/>
              <w:rPr>
                <w:rFonts w:ascii="Times New Roman" w:hAnsi="Times New Roman" w:cs="Times New Roman"/>
                <w:sz w:val="18"/>
                <w:szCs w:val="18"/>
                <w:lang w:val="de-DE"/>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X/2004 Z.z.</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49a</w:t>
            </w:r>
          </w:p>
          <w:p>
            <w:pPr>
              <w:pStyle w:val="TABUKA-textsmernice"/>
              <w:rPr>
                <w:rFonts w:ascii="Times New Roman" w:hAnsi="Times New Roman" w:cs="Times New Roman"/>
                <w:sz w:val="18"/>
                <w:szCs w:val="18"/>
              </w:rPr>
            </w:pPr>
            <w:r>
              <w:rPr>
                <w:rFonts w:ascii="Times New Roman" w:hAnsi="Times New Roman" w:cs="Times New Roman"/>
                <w:sz w:val="18"/>
                <w:szCs w:val="18"/>
              </w:rPr>
              <w:t>ods. 2</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52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BodyText2"/>
              <w:tabs>
                <w:tab w:val="left" w:pos="0"/>
              </w:tabs>
              <w:spacing w:line="240" w:lineRule="auto"/>
              <w:rPr>
                <w:rFonts w:ascii="Times New Roman" w:hAnsi="Times New Roman" w:cs="Times New Roman"/>
                <w:sz w:val="18"/>
                <w:lang w:val="sk-SK"/>
              </w:rPr>
            </w:pPr>
            <w:r>
              <w:rPr>
                <w:rFonts w:ascii="Times New Roman" w:hAnsi="Times New Roman" w:cs="Times New Roman"/>
                <w:sz w:val="18"/>
                <w:szCs w:val="18"/>
                <w:lang w:val="sk-SK"/>
              </w:rPr>
              <w:t xml:space="preserve">(2) </w:t>
            </w:r>
            <w:r>
              <w:rPr>
                <w:rFonts w:ascii="Times New Roman" w:hAnsi="Times New Roman" w:cs="Times New Roman"/>
                <w:sz w:val="18"/>
                <w:lang w:val="sk-SK"/>
              </w:rPr>
              <w:t xml:space="preserve">Ak je ohrozená platobná schopnosť finančného konglomerátu alebo ak je ohrozené dodržanie dostatočnej výšky vlastných zdrojov  vo finančnom konglomeráte, ktorý podlieha doplňujúcemu dohľadu, úrad je  oprávnený   </w:t>
            </w:r>
          </w:p>
          <w:p>
            <w:pPr>
              <w:pStyle w:val="BodyTextIndent2"/>
              <w:spacing w:line="240" w:lineRule="auto"/>
              <w:ind w:left="0"/>
              <w:rPr>
                <w:rFonts w:ascii="Times New Roman" w:hAnsi="Times New Roman" w:cs="Times New Roman"/>
                <w:sz w:val="18"/>
                <w:lang w:val="sk-SK"/>
              </w:rPr>
            </w:pPr>
            <w:r>
              <w:rPr>
                <w:rFonts w:ascii="Times New Roman" w:hAnsi="Times New Roman" w:cs="Times New Roman"/>
                <w:sz w:val="18"/>
                <w:lang w:val="sk-SK"/>
              </w:rPr>
              <w:t xml:space="preserve">a) uložiť opatrenia na ozdravenie finančného konglomerátu podľa § 50,  </w:t>
            </w:r>
          </w:p>
          <w:p>
            <w:pPr>
              <w:pStyle w:val="TABUKA-textsmernice"/>
              <w:rPr>
                <w:rFonts w:ascii="Times New Roman" w:hAnsi="Times New Roman" w:cs="Times New Roman"/>
                <w:sz w:val="18"/>
                <w:szCs w:val="18"/>
              </w:rPr>
            </w:pPr>
            <w:r>
              <w:rPr>
                <w:rFonts w:ascii="Times New Roman" w:hAnsi="Times New Roman" w:cs="Times New Roman"/>
                <w:sz w:val="18"/>
              </w:rPr>
              <w:t>b) obmedziť alebo pozastaviť výkon niektorých vnútroskupinových obchodov.</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Ú</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N</w:t>
            </w:r>
          </w:p>
          <w:p>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109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6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7"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Čl. 17</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spacing w:after="0"/>
              <w:rPr>
                <w:rFonts w:ascii="Times New Roman" w:hAnsi="Times New Roman" w:cs="Times New Roman"/>
                <w:b/>
                <w:sz w:val="18"/>
                <w:szCs w:val="18"/>
                <w:lang w:val="sk-SK"/>
              </w:rPr>
            </w:pPr>
            <w:r>
              <w:rPr>
                <w:rFonts w:ascii="Times New Roman" w:hAnsi="Times New Roman" w:cs="Times New Roman"/>
                <w:b/>
                <w:sz w:val="18"/>
                <w:szCs w:val="18"/>
                <w:lang w:val="sk-SK"/>
              </w:rPr>
              <w:t>Ďalšie právomoci prísl</w:t>
            </w:r>
            <w:r>
              <w:rPr>
                <w:rFonts w:ascii="Times New Roman" w:hAnsi="Times New Roman" w:cs="Times New Roman"/>
                <w:b/>
                <w:sz w:val="18"/>
                <w:szCs w:val="18"/>
                <w:lang w:val="sk-SK"/>
              </w:rPr>
              <w:t>ušných orgánov</w:t>
            </w:r>
          </w:p>
          <w:p>
            <w:pPr>
              <w:numPr>
                <w:ilvl w:val="0"/>
                <w:numId w:val="35"/>
              </w:numPr>
              <w:tabs>
                <w:tab w:val="left" w:pos="290"/>
              </w:tabs>
              <w:spacing w:after="0"/>
              <w:ind w:left="0" w:firstLine="0"/>
              <w:rPr>
                <w:rFonts w:ascii="Times New Roman" w:hAnsi="Times New Roman" w:cs="Times New Roman"/>
                <w:sz w:val="18"/>
                <w:szCs w:val="18"/>
                <w:lang w:val="sk-SK"/>
              </w:rPr>
            </w:pPr>
            <w:r>
              <w:rPr>
                <w:rFonts w:ascii="Times New Roman" w:hAnsi="Times New Roman" w:cs="Times New Roman"/>
                <w:sz w:val="18"/>
                <w:szCs w:val="18"/>
                <w:lang w:val="sk-SK"/>
              </w:rPr>
              <w:t>Členské štáty zabezpečia až do ďalšej harmonizácie sektorových predpisov, aby ich príslušné orgány mali právomoc prijať akékoľvek opatrenie dohľadu, ktoré sa považuje za nutné na zabránenie obchádzania alebo na riešenie obchádzania sektorových predpisov regulovanými subjektmi vo finančnom konglomeráte.</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pStyle w:val="NormalWeb"/>
              <w:rPr>
                <w:rFonts w:ascii="Times New Roman" w:hAnsi="Times New Roman" w:cs="Times New Roman"/>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2. Členské štáty zabezpečia, bez dotknutia svojich trestnoprávnych opatrení, aby sa sankcie alebo opatrenia zamerané na skončenie zistených porušení alebo príčin týchto porušení mohli uložiť voči zmiešaným finančnými holdingovým spoločnostiam alebo ich výkonným manažérom, ktorí porušia zákony, nariadenia alebo administratívne opatrenia prijaté na implementáciu tejto smernice. Takéto opatrenia môžu v niektorých prípadoch vyžadovať intervenciu súdu. Príslušné orgány spolu úzko spolupracujú, aby tieto sankcie alebo opatrenia priniesli želané výsledky.</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3"/>
              <w:rPr>
                <w:rFonts w:ascii="Times New Roman" w:hAnsi="Times New Roman" w:cs="Times New Roman"/>
                <w:sz w:val="18"/>
                <w:szCs w:val="18"/>
                <w:lang w:val="de-DE"/>
              </w:rPr>
            </w:pPr>
            <w:r>
              <w:rPr>
                <w:rFonts w:ascii="Times New Roman" w:hAnsi="Times New Roman" w:cs="Times New Roman"/>
                <w:sz w:val="18"/>
                <w:szCs w:val="18"/>
                <w:lang w:val="de-DE"/>
              </w:rPr>
              <w:t>N</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X/2004 Z.z.</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X/2004 Z.z.</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49a</w:t>
            </w:r>
          </w:p>
          <w:p>
            <w:pPr>
              <w:pStyle w:val="TABUKA-textsmernice"/>
              <w:rPr>
                <w:rFonts w:ascii="Times New Roman" w:hAnsi="Times New Roman" w:cs="Times New Roman"/>
                <w:sz w:val="18"/>
                <w:szCs w:val="18"/>
              </w:rPr>
            </w:pPr>
            <w:r>
              <w:rPr>
                <w:rFonts w:ascii="Times New Roman" w:hAnsi="Times New Roman" w:cs="Times New Roman"/>
                <w:sz w:val="18"/>
                <w:szCs w:val="18"/>
              </w:rPr>
              <w:t>ods. 1</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49</w:t>
            </w:r>
          </w:p>
          <w:p>
            <w:pPr>
              <w:pStyle w:val="TABUKA-textsmernice"/>
              <w:rPr>
                <w:rFonts w:ascii="Times New Roman" w:hAnsi="Times New Roman" w:cs="Times New Roman"/>
                <w:sz w:val="18"/>
                <w:szCs w:val="18"/>
              </w:rPr>
            </w:pPr>
            <w:r>
              <w:rPr>
                <w:rFonts w:ascii="Times New Roman" w:hAnsi="Times New Roman" w:cs="Times New Roman"/>
                <w:sz w:val="18"/>
                <w:szCs w:val="18"/>
              </w:rPr>
              <w:t>ods. 6</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52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BodyTextIndent2"/>
              <w:spacing w:line="240" w:lineRule="auto"/>
              <w:ind w:left="0" w:firstLine="708"/>
              <w:rPr>
                <w:rFonts w:ascii="Times New Roman" w:hAnsi="Times New Roman" w:cs="Times New Roman"/>
                <w:sz w:val="18"/>
                <w:lang w:val="sk-SK"/>
              </w:rPr>
            </w:pPr>
            <w:r>
              <w:rPr>
                <w:rFonts w:ascii="Times New Roman" w:hAnsi="Times New Roman" w:cs="Times New Roman"/>
                <w:sz w:val="18"/>
                <w:szCs w:val="18"/>
                <w:lang w:val="sk-SK"/>
              </w:rPr>
              <w:t xml:space="preserve">(1) </w:t>
            </w:r>
            <w:r>
              <w:rPr>
                <w:rFonts w:ascii="Times New Roman" w:hAnsi="Times New Roman" w:cs="Times New Roman"/>
                <w:sz w:val="18"/>
                <w:lang w:val="sk-SK"/>
              </w:rPr>
              <w:t>Úrad môže uložiť osobe, ktorá je súčasťou  finančného konglomerátu, nad ktorým vykonáva doplňujúci dohľad, podľa závažnosti, miery zavinenia a povahy zistených nedostatkov pokutu až do výšky 20 000 000 Sk, ak táto osoba</w:t>
            </w:r>
          </w:p>
          <w:p>
            <w:pPr>
              <w:pStyle w:val="BodyText"/>
              <w:numPr>
                <w:ilvl w:val="0"/>
                <w:numId w:val="49"/>
              </w:numPr>
              <w:tabs>
                <w:tab w:val="left" w:pos="360"/>
              </w:tabs>
              <w:rPr>
                <w:rFonts w:ascii="Times New Roman" w:hAnsi="Times New Roman" w:cs="Times New Roman"/>
                <w:sz w:val="18"/>
              </w:rPr>
            </w:pPr>
            <w:r>
              <w:rPr>
                <w:rFonts w:ascii="Times New Roman" w:hAnsi="Times New Roman" w:cs="Times New Roman"/>
                <w:sz w:val="18"/>
              </w:rPr>
              <w:t xml:space="preserve">neumožní vykonať dohľad na mieste, </w:t>
            </w:r>
          </w:p>
          <w:p>
            <w:pPr>
              <w:pStyle w:val="BodyText"/>
              <w:rPr>
                <w:rFonts w:ascii="Times New Roman" w:hAnsi="Times New Roman" w:cs="Times New Roman"/>
                <w:sz w:val="18"/>
              </w:rPr>
            </w:pPr>
            <w:r>
              <w:rPr>
                <w:rFonts w:ascii="Times New Roman" w:hAnsi="Times New Roman" w:cs="Times New Roman"/>
                <w:sz w:val="18"/>
              </w:rPr>
              <w:t xml:space="preserve">b) neposkytne požadované výkazy, hlásenia a iné správy na účely výkonu doplňujúceho dohľadu, </w:t>
            </w:r>
          </w:p>
          <w:p>
            <w:pPr>
              <w:pStyle w:val="BodyText"/>
              <w:rPr>
                <w:rFonts w:ascii="Times New Roman" w:hAnsi="Times New Roman" w:cs="Times New Roman"/>
                <w:sz w:val="18"/>
              </w:rPr>
            </w:pPr>
            <w:r>
              <w:rPr>
                <w:rFonts w:ascii="Times New Roman" w:hAnsi="Times New Roman" w:cs="Times New Roman"/>
                <w:sz w:val="18"/>
              </w:rPr>
              <w:t xml:space="preserve">c) poskytne nesprávne, nepravdivé alebo neúplné výkazy, hlásenia a iné správy, prípadne nedodrží termíny na ich predloženie, alebo </w:t>
            </w:r>
          </w:p>
          <w:p>
            <w:pPr>
              <w:pStyle w:val="BodyText"/>
              <w:rPr>
                <w:rFonts w:ascii="Times New Roman" w:hAnsi="Times New Roman" w:cs="Times New Roman"/>
                <w:sz w:val="18"/>
                <w:szCs w:val="18"/>
              </w:rPr>
            </w:pPr>
            <w:r>
              <w:rPr>
                <w:rFonts w:ascii="Times New Roman" w:hAnsi="Times New Roman" w:cs="Times New Roman"/>
                <w:sz w:val="18"/>
              </w:rPr>
              <w:t>d) nesplní povinnosti podľa §  48g až 48j.</w:t>
            </w:r>
          </w:p>
          <w:p>
            <w:pPr>
              <w:pStyle w:val="TABUKA-textsmernice"/>
              <w:rPr>
                <w:rFonts w:ascii="Times New Roman" w:hAnsi="Times New Roman" w:cs="Times New Roman"/>
                <w:sz w:val="18"/>
                <w:szCs w:val="18"/>
              </w:rPr>
            </w:pPr>
          </w:p>
          <w:p>
            <w:pPr>
              <w:pStyle w:val="BodyText2"/>
              <w:spacing w:line="240" w:lineRule="auto"/>
              <w:rPr>
                <w:rFonts w:ascii="Times New Roman" w:hAnsi="Times New Roman" w:cs="Times New Roman"/>
                <w:sz w:val="18"/>
                <w:lang w:val="sk-SK"/>
              </w:rPr>
            </w:pPr>
            <w:r>
              <w:rPr>
                <w:rFonts w:ascii="Times New Roman" w:hAnsi="Times New Roman" w:cs="Times New Roman"/>
                <w:sz w:val="18"/>
                <w:szCs w:val="18"/>
                <w:lang w:val="sk-SK"/>
              </w:rPr>
              <w:t xml:space="preserve">(6) </w:t>
            </w:r>
            <w:r>
              <w:rPr>
                <w:rFonts w:ascii="Times New Roman" w:hAnsi="Times New Roman" w:cs="Times New Roman"/>
                <w:sz w:val="18"/>
                <w:lang w:val="sk-SK"/>
              </w:rPr>
              <w:t xml:space="preserve">Úrad môže uložiť za porušenie povinností vyplývajúcich z tohto zákona alebo iných všeobecne záväzných právnych predpisov, ktoré sa vzťahujú na vykonávanie poisťovacej činnosti alebo zaisťovacej činnosti na individuálnom základe, na konsolidovanom základe a v rámci finančného konglomerátu, zo stanov poisťovne alebo zaisťovne alebo za porušenie podmienok alebo povinností uložených rozhodnutím vydaným úradom podľa závažnosti, miery zavinenia a povahy zistených nedostatkov </w:t>
            </w:r>
          </w:p>
          <w:p>
            <w:pPr>
              <w:pStyle w:val="BodyText2"/>
              <w:spacing w:line="240" w:lineRule="auto"/>
              <w:rPr>
                <w:rFonts w:ascii="Times New Roman" w:hAnsi="Times New Roman" w:cs="Times New Roman"/>
                <w:sz w:val="18"/>
              </w:rPr>
            </w:pPr>
            <w:r>
              <w:rPr>
                <w:rFonts w:ascii="Times New Roman" w:hAnsi="Times New Roman" w:cs="Times New Roman"/>
                <w:sz w:val="18"/>
              </w:rPr>
              <w:t xml:space="preserve">a)  členovi predstavenstva alebo členovi dozornej rady poisťovne alebo zaisťovne,  vedúcemu pobočky zahraničnej poisťovne alebo jeho zástupcovi, vedúcemu pobočky zahraničnej zaisťovne alebo jeho zástupcovi, nútenému správcovi alebo zástupcovi núteného správcu,členovi predstavenstva alebo vedúcemu zamestnancovi zmiešanej finančnej spoločnosti podľa § 48c ods. 1 písm. b) až e), zodpovednému aktuárovi, prokuristovi pokutu až do výšky dvanásťnásobku mesačného priemeru celkových príjmov od poisťovne, zaisťovne, pobočky zahraničnej poisťovne, pobočky zahraničnej zaisťovne, konsolidovaného celku, subkonsolidovaného celku alebo osôb tvoriacich finančný konglomerát, do ktorého patrí poisťovňa, zaisťovňa, pobočka zahraničnej poisťovne alebo pobočka zahraničnej zaisťovne, </w:t>
            </w:r>
          </w:p>
          <w:p>
            <w:pPr>
              <w:pStyle w:val="BodyText2"/>
              <w:spacing w:after="0" w:line="240" w:lineRule="auto"/>
              <w:rPr>
                <w:rFonts w:ascii="Times New Roman" w:hAnsi="Times New Roman" w:cs="Times New Roman"/>
                <w:sz w:val="18"/>
                <w:szCs w:val="18"/>
                <w:lang w:val="sk-SK"/>
              </w:rPr>
            </w:pPr>
            <w:r>
              <w:rPr>
                <w:rFonts w:ascii="Times New Roman" w:hAnsi="Times New Roman" w:cs="Times New Roman"/>
                <w:sz w:val="18"/>
              </w:rPr>
              <w:t>b) vedúcemu zamestnancovi</w:t>
            </w:r>
            <w:r>
              <w:rPr>
                <w:rFonts w:ascii="Times New Roman" w:hAnsi="Times New Roman" w:cs="Times New Roman"/>
                <w:sz w:val="18"/>
                <w:vertAlign w:val="superscript"/>
              </w:rPr>
              <w:t>10)</w:t>
            </w:r>
            <w:r>
              <w:rPr>
                <w:rFonts w:ascii="Times New Roman" w:hAnsi="Times New Roman" w:cs="Times New Roman"/>
                <w:sz w:val="18"/>
              </w:rPr>
              <w:t xml:space="preserve"> riadiacemu útvar vnútornej kontr</w:t>
            </w:r>
            <w:r>
              <w:rPr>
                <w:rFonts w:ascii="Times New Roman" w:hAnsi="Times New Roman" w:cs="Times New Roman"/>
                <w:sz w:val="18"/>
              </w:rPr>
              <w:t>oly, alebo vedúcemu zamestnancovi</w:t>
            </w:r>
            <w:r>
              <w:rPr>
                <w:rFonts w:ascii="Times New Roman" w:hAnsi="Times New Roman" w:cs="Times New Roman"/>
                <w:sz w:val="18"/>
                <w:vertAlign w:val="superscript"/>
              </w:rPr>
              <w:t xml:space="preserve">10) </w:t>
            </w:r>
            <w:r>
              <w:rPr>
                <w:rFonts w:ascii="Times New Roman" w:hAnsi="Times New Roman" w:cs="Times New Roman"/>
                <w:sz w:val="18"/>
              </w:rPr>
              <w:t>v priamej riadiacej pôsobnosti predstavenstva poisťovne alebo zaisťovne  pokutu najviac do výšky 50 % dvanásťnásobku mesačného priemeru jeho celkových príjmov od poisťovne, zaisťovne, pobočky zahraničnej poisťovne alebo pobočky zahraničnej zaisťovne alebo konsolidovaného celku alebo subkonsolidovaného celku, do ktorého patrí poisťovňa, zaisťovňa, pobočka zahraničnej poisťovne alebo pobočka zahraničnej zaisťovne</w:t>
            </w:r>
          </w:p>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Ú</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109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6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7"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Čl. 18</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spacing w:after="0"/>
              <w:rPr>
                <w:rFonts w:ascii="Times New Roman" w:hAnsi="Times New Roman" w:cs="Times New Roman"/>
                <w:b/>
                <w:sz w:val="18"/>
                <w:szCs w:val="18"/>
                <w:lang w:val="sk-SK"/>
              </w:rPr>
            </w:pPr>
            <w:r>
              <w:rPr>
                <w:rFonts w:ascii="Times New Roman" w:hAnsi="Times New Roman" w:cs="Times New Roman"/>
                <w:b/>
                <w:sz w:val="18"/>
                <w:szCs w:val="18"/>
                <w:lang w:val="sk-SK"/>
              </w:rPr>
              <w:t>Materské spoločnosti mimo Spoločenstva</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1. Príslušné orgány v prípade ustanovenom v článku 5 ods.3 bez dotknutia sektorových predpisov preveria, či regulované subjekty, ktorých materská spoločnosť má sídlo mimo Spoločenstva, podliehajú dohľadu príslušného orgánu tretieho štátu, ktorý je rovnocenný dohľadu zabezpečeného ustanoveniami tejto smernice o doplňujúcom dohľade nad regulovanými subjektmi ustanovenými v článku 5 ods. 2. Toto overenie vykoná príslušný orgán, ktorým je koordinátor, ak treba uplatniť kritériá ustanovené v článku 10 ods. 2 na žiadosť materskej spoločnosti alebo ktoréhokoľvek z regulovaných subjektov oprávnených v Spoločenstve alebo na základe vlastnej iniciatívy. Tento príslušný orgán konzultuje s ostatnými príslušnými kompetentnými orgánmi a vezme do úvahy platné pokyny vypracované výborom pre finančné konglomeráty v súlade s článkom 21 ods. 5. Príslušný orgán na tento účel pred prijatím rozhodnutia konzultuje s týmto výborom.</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2.  Ak neexistuje rovnocenný dohľad ustanovený v odseku 1, členské štáty uplatnia voči regulovaným subjektom analogicky ustanovenia týkajúce sa doplňujúceho dohľadu nad regulovanými subjektmi ustanovenými v článku 5 ods. 2. Príslušné orgány môžu alternatívne  uplatniť jednu z metód ustanovených v odseku 3.</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3.Členské štáty umožnia, aby ich príslušné orgány použili iné metódy, ktoré zabezpečia primeraný doplňujúci dohľad nad regulovanými subjektmi vo finančných konglomerátoch. Tieto metódy musí odsúhlasiť koordinátor po konzultácii s ostatnými príslušnými kompetentnými orgánmi.  Príslušné orgány môžu najmä žiadať vytvorenie zmiešanej finančnej holdingovej spoločnosti, ktorá má sídlo v Spoločenstve, a uplatňovať túto smernicu vo vzťahu k regulovaným subjektom vo finančnom konglomeráte, na vrchole ktorého stojí táto holdingová spoločnosť. Tieto metódy musia zabezpečiť ciele doplňujúceho dohľadu definované v tejto smernici a musia sa oznámiť ostatným zainteresovaným príslušným orgánom a Komisii.</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3"/>
              <w:rPr>
                <w:rFonts w:ascii="Times New Roman" w:hAnsi="Times New Roman" w:cs="Times New Roman"/>
                <w:sz w:val="18"/>
                <w:szCs w:val="18"/>
                <w:lang w:val="de-DE"/>
              </w:rPr>
            </w:pPr>
            <w:r>
              <w:rPr>
                <w:rFonts w:ascii="Times New Roman" w:hAnsi="Times New Roman" w:cs="Times New Roman"/>
                <w:sz w:val="18"/>
                <w:szCs w:val="18"/>
                <w:lang w:val="de-DE"/>
              </w:rPr>
              <w:t>N</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X/2004 Z.z.</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48f</w:t>
            </w:r>
          </w:p>
          <w:p>
            <w:pPr>
              <w:pStyle w:val="TABUKA-textsmernice"/>
              <w:rPr>
                <w:rFonts w:ascii="Times New Roman" w:hAnsi="Times New Roman" w:cs="Times New Roman"/>
                <w:sz w:val="18"/>
                <w:szCs w:val="18"/>
              </w:rPr>
            </w:pPr>
            <w:r>
              <w:rPr>
                <w:rFonts w:ascii="Times New Roman" w:hAnsi="Times New Roman" w:cs="Times New Roman"/>
                <w:sz w:val="18"/>
                <w:szCs w:val="18"/>
              </w:rPr>
              <w:t>ods. 3</w:t>
            </w:r>
          </w:p>
          <w:p>
            <w:pPr>
              <w:pStyle w:val="TABUKA-textsmernice"/>
              <w:rPr>
                <w:rFonts w:ascii="Times New Roman" w:hAnsi="Times New Roman" w:cs="Times New Roman"/>
                <w:sz w:val="18"/>
                <w:szCs w:val="18"/>
              </w:rPr>
            </w:pPr>
            <w:r>
              <w:rPr>
                <w:rFonts w:ascii="Times New Roman" w:hAnsi="Times New Roman" w:cs="Times New Roman"/>
                <w:sz w:val="18"/>
                <w:szCs w:val="18"/>
              </w:rPr>
              <w:t>prvá veta</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48f</w:t>
            </w:r>
          </w:p>
          <w:p>
            <w:pPr>
              <w:pStyle w:val="TABUKA-textsmernice"/>
              <w:rPr>
                <w:rFonts w:ascii="Times New Roman" w:hAnsi="Times New Roman" w:cs="Times New Roman"/>
                <w:sz w:val="18"/>
                <w:szCs w:val="18"/>
              </w:rPr>
            </w:pPr>
            <w:r>
              <w:rPr>
                <w:rFonts w:ascii="Times New Roman" w:hAnsi="Times New Roman" w:cs="Times New Roman"/>
                <w:sz w:val="18"/>
                <w:szCs w:val="18"/>
              </w:rPr>
              <w:t>ods. 4</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48f</w:t>
            </w:r>
          </w:p>
          <w:p>
            <w:pPr>
              <w:pStyle w:val="TABUKA-textsmernice"/>
              <w:rPr>
                <w:rFonts w:ascii="Times New Roman" w:hAnsi="Times New Roman" w:cs="Times New Roman"/>
                <w:sz w:val="18"/>
                <w:szCs w:val="18"/>
              </w:rPr>
            </w:pPr>
            <w:r>
              <w:rPr>
                <w:rFonts w:ascii="Times New Roman" w:hAnsi="Times New Roman" w:cs="Times New Roman"/>
                <w:sz w:val="18"/>
                <w:szCs w:val="18"/>
              </w:rPr>
              <w:t>ods. 3</w:t>
            </w:r>
          </w:p>
          <w:p>
            <w:pPr>
              <w:pStyle w:val="TABUKA-textsmernice"/>
              <w:rPr>
                <w:rFonts w:ascii="Times New Roman" w:hAnsi="Times New Roman" w:cs="Times New Roman"/>
                <w:sz w:val="18"/>
                <w:szCs w:val="18"/>
              </w:rPr>
            </w:pPr>
            <w:r>
              <w:rPr>
                <w:rFonts w:ascii="Times New Roman" w:hAnsi="Times New Roman" w:cs="Times New Roman"/>
                <w:sz w:val="18"/>
                <w:szCs w:val="18"/>
              </w:rPr>
              <w:t>druhá veta</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48f</w:t>
            </w:r>
          </w:p>
          <w:p>
            <w:pPr>
              <w:pStyle w:val="TABUKA-textsmernice"/>
              <w:rPr>
                <w:rFonts w:ascii="Times New Roman" w:hAnsi="Times New Roman" w:cs="Times New Roman"/>
                <w:sz w:val="18"/>
                <w:szCs w:val="18"/>
              </w:rPr>
            </w:pPr>
            <w:r>
              <w:rPr>
                <w:rFonts w:ascii="Times New Roman" w:hAnsi="Times New Roman" w:cs="Times New Roman"/>
                <w:sz w:val="18"/>
                <w:szCs w:val="18"/>
              </w:rPr>
              <w:t>ods. 5</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52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xml:space="preserve">(3) </w:t>
            </w:r>
            <w:r>
              <w:rPr>
                <w:rFonts w:ascii="Times New Roman" w:hAnsi="Times New Roman" w:cs="Times New Roman"/>
                <w:sz w:val="18"/>
              </w:rPr>
              <w:t>Poisťovňa alebo zaisťovňa, ktorej materskou spoločnosťou je regulovaná osoba alebo zmiešaná finančná holdingová spoločnosť so sídlom v štáte, ktorý nie je členským štátom a v tomto štáte nie je vykonávaný dohľad nad finančnými konglomerátmi, ktorý je  rovnocenný s doplňujúcim dohľadom podľa tohto zákona je povinná dodržiavať podmienky podľa § 48g až 48j.</w:t>
            </w:r>
          </w:p>
          <w:p>
            <w:pPr>
              <w:pStyle w:val="TABUKA-textsmernice"/>
              <w:rPr>
                <w:rFonts w:ascii="Times New Roman" w:hAnsi="Times New Roman" w:cs="Times New Roman"/>
                <w:sz w:val="18"/>
                <w:szCs w:val="18"/>
              </w:rPr>
            </w:pPr>
          </w:p>
          <w:p>
            <w:pPr>
              <w:pStyle w:val="BodyText2"/>
              <w:spacing w:after="0" w:line="240" w:lineRule="auto"/>
              <w:rPr>
                <w:rFonts w:ascii="Times New Roman" w:hAnsi="Times New Roman" w:cs="Times New Roman"/>
                <w:sz w:val="18"/>
                <w:szCs w:val="18"/>
                <w:lang w:val="sk-SK"/>
              </w:rPr>
            </w:pPr>
            <w:r>
              <w:rPr>
                <w:rFonts w:ascii="Times New Roman" w:hAnsi="Times New Roman" w:cs="Times New Roman"/>
                <w:sz w:val="18"/>
                <w:szCs w:val="18"/>
                <w:lang w:val="sk-SK"/>
              </w:rPr>
              <w:t xml:space="preserve">(4) </w:t>
            </w:r>
            <w:r>
              <w:rPr>
                <w:rFonts w:ascii="Times New Roman" w:hAnsi="Times New Roman" w:cs="Times New Roman"/>
                <w:sz w:val="18"/>
                <w:lang w:val="sk-SK"/>
              </w:rPr>
              <w:t>Úrad preverí či nad finančným konglomerátom podľa odseku 3 je vykonávaný  dohľad, ktorý je rovnocenný s doplňujúcim dohľadom podľa tohto zákona, ak sa tak dohodol s Národnou bankou Slovenska, orgánmi dohľadu iného členského štátu, v ktorom majú sídlo regulované osoby tvoriace finančný konglomerát, a to na žiadosť materskej spoločnosti podľa odseku 3, regulovanej osoby tvoriacej finančný konglomerát alebo z vlastneho podnetu. Úrad prerokuje s Výborom pre finančné konglomeráty pri komisii vydanie rozhodnutia podľa odseku 3.</w:t>
            </w:r>
            <w:r>
              <w:rPr>
                <w:rFonts w:ascii="Times New Roman" w:hAnsi="Times New Roman" w:cs="Times New Roman"/>
                <w:lang w:val="sk-SK"/>
              </w:rPr>
              <w:t xml:space="preserve">  </w:t>
            </w:r>
          </w:p>
          <w:p>
            <w:pPr>
              <w:pStyle w:val="TABUKA-textsmernice"/>
              <w:rPr>
                <w:rFonts w:ascii="Times New Roman" w:hAnsi="Times New Roman" w:cs="Times New Roman"/>
                <w:sz w:val="18"/>
                <w:szCs w:val="18"/>
              </w:rPr>
            </w:pPr>
          </w:p>
          <w:p>
            <w:pPr>
              <w:pStyle w:val="BodyText2"/>
              <w:spacing w:line="240" w:lineRule="auto"/>
              <w:rPr>
                <w:rFonts w:ascii="Times New Roman" w:hAnsi="Times New Roman" w:cs="Times New Roman"/>
                <w:sz w:val="18"/>
                <w:lang w:val="sk-SK"/>
              </w:rPr>
            </w:pPr>
            <w:r>
              <w:rPr>
                <w:rFonts w:ascii="Times New Roman" w:hAnsi="Times New Roman" w:cs="Times New Roman"/>
                <w:sz w:val="18"/>
                <w:lang w:val="sk-SK"/>
              </w:rPr>
              <w:t>Ak nie je možné dodržať podmienky podľa § 48g až 48j z dôvodu, že dohľad vykonávaný v štáte, ktorý nie je členským štátom, nie je  rovnocenný s doplňujúcim dohľadom úrad môže určiť, že poisťovňa alebo zaisťovňa, ktorá je súčasťou takéhoto finančného konglomerátu bude predkladať úradu osobitné výkazy, hlásenia a správy o účasti v takomto finančnom konglomeráte a môže obmedziť alebo zakázať takejto poisťovni alebo zaisťovní  vnútroskupinové obchody, ktoré by mohli mať vplyv na plnenie podmienok solventnosti.</w:t>
            </w:r>
          </w:p>
          <w:p>
            <w:pPr>
              <w:pStyle w:val="BodyText2"/>
              <w:spacing w:after="0" w:line="240" w:lineRule="auto"/>
              <w:rPr>
                <w:rFonts w:ascii="Times New Roman" w:hAnsi="Times New Roman" w:cs="Times New Roman"/>
                <w:sz w:val="18"/>
                <w:szCs w:val="18"/>
                <w:lang w:val="sk-SK"/>
              </w:rPr>
            </w:pPr>
          </w:p>
          <w:p>
            <w:pPr>
              <w:pStyle w:val="BodyText2"/>
              <w:spacing w:after="0" w:line="240" w:lineRule="auto"/>
              <w:rPr>
                <w:rFonts w:ascii="Times New Roman" w:hAnsi="Times New Roman" w:cs="Times New Roman"/>
                <w:sz w:val="18"/>
                <w:szCs w:val="18"/>
                <w:lang w:val="sk-SK"/>
              </w:rPr>
            </w:pPr>
          </w:p>
          <w:p>
            <w:pPr>
              <w:pStyle w:val="BodyText2"/>
              <w:spacing w:after="0" w:line="240" w:lineRule="auto"/>
              <w:rPr>
                <w:rFonts w:ascii="Times New Roman" w:hAnsi="Times New Roman" w:cs="Times New Roman"/>
                <w:sz w:val="18"/>
                <w:szCs w:val="18"/>
                <w:lang w:val="sk-SK"/>
              </w:rPr>
            </w:pPr>
          </w:p>
          <w:p>
            <w:pPr>
              <w:pStyle w:val="BodyText2"/>
              <w:spacing w:after="0" w:line="240" w:lineRule="auto"/>
              <w:rPr>
                <w:rFonts w:ascii="Times New Roman" w:hAnsi="Times New Roman" w:cs="Times New Roman"/>
                <w:sz w:val="18"/>
                <w:szCs w:val="18"/>
                <w:lang w:val="sk-SK"/>
              </w:rPr>
            </w:pPr>
            <w:r>
              <w:rPr>
                <w:rFonts w:ascii="Times New Roman" w:hAnsi="Times New Roman" w:cs="Times New Roman"/>
                <w:sz w:val="18"/>
                <w:szCs w:val="18"/>
                <w:lang w:val="sk-SK"/>
              </w:rPr>
              <w:t xml:space="preserve">(5) </w:t>
            </w:r>
            <w:r>
              <w:rPr>
                <w:rFonts w:ascii="Times New Roman" w:hAnsi="Times New Roman" w:cs="Times New Roman"/>
                <w:sz w:val="18"/>
                <w:lang w:val="sk-SK"/>
              </w:rPr>
              <w:t>Ak právnické osoby majú majetkovú účasť v jednej alebo viacerých regulovaných osobách alebo uplatňujú významný vplyv vo vzťahu k týmto regulovaným osobám bez vlastnenia majetkovej účasti iný ako podľa odsekov 1 až 3, úrad v spolupráci s Národnou bankou Slovenska a  príslušnými orgánmi dohľadu iných členských štátov, zodpovednými za dohľad nad regulovanými osobami tvoriacimi finančný konglomerát určí, či a v akom rozsahu sa bude vykonávať doplňujúci dohľad nad regulovanými osobami  tak, ako keby predstavovali finančný konglomerát, ktorý by mal podliehať doplňujúcemu dohľadu. Aby sa mohol vykonávať takýto dohľad, aspoň jedna z právnických osôb podľa prvej vety musí byť poisťovňou alebo zaisťovňou  a musia byť splnené podmienky ustanovené v § 48b písm. a) body 1c. a 1d.,  ak je to potrebné z hľadiska plnenia cieľov doplňujúceho dohľadu.</w:t>
            </w:r>
            <w:r>
              <w:rPr>
                <w:rFonts w:ascii="Times New Roman" w:hAnsi="Times New Roman" w:cs="Times New Roman"/>
                <w:lang w:val="sk-SK"/>
              </w:rPr>
              <w:t xml:space="preserve">  </w:t>
            </w:r>
          </w:p>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Ú</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109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6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7"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Čl. 19</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spacing w:after="0"/>
              <w:rPr>
                <w:rFonts w:ascii="Times New Roman" w:hAnsi="Times New Roman" w:cs="Times New Roman"/>
                <w:b/>
                <w:sz w:val="18"/>
                <w:szCs w:val="18"/>
                <w:lang w:val="sk-SK"/>
              </w:rPr>
            </w:pPr>
            <w:r>
              <w:rPr>
                <w:rFonts w:ascii="Times New Roman" w:hAnsi="Times New Roman" w:cs="Times New Roman"/>
                <w:b/>
                <w:sz w:val="18"/>
                <w:szCs w:val="18"/>
                <w:lang w:val="sk-SK"/>
              </w:rPr>
              <w:t>Spolupráca s príslušnými orgánm</w:t>
            </w:r>
            <w:r>
              <w:rPr>
                <w:rFonts w:ascii="Times New Roman" w:hAnsi="Times New Roman" w:cs="Times New Roman"/>
                <w:b/>
                <w:sz w:val="18"/>
                <w:szCs w:val="18"/>
                <w:lang w:val="sk-SK"/>
              </w:rPr>
              <w:t>i tretích štátov</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1. Článok 25 ods. 1 a 2 smernice 2000/12/ES a článok 10a smernice 98/78/ES platia, s potrebnými zmenami, na negociovanie dohôd s jedným alebo viacerými tretími štátmi, týkajúcich sa spôsobu vykonávania doplňujúceho dohľadu nad regulovanými subjektmi vo finančnom konglomeráte.</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2.Komisia, bankový poradný výbor, výbor pre poistenie a výbor pre finančné konglomeráty preskúmajú výsledok negociácií ustanovených v odseku 1 a výslednú situáciu.</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3"/>
              <w:rPr>
                <w:rFonts w:ascii="Times New Roman" w:hAnsi="Times New Roman" w:cs="Times New Roman"/>
                <w:sz w:val="18"/>
                <w:szCs w:val="18"/>
                <w:lang w:val="sk-SK"/>
              </w:rPr>
            </w:pPr>
            <w:r>
              <w:rPr>
                <w:rFonts w:ascii="Times New Roman" w:hAnsi="Times New Roman" w:cs="Times New Roman"/>
                <w:sz w:val="18"/>
                <w:szCs w:val="18"/>
                <w:lang w:val="sk-SK"/>
              </w:rPr>
              <w:t>N</w:t>
            </w:r>
          </w:p>
          <w:p>
            <w:pPr>
              <w:pStyle w:val="BodyText3"/>
              <w:rPr>
                <w:rFonts w:ascii="Times New Roman" w:hAnsi="Times New Roman" w:cs="Times New Roman"/>
                <w:sz w:val="18"/>
                <w:szCs w:val="18"/>
                <w:lang w:val="sk-SK"/>
              </w:rPr>
            </w:pPr>
          </w:p>
          <w:p>
            <w:pPr>
              <w:pStyle w:val="BodyText3"/>
              <w:rPr>
                <w:rFonts w:ascii="Times New Roman" w:hAnsi="Times New Roman" w:cs="Times New Roman"/>
                <w:sz w:val="18"/>
                <w:szCs w:val="18"/>
                <w:lang w:val="sk-SK"/>
              </w:rPr>
            </w:pPr>
          </w:p>
          <w:p>
            <w:pPr>
              <w:pStyle w:val="BodyText3"/>
              <w:rPr>
                <w:rFonts w:ascii="Times New Roman" w:hAnsi="Times New Roman" w:cs="Times New Roman"/>
                <w:sz w:val="18"/>
                <w:szCs w:val="18"/>
                <w:lang w:val="sk-SK"/>
              </w:rPr>
            </w:pPr>
          </w:p>
          <w:p>
            <w:pPr>
              <w:pStyle w:val="BodyText3"/>
              <w:rPr>
                <w:rFonts w:ascii="Times New Roman" w:hAnsi="Times New Roman" w:cs="Times New Roman"/>
                <w:sz w:val="18"/>
                <w:szCs w:val="18"/>
                <w:lang w:val="sk-SK"/>
              </w:rPr>
            </w:pPr>
          </w:p>
          <w:p>
            <w:pPr>
              <w:pStyle w:val="BodyText3"/>
              <w:rPr>
                <w:rFonts w:ascii="Times New Roman" w:hAnsi="Times New Roman" w:cs="Times New Roman"/>
                <w:sz w:val="18"/>
                <w:szCs w:val="18"/>
                <w:lang w:val="sk-SK"/>
              </w:rPr>
            </w:pPr>
          </w:p>
          <w:p>
            <w:pPr>
              <w:pStyle w:val="BodyText3"/>
              <w:rPr>
                <w:rFonts w:ascii="Times New Roman" w:hAnsi="Times New Roman" w:cs="Times New Roman"/>
                <w:sz w:val="18"/>
                <w:szCs w:val="18"/>
                <w:lang w:val="sk-SK"/>
              </w:rPr>
            </w:pPr>
            <w:r>
              <w:rPr>
                <w:rFonts w:ascii="Times New Roman" w:hAnsi="Times New Roman" w:cs="Times New Roman"/>
                <w:sz w:val="18"/>
                <w:szCs w:val="18"/>
                <w:lang w:val="sk-SK"/>
              </w:rPr>
              <w:t>n.a.</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X/2004 Z.z.</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48l</w:t>
            </w:r>
          </w:p>
          <w:p>
            <w:pPr>
              <w:pStyle w:val="TABUKA-textsmernice"/>
              <w:rPr>
                <w:rFonts w:ascii="Times New Roman" w:hAnsi="Times New Roman" w:cs="Times New Roman"/>
                <w:sz w:val="18"/>
                <w:szCs w:val="18"/>
              </w:rPr>
            </w:pPr>
            <w:r>
              <w:rPr>
                <w:rFonts w:ascii="Times New Roman" w:hAnsi="Times New Roman" w:cs="Times New Roman"/>
                <w:sz w:val="18"/>
                <w:szCs w:val="18"/>
              </w:rPr>
              <w:t>ods. 7</w:t>
            </w:r>
          </w:p>
        </w:tc>
        <w:tc>
          <w:tcPr>
            <w:tcW w:w="52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BodyText2"/>
              <w:spacing w:after="0" w:line="240" w:lineRule="auto"/>
              <w:rPr>
                <w:rFonts w:ascii="Times New Roman" w:hAnsi="Times New Roman" w:cs="Times New Roman"/>
                <w:sz w:val="18"/>
                <w:szCs w:val="18"/>
                <w:lang w:val="sk-SK"/>
              </w:rPr>
            </w:pPr>
            <w:r>
              <w:rPr>
                <w:rFonts w:ascii="Times New Roman" w:hAnsi="Times New Roman" w:cs="Times New Roman"/>
                <w:sz w:val="18"/>
                <w:szCs w:val="18"/>
                <w:lang w:val="sk-SK"/>
              </w:rPr>
              <w:t xml:space="preserve">(7) </w:t>
            </w:r>
            <w:r>
              <w:rPr>
                <w:rFonts w:ascii="Times New Roman" w:hAnsi="Times New Roman" w:cs="Times New Roman"/>
                <w:sz w:val="18"/>
                <w:lang w:val="sk-SK"/>
              </w:rPr>
              <w:t>Ustanovenia odsekov 1 až 6 sa vzťahujú aj na spoluprácu úradu s orgánmi dohľadu štátov, s ktorými Európska únia podpísala dohodu o spolupráci pri výkone doplňujúceho dohľadu.</w:t>
            </w:r>
          </w:p>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Ú</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109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6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7"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Čl. 20</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spacing w:after="0"/>
              <w:rPr>
                <w:rFonts w:ascii="Times New Roman" w:hAnsi="Times New Roman" w:cs="Times New Roman"/>
                <w:b/>
                <w:sz w:val="18"/>
                <w:szCs w:val="18"/>
                <w:lang w:val="sk-SK"/>
              </w:rPr>
            </w:pPr>
            <w:r>
              <w:rPr>
                <w:rFonts w:ascii="Times New Roman" w:hAnsi="Times New Roman" w:cs="Times New Roman"/>
                <w:b/>
                <w:sz w:val="18"/>
                <w:szCs w:val="18"/>
                <w:lang w:val="sk-SK"/>
              </w:rPr>
              <w:t>Právomoci pridelené Komisii</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1. Komisia prijme v súlade s postupom ustanoveným v článku 21 ods. 2 potrebné technické úpravy tejto smernice v týchto oblastiach:</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(a)  presnejšia formulácia definícií ustanovených v článku 2 na zohľadnenie vývoja na finančných trhoch pri uplatňovaní tejto smernice;</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(b)   presnejšia formulácia definícií ustanovených v článku 2 na zabezpečenie jednotného uplatňovania tejto smernice v Spoločenstve;</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(c)  zjednotenie terminológie a formulácie definícií v tejto smernici v súlade s následnými legislatívnymi opatreniami Spoločenstva o regulovaných subjektoch a súvisiacich záležitostiach.</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(d)  presnejšia definícia metód výpočtu ustanovených v prílohe 1 na zohľadnenie vývoja na finančných trhoch a metód obozretnosti podnikania;</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(e)  koordinácia ustanovení prijatých podľa článkov 7 a 8 a prílohy II s cieľom podporiť jednotné uplatňovanie v Spoločenstve.</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2.Komisia informuje verejnosť o každom návrhu predloženom na základe tohto článku a konzultuje so zainteresovanými stranami pred predložením návrhov opatrení výboru pre finančné konglomeráty, ktorý sa ustanovuje v článku 21.</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3"/>
              <w:rPr>
                <w:rFonts w:ascii="Times New Roman" w:hAnsi="Times New Roman" w:cs="Times New Roman"/>
                <w:sz w:val="18"/>
                <w:szCs w:val="18"/>
                <w:lang w:val="sk-SK"/>
              </w:rPr>
            </w:pPr>
            <w:r>
              <w:rPr>
                <w:rFonts w:ascii="Times New Roman" w:hAnsi="Times New Roman" w:cs="Times New Roman"/>
                <w:sz w:val="18"/>
                <w:szCs w:val="18"/>
                <w:lang w:val="sk-SK"/>
              </w:rPr>
              <w:t>n.a.</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52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109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6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7"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Čl. 21</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spacing w:after="0"/>
              <w:rPr>
                <w:rFonts w:ascii="Times New Roman" w:hAnsi="Times New Roman" w:cs="Times New Roman"/>
                <w:b/>
                <w:sz w:val="18"/>
                <w:szCs w:val="18"/>
                <w:lang w:val="sk-SK"/>
              </w:rPr>
            </w:pPr>
            <w:r>
              <w:rPr>
                <w:rFonts w:ascii="Times New Roman" w:hAnsi="Times New Roman" w:cs="Times New Roman"/>
                <w:b/>
                <w:sz w:val="18"/>
                <w:szCs w:val="18"/>
                <w:lang w:val="sk-SK"/>
              </w:rPr>
              <w:t>Výbor</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1. Komisii pomáha výbor pre finančné konglomeráty (ďalej „výbor“)</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2. Ak sa robí odkaz na tento odsek platia články 5 a 7 rozhodnutia 1999/468/ES, so zreteľom na ustanovenia jeho článku 8.</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Obdobie ustanovené v č</w:t>
            </w:r>
            <w:r>
              <w:rPr>
                <w:rFonts w:ascii="Times New Roman" w:hAnsi="Times New Roman" w:cs="Times New Roman"/>
                <w:sz w:val="18"/>
                <w:szCs w:val="18"/>
                <w:lang w:val="sk-SK"/>
              </w:rPr>
              <w:t>lánku 5 ods. 6 rozhodnutia 1999/468/ES predstavuje obdobie troch mesiacov.</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3.Výbor prijme svoje procedurálne pravidlá.</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4. Po uplynutí štvorročného obdobia od nadobudnutia platnosti tejto smernice sa zastaví uplatňovanie jej ustanovením, ktoré vyžadujú prijatie technických predpisov a rozhodnutí ustanovených v odseku 2, bez dotknutia už prijatých implementačných opatrení. Európsky parlament a Rada môžu na návrh Komisie predĺžiť príslušné ustanovenia v súlade s postupom ustanoveným v článku 251 zmluvy a na tento účel ich predĺžia pred uplynutím obdobia ustanoveného vyššie.</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5.Výbor môže vydať všeobecné usmernenie k tomu, či mechanizmy doplňujúceho dohľadu príslušných orgánov tretích štátov sú schopné zabezpečiť ciele doplňujúceho dohľadu definované v tejto smernici vo vzťahu k regulovaným subjektom vo finančnom konglomeráte, ktorého vrchol má svoje sídlo mimo Spoločenstva. Výbor priebežne reviduje každé takéto usmernenie a berie do úvahy  všetky zmeny doplňujúceho dohľadu, ktorý vykonávajú tieto príslušné orgány</w:t>
            </w:r>
            <w:r>
              <w:rPr>
                <w:rFonts w:ascii="Times New Roman" w:hAnsi="Times New Roman" w:cs="Times New Roman"/>
                <w:sz w:val="18"/>
                <w:szCs w:val="18"/>
                <w:lang w:val="sk-SK"/>
              </w:rPr>
              <w:t>.</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6.Členské štáty sú povinné informovať výbor o princípoch, ktoré uplatňujú vo vzťahu k dohľadu nad vnútroskupinovými transakciami a koncentráciou rizík</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3"/>
              <w:rPr>
                <w:rFonts w:ascii="Times New Roman" w:hAnsi="Times New Roman" w:cs="Times New Roman"/>
                <w:sz w:val="18"/>
                <w:szCs w:val="18"/>
                <w:lang w:val="sk-SK"/>
              </w:rPr>
            </w:pPr>
          </w:p>
          <w:p>
            <w:pPr>
              <w:pStyle w:val="BodyText3"/>
              <w:rPr>
                <w:rFonts w:ascii="Times New Roman" w:hAnsi="Times New Roman" w:cs="Times New Roman"/>
                <w:sz w:val="18"/>
                <w:szCs w:val="18"/>
                <w:lang w:val="sk-SK"/>
              </w:rPr>
            </w:pPr>
            <w:r>
              <w:rPr>
                <w:rFonts w:ascii="Times New Roman" w:hAnsi="Times New Roman" w:cs="Times New Roman"/>
                <w:sz w:val="18"/>
                <w:szCs w:val="18"/>
                <w:lang w:val="sk-SK"/>
              </w:rPr>
              <w:t>n.a.</w:t>
            </w:r>
          </w:p>
          <w:p>
            <w:pPr>
              <w:pStyle w:val="BodyText3"/>
              <w:rPr>
                <w:rFonts w:ascii="Times New Roman" w:hAnsi="Times New Roman" w:cs="Times New Roman"/>
                <w:sz w:val="18"/>
                <w:szCs w:val="18"/>
                <w:lang w:val="sk-SK"/>
              </w:rPr>
            </w:pPr>
          </w:p>
          <w:p>
            <w:pPr>
              <w:pStyle w:val="BodyText3"/>
              <w:rPr>
                <w:rFonts w:ascii="Times New Roman" w:hAnsi="Times New Roman" w:cs="Times New Roman"/>
                <w:sz w:val="18"/>
                <w:szCs w:val="18"/>
                <w:lang w:val="sk-SK"/>
              </w:rPr>
            </w:pPr>
          </w:p>
          <w:p>
            <w:pPr>
              <w:pStyle w:val="BodyText3"/>
              <w:rPr>
                <w:rFonts w:ascii="Times New Roman" w:hAnsi="Times New Roman" w:cs="Times New Roman"/>
                <w:sz w:val="18"/>
                <w:szCs w:val="18"/>
                <w:lang w:val="sk-SK"/>
              </w:rPr>
            </w:pPr>
          </w:p>
          <w:p>
            <w:pPr>
              <w:pStyle w:val="BodyText3"/>
              <w:rPr>
                <w:rFonts w:ascii="Times New Roman" w:hAnsi="Times New Roman" w:cs="Times New Roman"/>
                <w:sz w:val="18"/>
                <w:szCs w:val="18"/>
                <w:lang w:val="sk-SK"/>
              </w:rPr>
            </w:pPr>
          </w:p>
          <w:p>
            <w:pPr>
              <w:pStyle w:val="BodyText3"/>
              <w:rPr>
                <w:rFonts w:ascii="Times New Roman" w:hAnsi="Times New Roman" w:cs="Times New Roman"/>
                <w:sz w:val="18"/>
                <w:szCs w:val="18"/>
                <w:lang w:val="sk-SK"/>
              </w:rPr>
            </w:pPr>
          </w:p>
          <w:p>
            <w:pPr>
              <w:pStyle w:val="BodyText3"/>
              <w:rPr>
                <w:rFonts w:ascii="Times New Roman" w:hAnsi="Times New Roman" w:cs="Times New Roman"/>
                <w:sz w:val="18"/>
                <w:szCs w:val="18"/>
                <w:lang w:val="sk-SK"/>
              </w:rPr>
            </w:pPr>
          </w:p>
          <w:p>
            <w:pPr>
              <w:pStyle w:val="BodyText3"/>
              <w:rPr>
                <w:rFonts w:ascii="Times New Roman" w:hAnsi="Times New Roman" w:cs="Times New Roman"/>
                <w:sz w:val="18"/>
                <w:szCs w:val="18"/>
                <w:lang w:val="sk-SK"/>
              </w:rPr>
            </w:pPr>
          </w:p>
          <w:p>
            <w:pPr>
              <w:pStyle w:val="BodyText3"/>
              <w:rPr>
                <w:rFonts w:ascii="Times New Roman" w:hAnsi="Times New Roman" w:cs="Times New Roman"/>
                <w:sz w:val="18"/>
                <w:szCs w:val="18"/>
                <w:lang w:val="sk-SK"/>
              </w:rPr>
            </w:pPr>
          </w:p>
          <w:p>
            <w:pPr>
              <w:pStyle w:val="BodyText3"/>
              <w:rPr>
                <w:rFonts w:ascii="Times New Roman" w:hAnsi="Times New Roman" w:cs="Times New Roman"/>
                <w:sz w:val="18"/>
                <w:szCs w:val="18"/>
                <w:lang w:val="sk-SK"/>
              </w:rPr>
            </w:pPr>
          </w:p>
          <w:p>
            <w:pPr>
              <w:pStyle w:val="BodyText3"/>
              <w:rPr>
                <w:rFonts w:ascii="Times New Roman" w:hAnsi="Times New Roman" w:cs="Times New Roman"/>
                <w:sz w:val="18"/>
                <w:szCs w:val="18"/>
                <w:lang w:val="sk-SK"/>
              </w:rPr>
            </w:pPr>
          </w:p>
          <w:p>
            <w:pPr>
              <w:pStyle w:val="BodyText3"/>
              <w:rPr>
                <w:rFonts w:ascii="Times New Roman" w:hAnsi="Times New Roman" w:cs="Times New Roman"/>
                <w:sz w:val="18"/>
                <w:szCs w:val="18"/>
                <w:lang w:val="sk-SK"/>
              </w:rPr>
            </w:pPr>
          </w:p>
          <w:p>
            <w:pPr>
              <w:pStyle w:val="BodyText3"/>
              <w:rPr>
                <w:rFonts w:ascii="Times New Roman" w:hAnsi="Times New Roman" w:cs="Times New Roman"/>
                <w:sz w:val="18"/>
                <w:szCs w:val="18"/>
                <w:lang w:val="sk-SK"/>
              </w:rPr>
            </w:pPr>
          </w:p>
          <w:p>
            <w:pPr>
              <w:pStyle w:val="BodyText3"/>
              <w:rPr>
                <w:rFonts w:ascii="Times New Roman" w:hAnsi="Times New Roman" w:cs="Times New Roman"/>
                <w:sz w:val="18"/>
                <w:szCs w:val="18"/>
                <w:lang w:val="sk-SK"/>
              </w:rPr>
            </w:pPr>
          </w:p>
          <w:p>
            <w:pPr>
              <w:pStyle w:val="BodyText3"/>
              <w:rPr>
                <w:rFonts w:ascii="Times New Roman" w:hAnsi="Times New Roman" w:cs="Times New Roman"/>
                <w:sz w:val="18"/>
                <w:szCs w:val="18"/>
                <w:lang w:val="sk-SK"/>
              </w:rPr>
            </w:pPr>
          </w:p>
          <w:p>
            <w:pPr>
              <w:pStyle w:val="BodyText3"/>
              <w:rPr>
                <w:rFonts w:ascii="Times New Roman" w:hAnsi="Times New Roman" w:cs="Times New Roman"/>
                <w:sz w:val="18"/>
                <w:szCs w:val="18"/>
                <w:lang w:val="sk-SK"/>
              </w:rPr>
            </w:pPr>
          </w:p>
          <w:p>
            <w:pPr>
              <w:pStyle w:val="BodyText3"/>
              <w:rPr>
                <w:rFonts w:ascii="Times New Roman" w:hAnsi="Times New Roman" w:cs="Times New Roman"/>
                <w:sz w:val="18"/>
                <w:szCs w:val="18"/>
                <w:lang w:val="sk-SK"/>
              </w:rPr>
            </w:pPr>
          </w:p>
          <w:p>
            <w:pPr>
              <w:pStyle w:val="BodyText3"/>
              <w:rPr>
                <w:rFonts w:ascii="Times New Roman" w:hAnsi="Times New Roman" w:cs="Times New Roman"/>
                <w:sz w:val="18"/>
                <w:szCs w:val="18"/>
                <w:lang w:val="sk-SK"/>
              </w:rPr>
            </w:pPr>
          </w:p>
          <w:p>
            <w:pPr>
              <w:pStyle w:val="BodyText3"/>
              <w:rPr>
                <w:rFonts w:ascii="Times New Roman" w:hAnsi="Times New Roman" w:cs="Times New Roman"/>
                <w:sz w:val="18"/>
                <w:szCs w:val="18"/>
                <w:lang w:val="sk-SK"/>
              </w:rPr>
            </w:pPr>
          </w:p>
          <w:p>
            <w:pPr>
              <w:pStyle w:val="BodyText3"/>
              <w:rPr>
                <w:rFonts w:ascii="Times New Roman" w:hAnsi="Times New Roman" w:cs="Times New Roman"/>
                <w:sz w:val="18"/>
                <w:szCs w:val="18"/>
                <w:lang w:val="sk-SK"/>
              </w:rPr>
            </w:pPr>
          </w:p>
          <w:p>
            <w:pPr>
              <w:pStyle w:val="BodyText3"/>
              <w:rPr>
                <w:rFonts w:ascii="Times New Roman" w:hAnsi="Times New Roman" w:cs="Times New Roman"/>
                <w:sz w:val="18"/>
                <w:szCs w:val="18"/>
                <w:lang w:val="sk-SK"/>
              </w:rPr>
            </w:pPr>
          </w:p>
          <w:p>
            <w:pPr>
              <w:pStyle w:val="BodyText3"/>
              <w:rPr>
                <w:rFonts w:ascii="Times New Roman" w:hAnsi="Times New Roman" w:cs="Times New Roman"/>
                <w:sz w:val="18"/>
                <w:szCs w:val="18"/>
                <w:lang w:val="sk-SK"/>
              </w:rPr>
            </w:pPr>
            <w:r>
              <w:rPr>
                <w:rFonts w:ascii="Times New Roman" w:hAnsi="Times New Roman" w:cs="Times New Roman"/>
                <w:sz w:val="18"/>
                <w:szCs w:val="18"/>
                <w:lang w:val="sk-SK"/>
              </w:rPr>
              <w:t>N</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X/2004 Z.z.</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48d</w:t>
            </w:r>
          </w:p>
          <w:p>
            <w:pPr>
              <w:pStyle w:val="TABUKA-textsmernice"/>
              <w:rPr>
                <w:rFonts w:ascii="Times New Roman" w:hAnsi="Times New Roman" w:cs="Times New Roman"/>
                <w:sz w:val="18"/>
                <w:szCs w:val="18"/>
              </w:rPr>
            </w:pPr>
            <w:r>
              <w:rPr>
                <w:rFonts w:ascii="Times New Roman" w:hAnsi="Times New Roman" w:cs="Times New Roman"/>
                <w:sz w:val="18"/>
                <w:szCs w:val="18"/>
              </w:rPr>
              <w:t>ods. 4</w:t>
            </w:r>
          </w:p>
        </w:tc>
        <w:tc>
          <w:tcPr>
            <w:tcW w:w="52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BodyText2"/>
              <w:spacing w:after="0" w:line="240" w:lineRule="auto"/>
              <w:rPr>
                <w:rFonts w:ascii="Times New Roman" w:hAnsi="Times New Roman" w:cs="Times New Roman"/>
                <w:bCs/>
                <w:sz w:val="18"/>
                <w:szCs w:val="18"/>
                <w:lang w:val="sk-SK"/>
              </w:rPr>
            </w:pPr>
            <w:r>
              <w:rPr>
                <w:rFonts w:ascii="Times New Roman" w:hAnsi="Times New Roman" w:cs="Times New Roman"/>
                <w:bCs/>
                <w:sz w:val="18"/>
                <w:szCs w:val="18"/>
                <w:lang w:val="sk-SK"/>
              </w:rPr>
              <w:t>(4)</w:t>
            </w:r>
            <w:r>
              <w:rPr>
                <w:rFonts w:ascii="Times New Roman" w:hAnsi="Times New Roman" w:cs="Times New Roman"/>
                <w:bCs/>
                <w:lang w:val="sk-SK"/>
              </w:rPr>
              <w:t xml:space="preserve"> </w:t>
            </w:r>
            <w:r>
              <w:rPr>
                <w:rFonts w:ascii="Times New Roman" w:hAnsi="Times New Roman" w:cs="Times New Roman"/>
                <w:bCs/>
                <w:sz w:val="18"/>
                <w:lang w:val="sk-SK"/>
              </w:rPr>
              <w:t>Úrad oznámi Výboru pre finančné konglomeráty pri komisii princípy, ktoré uplatňuje pri doplňujúcom dohľade nad koncentráciou rizík podľa § 48h a nad vnútroskupinovými obchodmi podľa § 48i.</w:t>
            </w:r>
          </w:p>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N</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Ú</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109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6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7"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Čl. 22</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spacing w:after="0"/>
              <w:rPr>
                <w:rFonts w:ascii="Times New Roman" w:hAnsi="Times New Roman" w:cs="Times New Roman"/>
                <w:b/>
                <w:sz w:val="18"/>
                <w:szCs w:val="18"/>
                <w:lang w:val="sk-SK"/>
              </w:rPr>
            </w:pPr>
            <w:r>
              <w:rPr>
                <w:rFonts w:ascii="Times New Roman" w:hAnsi="Times New Roman" w:cs="Times New Roman"/>
                <w:b/>
                <w:sz w:val="18"/>
                <w:szCs w:val="18"/>
                <w:lang w:val="sk-SK"/>
              </w:rPr>
              <w:t xml:space="preserve">Zmeny </w:t>
            </w:r>
            <w:r>
              <w:rPr>
                <w:rFonts w:ascii="Times New Roman" w:hAnsi="Times New Roman" w:cs="Times New Roman"/>
                <w:b/>
                <w:sz w:val="18"/>
                <w:szCs w:val="18"/>
                <w:lang w:val="sk-SK"/>
              </w:rPr>
              <w:t>a doplnky k smernici 73/239/EHS</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Smernica 73/239/EHS sa mení a dopĺňa takto:</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Dopĺňa sa tento článok:</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„Článok 12a</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1.S príslušnými orgánmi druhého zainteresovaného členského štátu treba konzultovať pred udelením oprávnenia poisťovni, ktorá je:</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(a) dcérskou spoločnosťou poisťovne oprávnenej v inom členskom štáte,</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(b) dcérskou spoločnosťou materskej spoločnosti poisťovne oprávnenej v inom členskom štáte alebo</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(c) kontrolovaná tou istou osobou, fyzickou alebo právnickou, ktorá kontroluje poisťovňu oprávnenú v inom členskom štáte.</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2. S príslušným orgánom zainteresovaného členského štátu zodpovedným za dohľad nad úverovými ústavmi alebo investičnými firmami treba konzultovať pred udelením oprávnenia poisťovni, ktorá je:</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(a) dcérskou spoločnosťou úverového ústavu alebo investičnej firmy oprávnenej v Spoločenstve alebo</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(b)  dcérskou spoločnosťou materskej spoločnosti úverového ústavu alebo investičnej firmy oprávnenej v Spoločenstve alebo</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(c) kontrolovaná tou istou osobou, fyzickou alebo právnickou osobou, ktorá kontroluje úverový ústav alebo investičnú firmu oprávnenú v Spoločenstve.</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3. Príslušné kompetentné orgány ustanovené v odsekoch 1 a 2 musia navzájom konzultovať najmä pri hodnotení vhodnosti akcionárov a dobrej povesti a skúseností riaditeľov angažovaných v manažmente iného subjektu tej istej skupiny. Musia sa vzájomne informovať o všetkých informáciách týkajúcich sa vhodnosti akcionárov a dobrej povesti a skúseností riaditeľov, ktoré sú dôležité pre ostatné zainteresované príslušné orgány pri udeľovaní oprávnenia ako aj pri stálom hodnotení dodržiavania podmienok činnosti.“</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2.   K článku 16 ods. 2 sa pridávajú tieto pododseky:</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„Dostupná marža platobnej schopnosti sa zníži aj o tieto položky:</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(a) majetkové účasti, ktoré poisťovňa vlastní v</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  poisťovniach v zmysle článku 6 tejto smernice, článku 6 prvej smernice 79/267/EHS z 5. marca 1979 o koordinácii zákonov, nariadení a administratívnych opatrení týkajúcich sa zriaďovania a činnosti v oblasti priameho životného poistenia, alebo článku 1(b) smernice 98/78/ES Európskeho parlamentu a Rady </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  zaisťovniach v zmysle článku 1 písm. c. smernice 98/78/ES</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 poisťovacích holdingových spoločnostiach v zmysle článku </w:t>
            </w:r>
            <w:r>
              <w:rPr>
                <w:rFonts w:ascii="Times New Roman" w:hAnsi="Times New Roman" w:cs="Times New Roman"/>
                <w:sz w:val="18"/>
                <w:szCs w:val="18"/>
                <w:lang w:val="sk-SK"/>
              </w:rPr>
              <w:t>1 písm. i smernice 98/78/ES,</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 úverových ústavoch a finančných ústavoch v zmysle článku 1 ods. 1 a  5 smernice 2000/12/ES Európskeho parlamentu a Rady ,</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 investičných firmách a finančných ústavoch v zmysle článku 1 ods. 2 smernice 93/22/EHS  a článku 2 ods. 4 a 7  smernice 93/6/EHS,</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(b)   každú z nasledujúcich položiek, ktorú poisťovňa vlastní vo vzťahu k subjektom definovaným v bode (a), v ktorých vlastní majetkovú účasť:</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  nástroje ustanovené v odseku 3,</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nástroje ustanovené v článku 18 ods. 3 smernice 79/267/EHS</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podriadené pohľadávky a nástroje ustanovené v článku 35 a článku 36 ods. 3 smernice 2000/12/ES.</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Ak akcie v inom úverovom ústave, investičnej firme, finančnom ústave, poisťovni, zaisťovni alebo poisťovacej holdingovej spoločnosti sa držia dočasne na účely poskytovania finančnej pomoci určenej na reorganizáciu a zachránenie tohto subjektu, príslušný orgán môže upustiť od ustanovení o znížení zakotvených v bodoch (a) a (b) štvrtého pododseku.</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Ako alternatívu k odpočítaniu položiek ustanovených v bodoch (a) a (b) štvrtého pododseku, ktoré poisťovňa drží v úverových ústavoch, investičných firmách a finančných ústavoch, členské štáty môžu povoliť, aby ich poisťovne uplatňovali s náležitými zmenami metódy 1, 2 alebo 3 prílohy I smernice 2002/87/ES Európskeho parlamentu a Rady zo 16. decembra 2002 a doplňujúcom dohľade nad úverovými ústavmi, poisťovňami a investičnými firmami vo finančnom konglomeráte. Metóda 1 (účtovná konsolidácia) sa uplatňuje, len ak príslušný orgán si je istý úrovňou integrovaného riadenia a vnútornej kontroly čo sa týka subjektov, ktoré budú zahrnuté do predmetu konsolidácie. Zvolená metóda sa musí uplatňovať dôsledne v čase.</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Členské štáty môžu ustanoviť, že pri výpočte marže platobnej schopnosti, ktorá sa ustanovuje v tejto smernici, poisťovne, na ktoré sa vzťahuje doplňujúci dohľad v súlade so smernicou 98/78/ES alebo doplňujúci dohľad v súlade so smernicou 2002/87/ES, nemusia odpočítavať položky ustanovené v bodoch (a) a (b) štvrtého pododseku, ktoré sú vlastnené v úverových ústavoch, investičných firmách, finančných ústavoch, poisťovniach, zaisťovniach alebo poisťovacích holdingových spoločnostiach, ktoré sú zahrnuté v doplňujúcom dohľade.</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Na účely odpočítania majetkových účastí ustanovených v tomto odseku majetková účasť znamená účasť v zmysle článku 1 písm. f smernice 98/78/ES.</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3"/>
              <w:rPr>
                <w:rFonts w:ascii="Times New Roman" w:hAnsi="Times New Roman" w:cs="Times New Roman"/>
                <w:sz w:val="18"/>
                <w:szCs w:val="18"/>
                <w:lang w:val="sk-SK"/>
              </w:rPr>
            </w:pPr>
          </w:p>
          <w:p>
            <w:pPr>
              <w:pStyle w:val="BodyText3"/>
              <w:rPr>
                <w:rFonts w:ascii="Times New Roman" w:hAnsi="Times New Roman" w:cs="Times New Roman"/>
                <w:sz w:val="18"/>
                <w:szCs w:val="18"/>
                <w:lang w:val="sk-SK"/>
              </w:rPr>
            </w:pPr>
          </w:p>
          <w:p>
            <w:pPr>
              <w:pStyle w:val="BodyText3"/>
              <w:rPr>
                <w:rFonts w:ascii="Times New Roman" w:hAnsi="Times New Roman" w:cs="Times New Roman"/>
                <w:sz w:val="18"/>
                <w:szCs w:val="18"/>
                <w:lang w:val="sk-SK"/>
              </w:rPr>
            </w:pPr>
          </w:p>
          <w:p>
            <w:pPr>
              <w:pStyle w:val="BodyText3"/>
              <w:rPr>
                <w:rFonts w:ascii="Times New Roman" w:hAnsi="Times New Roman" w:cs="Times New Roman"/>
                <w:sz w:val="18"/>
                <w:szCs w:val="18"/>
                <w:lang w:val="sk-SK"/>
              </w:rPr>
            </w:pPr>
          </w:p>
          <w:p>
            <w:pPr>
              <w:pStyle w:val="BodyText3"/>
              <w:rPr>
                <w:rFonts w:ascii="Times New Roman" w:hAnsi="Times New Roman" w:cs="Times New Roman"/>
                <w:sz w:val="18"/>
                <w:szCs w:val="18"/>
                <w:lang w:val="de-DE"/>
              </w:rPr>
            </w:pPr>
            <w:r>
              <w:rPr>
                <w:rFonts w:ascii="Times New Roman" w:hAnsi="Times New Roman" w:cs="Times New Roman"/>
                <w:sz w:val="18"/>
                <w:szCs w:val="18"/>
                <w:lang w:val="de-DE"/>
              </w:rPr>
              <w:t>N</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X/2004 Z.z.</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8</w:t>
            </w:r>
          </w:p>
          <w:p>
            <w:pPr>
              <w:pStyle w:val="TABUKA-textsmernice"/>
              <w:rPr>
                <w:rFonts w:ascii="Times New Roman" w:hAnsi="Times New Roman" w:cs="Times New Roman"/>
                <w:sz w:val="18"/>
                <w:szCs w:val="18"/>
              </w:rPr>
            </w:pPr>
            <w:r>
              <w:rPr>
                <w:rFonts w:ascii="Times New Roman" w:hAnsi="Times New Roman" w:cs="Times New Roman"/>
                <w:sz w:val="18"/>
                <w:szCs w:val="18"/>
              </w:rPr>
              <w:t>ods. 1</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pís. a)</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pís. b)</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pís. c)</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ods. 2</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pís. a)</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pís. b)</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pís. c)</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ods. 3</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52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spacing w:after="0"/>
              <w:rPr>
                <w:rFonts w:ascii="Times New Roman" w:hAnsi="Times New Roman" w:cs="Times New Roman"/>
                <w:bCs/>
                <w:sz w:val="18"/>
                <w:szCs w:val="18"/>
              </w:rPr>
            </w:pPr>
          </w:p>
          <w:p>
            <w:pPr>
              <w:spacing w:after="0"/>
              <w:rPr>
                <w:rFonts w:ascii="Times New Roman" w:hAnsi="Times New Roman" w:cs="Times New Roman"/>
                <w:bCs/>
                <w:sz w:val="18"/>
                <w:szCs w:val="18"/>
              </w:rPr>
            </w:pPr>
          </w:p>
          <w:p>
            <w:pPr>
              <w:numPr>
                <w:ilvl w:val="0"/>
                <w:numId w:val="50"/>
              </w:numPr>
              <w:tabs>
                <w:tab w:val="left" w:pos="720"/>
              </w:tabs>
              <w:rPr>
                <w:rFonts w:ascii="Times New Roman" w:hAnsi="Times New Roman" w:cs="Times New Roman"/>
                <w:sz w:val="18"/>
              </w:rPr>
            </w:pPr>
            <w:r>
              <w:rPr>
                <w:rFonts w:ascii="Times New Roman" w:hAnsi="Times New Roman" w:cs="Times New Roman"/>
                <w:sz w:val="18"/>
              </w:rPr>
              <w:t>Úrad je povinný prerokovať s príslušným orgánom dohľadu iného členského štátu  udelenie povolenia podľa § 5, ak sa má toto povolenie udeliť právnickej osobe, ktorá je</w:t>
            </w:r>
          </w:p>
          <w:p>
            <w:pPr>
              <w:numPr>
                <w:ilvl w:val="1"/>
                <w:numId w:val="49"/>
              </w:numPr>
              <w:tabs>
                <w:tab w:val="left" w:pos="781"/>
                <w:tab w:val="clear" w:pos="1320"/>
              </w:tabs>
              <w:ind w:left="497"/>
              <w:rPr>
                <w:rFonts w:ascii="Times New Roman" w:hAnsi="Times New Roman" w:cs="Times New Roman"/>
              </w:rPr>
            </w:pPr>
            <w:r>
              <w:rPr>
                <w:rFonts w:ascii="Times New Roman" w:hAnsi="Times New Roman" w:cs="Times New Roman"/>
                <w:sz w:val="18"/>
              </w:rPr>
              <w:t>dcérskou spoločnosťou poisťovne z iného členského štátu,</w:t>
            </w:r>
          </w:p>
          <w:p>
            <w:pPr>
              <w:rPr>
                <w:rFonts w:ascii="Times New Roman" w:hAnsi="Times New Roman" w:cs="Times New Roman"/>
                <w:sz w:val="18"/>
              </w:rPr>
            </w:pPr>
          </w:p>
          <w:p>
            <w:pPr>
              <w:rPr>
                <w:rFonts w:ascii="Times New Roman" w:hAnsi="Times New Roman" w:cs="Times New Roman"/>
                <w:sz w:val="18"/>
              </w:rPr>
            </w:pPr>
            <w:r>
              <w:rPr>
                <w:rFonts w:ascii="Times New Roman" w:hAnsi="Times New Roman" w:cs="Times New Roman"/>
                <w:sz w:val="18"/>
              </w:rPr>
              <w:t>b) dcérskou spoločnosťou materskej spoločnosti poisťovne z iného členského štátu,</w:t>
            </w:r>
          </w:p>
          <w:p>
            <w:pPr>
              <w:spacing w:after="0"/>
              <w:rPr>
                <w:rFonts w:ascii="Times New Roman" w:hAnsi="Times New Roman" w:cs="Times New Roman"/>
                <w:sz w:val="18"/>
                <w:szCs w:val="18"/>
              </w:rPr>
            </w:pPr>
            <w:r>
              <w:rPr>
                <w:rFonts w:ascii="Times New Roman" w:hAnsi="Times New Roman" w:cs="Times New Roman"/>
                <w:sz w:val="18"/>
              </w:rPr>
              <w:t>c) kontrolovaná tými istými osobami, ktoré kontrolujú poisťovňu z iného členského štátu.</w:t>
            </w:r>
          </w:p>
          <w:p>
            <w:pPr>
              <w:spacing w:after="0"/>
              <w:rPr>
                <w:rFonts w:ascii="Times New Roman" w:hAnsi="Times New Roman" w:cs="Times New Roman"/>
                <w:sz w:val="18"/>
                <w:szCs w:val="18"/>
              </w:rPr>
            </w:pPr>
          </w:p>
          <w:p>
            <w:pPr>
              <w:rPr>
                <w:rFonts w:ascii="Times New Roman" w:hAnsi="Times New Roman" w:cs="Times New Roman"/>
                <w:sz w:val="18"/>
              </w:rPr>
            </w:pPr>
            <w:r>
              <w:rPr>
                <w:rFonts w:ascii="Times New Roman" w:hAnsi="Times New Roman" w:cs="Times New Roman"/>
                <w:sz w:val="18"/>
                <w:szCs w:val="18"/>
              </w:rPr>
              <w:t xml:space="preserve">(2) </w:t>
            </w:r>
            <w:r>
              <w:rPr>
                <w:rFonts w:ascii="Times New Roman" w:hAnsi="Times New Roman" w:cs="Times New Roman"/>
                <w:sz w:val="18"/>
              </w:rPr>
              <w:t xml:space="preserve">Úrad je povinný prerokovať s príslušným orgánom dohľadu iného členského štátu, orgánom bankového dohľadu iného členského štátu alebo orgánom dohľadu nad kapitálovým trhom iného členského štátu udelenie povolenia podľa § 5, ak sa má toto povolenie udeliť právnickej osobe, ktorá je </w:t>
            </w:r>
          </w:p>
          <w:p>
            <w:pPr>
              <w:pStyle w:val="BodyText"/>
              <w:rPr>
                <w:rFonts w:ascii="Times New Roman" w:hAnsi="Times New Roman" w:cs="Times New Roman"/>
                <w:sz w:val="18"/>
              </w:rPr>
            </w:pPr>
            <w:r>
              <w:rPr>
                <w:rFonts w:ascii="Times New Roman" w:hAnsi="Times New Roman" w:cs="Times New Roman"/>
                <w:sz w:val="18"/>
              </w:rPr>
              <w:t>a) dcérskou spoločnosťou banky alebo obchodníka s cennými papiermi so sídlom na území iného čle</w:t>
            </w:r>
            <w:r>
              <w:rPr>
                <w:rFonts w:ascii="Times New Roman" w:hAnsi="Times New Roman" w:cs="Times New Roman"/>
                <w:sz w:val="18"/>
              </w:rPr>
              <w:t>nského štátu,</w:t>
            </w:r>
          </w:p>
          <w:p>
            <w:pPr>
              <w:pStyle w:val="BodyText"/>
              <w:numPr>
                <w:ilvl w:val="0"/>
                <w:numId w:val="49"/>
              </w:numPr>
              <w:tabs>
                <w:tab w:val="left" w:pos="360"/>
              </w:tabs>
              <w:rPr>
                <w:rFonts w:ascii="Times New Roman" w:hAnsi="Times New Roman" w:cs="Times New Roman"/>
                <w:sz w:val="18"/>
              </w:rPr>
            </w:pPr>
            <w:r>
              <w:rPr>
                <w:rFonts w:ascii="Times New Roman" w:hAnsi="Times New Roman" w:cs="Times New Roman"/>
                <w:sz w:val="18"/>
              </w:rPr>
              <w:t>dcérskou spoločnosťou materskej spoločnosti banky alebo obchodníka s cennými papiermi so sídlom na území iného členského štátu,</w:t>
            </w:r>
          </w:p>
          <w:p>
            <w:pPr>
              <w:pStyle w:val="BodyText"/>
              <w:rPr>
                <w:rFonts w:ascii="Times New Roman" w:hAnsi="Times New Roman" w:cs="Times New Roman"/>
                <w:sz w:val="18"/>
              </w:rPr>
            </w:pPr>
          </w:p>
          <w:p>
            <w:pPr>
              <w:pStyle w:val="BodyText"/>
              <w:rPr>
                <w:rFonts w:ascii="Times New Roman" w:hAnsi="Times New Roman" w:cs="Times New Roman"/>
                <w:sz w:val="24"/>
              </w:rPr>
            </w:pPr>
            <w:r>
              <w:rPr>
                <w:rFonts w:ascii="Times New Roman" w:hAnsi="Times New Roman" w:cs="Times New Roman"/>
                <w:sz w:val="18"/>
              </w:rPr>
              <w:t>c) kontrolovaná tými istými fyzickými osobami a právnickými osobami, ktoré kontrolujú banku alebo obchodníka s cennými papiermi so sídlom na území iného členského štátu.</w:t>
            </w:r>
          </w:p>
          <w:p>
            <w:pPr>
              <w:pStyle w:val="BodyText"/>
              <w:rPr>
                <w:rFonts w:ascii="Times New Roman" w:hAnsi="Times New Roman" w:cs="Times New Roman"/>
                <w:sz w:val="18"/>
                <w:szCs w:val="18"/>
              </w:rPr>
            </w:pPr>
          </w:p>
          <w:p>
            <w:pPr>
              <w:pStyle w:val="BodyText"/>
              <w:rPr>
                <w:rFonts w:ascii="Times New Roman" w:hAnsi="Times New Roman" w:cs="Times New Roman"/>
                <w:sz w:val="18"/>
                <w:szCs w:val="18"/>
              </w:rPr>
            </w:pPr>
          </w:p>
          <w:p>
            <w:pPr>
              <w:pStyle w:val="BodyText"/>
              <w:rPr>
                <w:rFonts w:ascii="Times New Roman" w:hAnsi="Times New Roman" w:cs="Times New Roman"/>
                <w:sz w:val="18"/>
                <w:szCs w:val="18"/>
              </w:rPr>
            </w:pPr>
            <w:r>
              <w:rPr>
                <w:rFonts w:ascii="Times New Roman" w:hAnsi="Times New Roman" w:cs="Times New Roman"/>
                <w:sz w:val="18"/>
                <w:szCs w:val="18"/>
              </w:rPr>
              <w:t xml:space="preserve">(3) </w:t>
            </w:r>
            <w:r>
              <w:rPr>
                <w:rFonts w:ascii="Times New Roman" w:hAnsi="Times New Roman" w:cs="Times New Roman"/>
                <w:sz w:val="18"/>
              </w:rPr>
              <w:t>Úrad je povinný prerokovať s orgánmi dohľadu podľa odsekov 1 a 2 najmä vhodnosť akcionárov, vedúcich zamestnancov</w:t>
            </w:r>
            <w:r>
              <w:rPr>
                <w:rFonts w:ascii="Times New Roman" w:hAnsi="Times New Roman" w:cs="Times New Roman"/>
                <w:sz w:val="18"/>
                <w:vertAlign w:val="superscript"/>
              </w:rPr>
              <w:t xml:space="preserve">10)  </w:t>
            </w:r>
            <w:r>
              <w:rPr>
                <w:rFonts w:ascii="Times New Roman" w:hAnsi="Times New Roman" w:cs="Times New Roman"/>
                <w:sz w:val="18"/>
              </w:rPr>
              <w:t>v</w:t>
            </w:r>
            <w:r>
              <w:rPr>
                <w:rFonts w:ascii="Times New Roman" w:hAnsi="Times New Roman" w:cs="Times New Roman"/>
                <w:sz w:val="18"/>
                <w:vertAlign w:val="superscript"/>
              </w:rPr>
              <w:t xml:space="preserve"> </w:t>
            </w:r>
            <w:r>
              <w:rPr>
                <w:rFonts w:ascii="Times New Roman" w:hAnsi="Times New Roman" w:cs="Times New Roman"/>
                <w:sz w:val="18"/>
              </w:rPr>
              <w:t>priamej riadiacej pôsobnosti predstavenstva podliehajúcich dohľadu a vymieňať si s tymito orgánmi všetky informácie dôležité pre udelenie povolenia a pre kontrolu  činnosti osôb podľa odsekov 1 a 2</w:t>
            </w:r>
          </w:p>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Ú</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jc w:val="left"/>
              <w:rPr>
                <w:rFonts w:ascii="Times New Roman" w:hAnsi="Times New Roman" w:cs="Times New Roman"/>
                <w:sz w:val="18"/>
                <w:szCs w:val="18"/>
              </w:rPr>
            </w:pPr>
          </w:p>
        </w:tc>
        <w:tc>
          <w:tcPr>
            <w:tcW w:w="109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Návrh vyhl. č. .../2004 o doplnkovom dozore vo finančných konglomerátoch</w:t>
            </w:r>
          </w:p>
        </w:tc>
        <w:tc>
          <w:tcPr>
            <w:tcW w:w="6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7"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Čl. 23</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spacing w:after="0"/>
              <w:rPr>
                <w:rFonts w:ascii="Times New Roman" w:hAnsi="Times New Roman" w:cs="Times New Roman"/>
                <w:b/>
                <w:sz w:val="18"/>
                <w:szCs w:val="18"/>
                <w:lang w:val="sk-SK"/>
              </w:rPr>
            </w:pPr>
            <w:r>
              <w:rPr>
                <w:rFonts w:ascii="Times New Roman" w:hAnsi="Times New Roman" w:cs="Times New Roman"/>
                <w:b/>
                <w:sz w:val="18"/>
                <w:szCs w:val="18"/>
                <w:lang w:val="sk-SK"/>
              </w:rPr>
              <w:t>Zmeny a  doplnky k smernici 79/267/EHS</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Smernica 79/267/ES sa mení a dopĺňa takto:</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1. Dopĺňa sa tento článok:</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„Článok 12a</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1.   S príslušnými orgánmi druhého zainteresovaného členského štátu treba konzultovať pred udelením oprávnenia poisťovni na životné </w:t>
            </w:r>
            <w:r>
              <w:rPr>
                <w:rFonts w:ascii="Times New Roman" w:hAnsi="Times New Roman" w:cs="Times New Roman"/>
                <w:sz w:val="18"/>
                <w:szCs w:val="18"/>
                <w:lang w:val="sk-SK"/>
              </w:rPr>
              <w:t>poistenie, ktorá je:</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(a)  dcérskou spoločnosťou poisťovne oprávnenej v inom členskom štáte,</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(b)  dcérskou spoločnosťou materskej spoločnosti poisťovne oprávnenej v inom členskom štáte alebo </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(c)  kontrolovaná tou istou osobou, fyzickou  alebo právnickou, ktorá kontroluje poisťovňu oprávnenú v inom členskom štáte.</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2.S príslušným orgánom zainteresovaného členského štátu, zodpovedným za dohľad nad úverovými ústavmi alebo investičnými firmami, treba konzultovať pred udelením oprávnenia poisťovni na životné</w:t>
            </w:r>
            <w:r>
              <w:rPr>
                <w:rFonts w:ascii="Times New Roman" w:hAnsi="Times New Roman" w:cs="Times New Roman"/>
                <w:sz w:val="18"/>
                <w:szCs w:val="18"/>
                <w:lang w:val="sk-SK"/>
              </w:rPr>
              <w:t xml:space="preserve"> poistenie, ktorá je:</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(a)  dcérskou spoločnosťou úverového ústavu alebo investičnej firmy oprávnenej v Spoločenstve,</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(b)  dcérskou spoločnosťou materskej spoločnosti úverového ústavu alebo investičnej firmy oprávnenej v Spoločenstve alebo</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(c)  kontrolovaná tou istou osobou, fyzickou alebo právnickou, ktorá kontroluje poisťovňu oprávnenú v inom členskom štáte.</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2. S príslušným orgánom zainteresovaného členského štátu, zodpovedným za dohľad nad úverovými ústavmi alebo investičnými firmami, treba konzultovať pred udelením oprávnenia poisťovni na životné poistenie, ktorá je:</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(a)  dcérskou spoločnosťou úverového ústavu alebo investičnej firmy oprávnenej v Spoločenstve,</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(b)  dcérskou spoločnosťou materskej spoločnosti úverového ústavu alebo investičnej firmy oprávnenej v Spoločenstve alebo</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(c) kontrolovaná tou istou osobou, fyzickou alebo právnickou, ktorá kontroluje úverový ústav alebo investičnú firmu oprávnenú v Spoločenstve.</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3.    Príslušné kompetentné orgány ustanovené v odsekoch 1 a 2 musia konzultovať navzájom najmä pri hodnotení vhodnosti akcionárov a dobrej povesti a skúsenosti riaditeľov angažovaných v manažmente iného subjektu tej istej skupiny. Musia sa vzájomne informovať o všetkých informáciách týkajúcich sa vhodnosti akcionárov a dobrej povesti a skúseností riaditeľov, ktoré sú dôležité pre ostatné zainteresované príslušné orgány pri udeľovaní oprávnenia, ako aj pri stálom hodnotení dodržiavania podmienok na činnosť.“</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2.   K článku 18 ods.2 sa pridávajú tieto poddodseky:</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„Dostupná marža platobnej schopnosti sa zníži aj o tieto položky:</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(a)   majetkové účasti, ktoré poisťovňa na životné poistenie vlastní v</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poisťovniach v zmysle článku 6 tejto smernice, článku 6 smernice 73/239/EHS alebo článku 1 písm. b smernice 98/78/ES Európskeho parlamentu a</w:t>
            </w:r>
            <w:r>
              <w:rPr>
                <w:rFonts w:ascii="Times New Roman" w:hAnsi="Times New Roman" w:cs="Times New Roman"/>
                <w:sz w:val="18"/>
                <w:szCs w:val="18"/>
                <w:lang w:val="sk-SK"/>
              </w:rPr>
              <w:t> Rady ,</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   zaisťovniach v zmysle článku 1 písm. c smernice 98/78/ES,</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 poisťovacích holdingových spoločnostiach v zmysle článku 1 písm. i smernice 98/78/ES</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úverových ústavoch a finančných ústavoch v zmysle článku 1 ods. 1 a  5 smernice 2000/12/ES Eur</w:t>
            </w:r>
            <w:r>
              <w:rPr>
                <w:rFonts w:ascii="Times New Roman" w:hAnsi="Times New Roman" w:cs="Times New Roman"/>
                <w:sz w:val="18"/>
                <w:szCs w:val="18"/>
                <w:lang w:val="sk-SK"/>
              </w:rPr>
              <w:t>ópskeho parlamentu a Rady ,</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  investičných firmách a finančných ústavoch v zmysle článku 1 ods. 2 smernice 93/22/EHS  a článkov 2 ods. 4 a 2 ods.7 smernice 93/6/EHS;</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(b)  každú z nasledujúcich položiek, ktorú poisťovňa na životné poistenie vlastní vo vzťahu k subjektom definovaným v bode (a), v ktorých vlastní majetkovú účasť:</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  nástroje ustanovené v odseku 3,</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nástroje ustanovené v článku 16 ods. 3 smernice 73/239/EHS,</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podriadené pohľadávky a nástroje ustanovené v článkoch 35 a 36 ods. 3 smernice 2</w:t>
            </w:r>
            <w:r>
              <w:rPr>
                <w:rFonts w:ascii="Times New Roman" w:hAnsi="Times New Roman" w:cs="Times New Roman"/>
                <w:sz w:val="18"/>
                <w:szCs w:val="18"/>
                <w:lang w:val="sk-SK"/>
              </w:rPr>
              <w:t>000/12/ES.</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Ak akcie v inom úverovom ústave investičnej firme, finančnom ústave, poisťovni, zaisťovni alebo poisťovacej holdingovej spoločnosti sú vlastnené dočasne na účel poskytnutia finančnej pomoci na reorganizáciu a záchranu tohto subjektu, príslušný orgán môže upustiť od ustanovení o znížení zakotvených v bodoch (a)  a (b) tretieho pododseku.</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Ako alternatívu k odpočítaniu položiek ustanovených v bodoch (a) a (b) tretieho pododseku, ktoré poisťovňa vlastní v úverových ústavoch, investičných firmách a finančných ústavoch, členské štáty môžu povoliť, aby ich poisťovne uplatňovali, s nutnými zmenami, metódy 1, 2 alebo 3 prílohy I smernice 2002/87/ES Európskeho parlamentu a Rady zo 16. decembra 2002 o doplňujúcom dohľade nad úverovými ústavmi, poisťovňami a investičnými firmami vo finančnom konglomeráte. Metóda 1 (účtovná konsolidácia) sa uplatňuje, len ak príslušný orgán si je istý úrovňou integrovaného riadenia a vnútornej kontroly čo sa týka subjektov, ktoré budú zahrnuté do predmetu konsolidácie. Zvolená metóda sa musí dôsledne uplatňovať v čase.</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Členské štáty môžu ustanoviť, že pri výpočte marže platobnej schopnosti, ktorá sa ustanovuje v tejto smernici, poisťovne, na ktoré sa vzťahuje doplňujúci dohľad podľa smernice 98/78/ES alebo doplňujúci dohľad podľa smernice 2002/87/ES, nemusia odpočítavať položky ustanovené v bodoch (a) a (b) tretieho pododseku, ktoré vlastnia v úverových ústavoch, investičných firmách, finančných ústavoch, poisťovniach, zaisťovniach alebo poisťovacích holdingových spoločnostiach, ktoré sú zahrnuté v doplňujúcom dohľade.</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Na účely odpočítania majetkových účastí ustanovených v tomto odseku majetková účasť znamená účasť v zmysle článku 1 písm. f smernice 98/78/ES.</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3"/>
              <w:rPr>
                <w:rFonts w:ascii="Times New Roman" w:hAnsi="Times New Roman" w:cs="Times New Roman"/>
                <w:sz w:val="18"/>
                <w:szCs w:val="18"/>
                <w:lang w:val="sk-SK"/>
              </w:rPr>
            </w:pPr>
          </w:p>
          <w:p>
            <w:pPr>
              <w:pStyle w:val="BodyText3"/>
              <w:rPr>
                <w:rFonts w:ascii="Times New Roman" w:hAnsi="Times New Roman" w:cs="Times New Roman"/>
                <w:sz w:val="18"/>
                <w:szCs w:val="18"/>
                <w:lang w:val="sk-SK"/>
              </w:rPr>
            </w:pPr>
          </w:p>
          <w:p>
            <w:pPr>
              <w:pStyle w:val="BodyText3"/>
              <w:rPr>
                <w:rFonts w:ascii="Times New Roman" w:hAnsi="Times New Roman" w:cs="Times New Roman"/>
                <w:sz w:val="18"/>
                <w:szCs w:val="18"/>
                <w:lang w:val="sk-SK"/>
              </w:rPr>
            </w:pPr>
          </w:p>
          <w:p>
            <w:pPr>
              <w:pStyle w:val="BodyText3"/>
              <w:rPr>
                <w:rFonts w:ascii="Times New Roman" w:hAnsi="Times New Roman" w:cs="Times New Roman"/>
                <w:sz w:val="18"/>
                <w:szCs w:val="18"/>
                <w:lang w:val="sk-SK"/>
              </w:rPr>
            </w:pPr>
          </w:p>
          <w:p>
            <w:pPr>
              <w:pStyle w:val="BodyText3"/>
              <w:rPr>
                <w:rFonts w:ascii="Times New Roman" w:hAnsi="Times New Roman" w:cs="Times New Roman"/>
                <w:sz w:val="18"/>
                <w:szCs w:val="18"/>
                <w:lang w:val="de-DE"/>
              </w:rPr>
            </w:pPr>
            <w:r>
              <w:rPr>
                <w:rFonts w:ascii="Times New Roman" w:hAnsi="Times New Roman" w:cs="Times New Roman"/>
                <w:sz w:val="18"/>
                <w:szCs w:val="18"/>
                <w:lang w:val="de-DE"/>
              </w:rPr>
              <w:t>N</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X/2004 Z.z.</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8</w:t>
            </w:r>
          </w:p>
          <w:p>
            <w:pPr>
              <w:pStyle w:val="TABUKA-textsmernice"/>
              <w:rPr>
                <w:rFonts w:ascii="Times New Roman" w:hAnsi="Times New Roman" w:cs="Times New Roman"/>
                <w:sz w:val="18"/>
                <w:szCs w:val="18"/>
              </w:rPr>
            </w:pPr>
            <w:r>
              <w:rPr>
                <w:rFonts w:ascii="Times New Roman" w:hAnsi="Times New Roman" w:cs="Times New Roman"/>
                <w:sz w:val="18"/>
                <w:szCs w:val="18"/>
              </w:rPr>
              <w:t>ods. 1</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pís. a)</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pís. b)</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pís. c</w:t>
            </w:r>
            <w:r>
              <w:rPr>
                <w:rFonts w:ascii="Times New Roman" w:hAnsi="Times New Roman" w:cs="Times New Roman"/>
                <w:sz w:val="18"/>
                <w:szCs w:val="18"/>
              </w:rPr>
              <w:t>)</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ods. 2</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pís. a)</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pís. b)</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pís. c)</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ods. 3</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52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spacing w:after="0"/>
              <w:rPr>
                <w:rFonts w:ascii="Times New Roman" w:hAnsi="Times New Roman" w:cs="Times New Roman"/>
                <w:bCs/>
                <w:sz w:val="18"/>
                <w:szCs w:val="18"/>
              </w:rPr>
            </w:pPr>
          </w:p>
          <w:p>
            <w:pPr>
              <w:spacing w:after="0"/>
              <w:rPr>
                <w:rFonts w:ascii="Times New Roman" w:hAnsi="Times New Roman" w:cs="Times New Roman"/>
                <w:bCs/>
                <w:sz w:val="18"/>
                <w:szCs w:val="18"/>
              </w:rPr>
            </w:pPr>
          </w:p>
          <w:p>
            <w:pPr>
              <w:numPr>
                <w:ilvl w:val="0"/>
                <w:numId w:val="51"/>
              </w:numPr>
              <w:tabs>
                <w:tab w:val="left" w:pos="720"/>
              </w:tabs>
              <w:rPr>
                <w:rFonts w:ascii="Times New Roman" w:hAnsi="Times New Roman" w:cs="Times New Roman"/>
                <w:sz w:val="18"/>
              </w:rPr>
            </w:pPr>
            <w:r>
              <w:rPr>
                <w:rFonts w:ascii="Times New Roman" w:hAnsi="Times New Roman" w:cs="Times New Roman"/>
                <w:sz w:val="18"/>
              </w:rPr>
              <w:t>Úrad je povinný prerokovať s príslušným orgánom dohľadu iného členského štátu  udelenie povolenia podľa § 5, ak sa má toto povolenie udeliť právnickej osobe, ktorá je</w:t>
            </w:r>
          </w:p>
          <w:p>
            <w:pPr>
              <w:numPr>
                <w:ilvl w:val="1"/>
                <w:numId w:val="49"/>
              </w:numPr>
              <w:tabs>
                <w:tab w:val="left" w:pos="781"/>
                <w:tab w:val="clear" w:pos="1320"/>
              </w:tabs>
              <w:ind w:left="497"/>
              <w:rPr>
                <w:rFonts w:ascii="Times New Roman" w:hAnsi="Times New Roman" w:cs="Times New Roman"/>
              </w:rPr>
            </w:pPr>
            <w:r>
              <w:rPr>
                <w:rFonts w:ascii="Times New Roman" w:hAnsi="Times New Roman" w:cs="Times New Roman"/>
                <w:sz w:val="18"/>
              </w:rPr>
              <w:t>dcérskou spoločnosťou poisťovne z iného členského štátu,</w:t>
            </w:r>
          </w:p>
          <w:p>
            <w:pPr>
              <w:rPr>
                <w:rFonts w:ascii="Times New Roman" w:hAnsi="Times New Roman" w:cs="Times New Roman"/>
                <w:sz w:val="18"/>
              </w:rPr>
            </w:pPr>
          </w:p>
          <w:p>
            <w:pPr>
              <w:rPr>
                <w:rFonts w:ascii="Times New Roman" w:hAnsi="Times New Roman" w:cs="Times New Roman"/>
                <w:sz w:val="18"/>
              </w:rPr>
            </w:pPr>
            <w:r>
              <w:rPr>
                <w:rFonts w:ascii="Times New Roman" w:hAnsi="Times New Roman" w:cs="Times New Roman"/>
                <w:sz w:val="18"/>
              </w:rPr>
              <w:t>b) dcérskou spoločnosťou materskej spoločnosti poisťovne z iného členského štátu,</w:t>
            </w:r>
          </w:p>
          <w:p>
            <w:pPr>
              <w:spacing w:after="0"/>
              <w:rPr>
                <w:rFonts w:ascii="Times New Roman" w:hAnsi="Times New Roman" w:cs="Times New Roman"/>
                <w:sz w:val="18"/>
                <w:szCs w:val="18"/>
              </w:rPr>
            </w:pPr>
            <w:r>
              <w:rPr>
                <w:rFonts w:ascii="Times New Roman" w:hAnsi="Times New Roman" w:cs="Times New Roman"/>
                <w:sz w:val="18"/>
              </w:rPr>
              <w:t>c) kontrolovaná tými istými osobami, ktoré kontrolujú poisťovňu z iného členského štátu.</w:t>
            </w:r>
          </w:p>
          <w:p>
            <w:pPr>
              <w:spacing w:after="0"/>
              <w:rPr>
                <w:rFonts w:ascii="Times New Roman" w:hAnsi="Times New Roman" w:cs="Times New Roman"/>
                <w:sz w:val="18"/>
                <w:szCs w:val="18"/>
              </w:rPr>
            </w:pPr>
          </w:p>
          <w:p>
            <w:pPr>
              <w:rPr>
                <w:rFonts w:ascii="Times New Roman" w:hAnsi="Times New Roman" w:cs="Times New Roman"/>
                <w:sz w:val="18"/>
              </w:rPr>
            </w:pPr>
            <w:r>
              <w:rPr>
                <w:rFonts w:ascii="Times New Roman" w:hAnsi="Times New Roman" w:cs="Times New Roman"/>
                <w:sz w:val="18"/>
                <w:szCs w:val="18"/>
              </w:rPr>
              <w:t xml:space="preserve">(2) </w:t>
            </w:r>
            <w:r>
              <w:rPr>
                <w:rFonts w:ascii="Times New Roman" w:hAnsi="Times New Roman" w:cs="Times New Roman"/>
                <w:sz w:val="18"/>
              </w:rPr>
              <w:t xml:space="preserve">Úrad je povinný prerokovať s príslušným orgánom dohľadu iného členského štátu, orgánom bankového dohľadu iného členského štátu alebo orgánom dohľadu nad kapitálovým trhom iného členského štátu udelenie povolenia podľa § 5, ak sa má toto povolenie udeliť právnickej osobe, ktorá je </w:t>
            </w:r>
          </w:p>
          <w:p>
            <w:pPr>
              <w:pStyle w:val="BodyText"/>
              <w:rPr>
                <w:rFonts w:ascii="Times New Roman" w:hAnsi="Times New Roman" w:cs="Times New Roman"/>
                <w:sz w:val="18"/>
              </w:rPr>
            </w:pPr>
            <w:r>
              <w:rPr>
                <w:rFonts w:ascii="Times New Roman" w:hAnsi="Times New Roman" w:cs="Times New Roman"/>
                <w:sz w:val="18"/>
              </w:rPr>
              <w:t>a) dcérskou spoločnosťou banky alebo obchodníka s cennými papiermi so sídlom na území iného členského štátu,</w:t>
            </w:r>
          </w:p>
          <w:p>
            <w:pPr>
              <w:pStyle w:val="BodyText"/>
              <w:numPr>
                <w:ilvl w:val="1"/>
                <w:numId w:val="49"/>
              </w:numPr>
              <w:tabs>
                <w:tab w:val="left" w:pos="639"/>
                <w:tab w:val="clear" w:pos="1320"/>
              </w:tabs>
              <w:ind w:left="497"/>
              <w:rPr>
                <w:rFonts w:ascii="Times New Roman" w:hAnsi="Times New Roman" w:cs="Times New Roman"/>
                <w:sz w:val="18"/>
              </w:rPr>
            </w:pPr>
            <w:r>
              <w:rPr>
                <w:rFonts w:ascii="Times New Roman" w:hAnsi="Times New Roman" w:cs="Times New Roman"/>
                <w:sz w:val="18"/>
              </w:rPr>
              <w:t>dcérskou spoločnosťou materskej spoločnosti banky alebo obchodníka s cennými papiermi so sídlom na území iného členského štátu,</w:t>
            </w:r>
          </w:p>
          <w:p>
            <w:pPr>
              <w:pStyle w:val="BodyText"/>
              <w:rPr>
                <w:rFonts w:ascii="Times New Roman" w:hAnsi="Times New Roman" w:cs="Times New Roman"/>
                <w:sz w:val="18"/>
              </w:rPr>
            </w:pPr>
          </w:p>
          <w:p>
            <w:pPr>
              <w:pStyle w:val="BodyText"/>
              <w:rPr>
                <w:rFonts w:ascii="Times New Roman" w:hAnsi="Times New Roman" w:cs="Times New Roman"/>
                <w:sz w:val="24"/>
              </w:rPr>
            </w:pPr>
            <w:r>
              <w:rPr>
                <w:rFonts w:ascii="Times New Roman" w:hAnsi="Times New Roman" w:cs="Times New Roman"/>
                <w:sz w:val="18"/>
              </w:rPr>
              <w:t>c) kontrolovaná tými istými fyzickými osobami a právnickými osobami, ktoré kontrolujú banku alebo obchodníka s cennými papiermi so sídlom na území iného členského štátu.</w:t>
            </w:r>
          </w:p>
          <w:p>
            <w:pPr>
              <w:pStyle w:val="BodyText"/>
              <w:rPr>
                <w:rFonts w:ascii="Times New Roman" w:hAnsi="Times New Roman" w:cs="Times New Roman"/>
                <w:sz w:val="18"/>
                <w:szCs w:val="18"/>
              </w:rPr>
            </w:pPr>
          </w:p>
          <w:p>
            <w:pPr>
              <w:pStyle w:val="BodyText"/>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xml:space="preserve">(3) </w:t>
            </w:r>
            <w:r>
              <w:rPr>
                <w:rFonts w:ascii="Times New Roman" w:hAnsi="Times New Roman" w:cs="Times New Roman"/>
                <w:sz w:val="18"/>
              </w:rPr>
              <w:t>Úrad je povinný prerokovať s orgánmi dohľadu podľa odsekov 1 a 2 najmä vhodnosť akcionárov, vedúcich zamestnancov</w:t>
            </w:r>
            <w:r>
              <w:rPr>
                <w:rFonts w:ascii="Times New Roman" w:hAnsi="Times New Roman" w:cs="Times New Roman"/>
                <w:sz w:val="18"/>
                <w:vertAlign w:val="superscript"/>
              </w:rPr>
              <w:t xml:space="preserve">10)  </w:t>
            </w:r>
            <w:r>
              <w:rPr>
                <w:rFonts w:ascii="Times New Roman" w:hAnsi="Times New Roman" w:cs="Times New Roman"/>
                <w:sz w:val="18"/>
              </w:rPr>
              <w:t>v</w:t>
            </w:r>
            <w:r>
              <w:rPr>
                <w:rFonts w:ascii="Times New Roman" w:hAnsi="Times New Roman" w:cs="Times New Roman"/>
                <w:sz w:val="18"/>
                <w:vertAlign w:val="superscript"/>
              </w:rPr>
              <w:t xml:space="preserve"> </w:t>
            </w:r>
            <w:r>
              <w:rPr>
                <w:rFonts w:ascii="Times New Roman" w:hAnsi="Times New Roman" w:cs="Times New Roman"/>
                <w:sz w:val="18"/>
              </w:rPr>
              <w:t>priamej riadiacej pôsobnosti predstavenstva podliehajúcich dohľadu a vymieňať si s tymito orgánmi všetky informácie dôležité pre udelenie povolenia a pre kontrolu  činnosti osôb podľa odsekov 1 a 2</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Ú</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109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Návrh vyhl. č. .../2004 o doplnkovom dozore vo finančných konglomerátoch</w:t>
            </w:r>
          </w:p>
        </w:tc>
        <w:tc>
          <w:tcPr>
            <w:tcW w:w="6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7"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Čl. 24</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spacing w:after="0"/>
              <w:rPr>
                <w:rFonts w:ascii="Times New Roman" w:hAnsi="Times New Roman" w:cs="Times New Roman"/>
                <w:b/>
                <w:sz w:val="18"/>
                <w:szCs w:val="18"/>
                <w:lang w:val="sk-SK"/>
              </w:rPr>
            </w:pPr>
            <w:r>
              <w:rPr>
                <w:rFonts w:ascii="Times New Roman" w:hAnsi="Times New Roman" w:cs="Times New Roman"/>
                <w:b/>
                <w:sz w:val="18"/>
                <w:szCs w:val="18"/>
                <w:lang w:val="sk-SK"/>
              </w:rPr>
              <w:t>Zmeny a doplnky smernice 92/49/EHS</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Smernica 92/49/EHS sa mení a dopĺňa takto:</w:t>
            </w:r>
          </w:p>
          <w:p>
            <w:pPr>
              <w:numPr>
                <w:ilvl w:val="0"/>
                <w:numId w:val="36"/>
              </w:numPr>
              <w:tabs>
                <w:tab w:val="left" w:pos="365"/>
              </w:tabs>
              <w:spacing w:after="0"/>
              <w:ind w:left="0" w:firstLine="0"/>
              <w:rPr>
                <w:rFonts w:ascii="Times New Roman" w:hAnsi="Times New Roman" w:cs="Times New Roman"/>
                <w:sz w:val="18"/>
                <w:szCs w:val="18"/>
                <w:lang w:val="sk-SK"/>
              </w:rPr>
            </w:pPr>
            <w:r>
              <w:rPr>
                <w:rFonts w:ascii="Times New Roman" w:hAnsi="Times New Roman" w:cs="Times New Roman"/>
                <w:sz w:val="18"/>
                <w:szCs w:val="18"/>
                <w:lang w:val="sk-SK"/>
              </w:rPr>
              <w:t>Do článku 15 sa dopĺňa tento odsek:</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„1a.</w:t>
              <w:tab/>
              <w:t>Ak nadobúdateľ vlastníckych podielov, ktoré sa ustanovujú v odseku 1, je poisťovňou, úverovým ústavom alebo investičnou firmou oprávnenou v inom členskom štáte, resp. materskou spoločnosťou takéhoto subjektu alebo je fyzickou alebo právnickou osobou kontrolujúcou takýto subjekt a ak v dôsledku tohto nadobudnutia spoločnosť, v ktorej nadobúdateľ plánuje vlastniť daný podiel, sa stane dcérskou spoločnosťou alebo prejde pod kontrolu nadobúdateľa, posúdenie akvizície musí byť predmetom predchádzajúcej konzultácie, ktorá sa ustanovuje v článku 12a smernice 73/239/EHS.“</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2.</w:t>
              <w:tab/>
              <w:t>Článok 16 ods. 5c  sa nahrádza týmto znením:</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„5c.</w:t>
              <w:tab/>
              <w:t>Tento článok nebráni príslušnému orgánu v tom, aby oznamoval</w:t>
            </w:r>
          </w:p>
          <w:p>
            <w:pPr>
              <w:numPr>
                <w:ilvl w:val="0"/>
                <w:numId w:val="37"/>
              </w:numPr>
              <w:tabs>
                <w:tab w:val="left" w:pos="72"/>
                <w:tab w:val="left" w:pos="426"/>
                <w:tab w:val="clear" w:pos="823"/>
                <w:tab w:val="left" w:pos="993"/>
              </w:tabs>
              <w:spacing w:after="0"/>
              <w:ind w:left="0" w:firstLine="0"/>
              <w:jc w:val="left"/>
              <w:rPr>
                <w:rFonts w:ascii="Times New Roman" w:hAnsi="Times New Roman" w:cs="Times New Roman"/>
                <w:sz w:val="18"/>
                <w:szCs w:val="18"/>
                <w:lang w:val="sk-SK"/>
              </w:rPr>
            </w:pPr>
            <w:r>
              <w:rPr>
                <w:rFonts w:ascii="Times New Roman" w:hAnsi="Times New Roman" w:cs="Times New Roman"/>
                <w:sz w:val="18"/>
                <w:szCs w:val="18"/>
                <w:lang w:val="sk-SK"/>
              </w:rPr>
              <w:t>centrálnym bankám a iným orgánom s podobnou funkciou v ich postavení ako menový orgán,</w:t>
            </w:r>
          </w:p>
          <w:p>
            <w:pPr>
              <w:numPr>
                <w:ilvl w:val="0"/>
                <w:numId w:val="37"/>
              </w:numPr>
              <w:tabs>
                <w:tab w:val="left" w:pos="72"/>
                <w:tab w:val="left" w:pos="426"/>
                <w:tab w:val="clear" w:pos="823"/>
                <w:tab w:val="left" w:pos="993"/>
              </w:tabs>
              <w:spacing w:after="0"/>
              <w:ind w:left="0" w:firstLine="0"/>
              <w:jc w:val="left"/>
              <w:rPr>
                <w:rFonts w:ascii="Times New Roman" w:hAnsi="Times New Roman" w:cs="Times New Roman"/>
                <w:sz w:val="18"/>
                <w:szCs w:val="18"/>
                <w:lang w:val="sk-SK"/>
              </w:rPr>
            </w:pPr>
            <w:r>
              <w:rPr>
                <w:rFonts w:ascii="Times New Roman" w:hAnsi="Times New Roman" w:cs="Times New Roman"/>
                <w:sz w:val="18"/>
                <w:szCs w:val="18"/>
                <w:lang w:val="sk-SK"/>
              </w:rPr>
              <w:t>v prípade vhodnosti iným verejným orgánom zodpovedným za dohľad nad platobnými systémami</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informácie určené na výkon ich úloh, ani nebráni týmto orgánom v oznamovaní príslušným orgánom takých informácií, ktoré môžu potrebovať na účely odseku 4. Na informácie prijaté v spojitosti s tým sa vzťahujú podmienky profesionálneho tajomstva uložené v tomto článku.“</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3"/>
              <w:rPr>
                <w:rFonts w:ascii="Times New Roman" w:hAnsi="Times New Roman" w:cs="Times New Roman"/>
                <w:sz w:val="18"/>
                <w:szCs w:val="18"/>
                <w:lang w:val="sk-SK"/>
              </w:rPr>
            </w:pPr>
          </w:p>
          <w:p>
            <w:pPr>
              <w:pStyle w:val="BodyText3"/>
              <w:rPr>
                <w:rFonts w:ascii="Times New Roman" w:hAnsi="Times New Roman" w:cs="Times New Roman"/>
                <w:sz w:val="18"/>
                <w:szCs w:val="18"/>
                <w:lang w:val="sk-SK"/>
              </w:rPr>
            </w:pPr>
          </w:p>
          <w:p>
            <w:pPr>
              <w:pStyle w:val="BodyText3"/>
              <w:rPr>
                <w:rFonts w:ascii="Times New Roman" w:hAnsi="Times New Roman" w:cs="Times New Roman"/>
                <w:sz w:val="18"/>
                <w:szCs w:val="18"/>
                <w:lang w:val="de-DE"/>
              </w:rPr>
            </w:pPr>
            <w:r>
              <w:rPr>
                <w:rFonts w:ascii="Times New Roman" w:hAnsi="Times New Roman" w:cs="Times New Roman"/>
                <w:sz w:val="18"/>
                <w:szCs w:val="18"/>
                <w:lang w:val="de-DE"/>
              </w:rPr>
              <w:t>N</w:t>
            </w:r>
          </w:p>
          <w:p>
            <w:pPr>
              <w:pStyle w:val="BodyText3"/>
              <w:rPr>
                <w:rFonts w:ascii="Times New Roman" w:hAnsi="Times New Roman" w:cs="Times New Roman"/>
                <w:sz w:val="18"/>
                <w:szCs w:val="18"/>
                <w:lang w:val="de-DE"/>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95/2002 Z.z.</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X/2004 Z.z.</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95/2002</w:t>
            </w:r>
          </w:p>
          <w:p>
            <w:pPr>
              <w:pStyle w:val="TABUKA-textsmernice"/>
              <w:rPr>
                <w:rFonts w:ascii="Times New Roman" w:hAnsi="Times New Roman" w:cs="Times New Roman"/>
                <w:sz w:val="18"/>
                <w:szCs w:val="18"/>
              </w:rPr>
            </w:pPr>
            <w:r>
              <w:rPr>
                <w:rFonts w:ascii="Times New Roman" w:hAnsi="Times New Roman" w:cs="Times New Roman"/>
                <w:sz w:val="18"/>
                <w:szCs w:val="18"/>
              </w:rPr>
              <w:t>Z.z.</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36</w:t>
            </w:r>
          </w:p>
          <w:p>
            <w:pPr>
              <w:pStyle w:val="TABUKA-textsmernice"/>
              <w:rPr>
                <w:rFonts w:ascii="Times New Roman" w:hAnsi="Times New Roman" w:cs="Times New Roman"/>
                <w:sz w:val="18"/>
                <w:szCs w:val="18"/>
              </w:rPr>
            </w:pPr>
            <w:r>
              <w:rPr>
                <w:rFonts w:ascii="Times New Roman" w:hAnsi="Times New Roman" w:cs="Times New Roman"/>
                <w:sz w:val="18"/>
                <w:szCs w:val="18"/>
              </w:rPr>
              <w:t>ods. 7</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41</w:t>
            </w:r>
          </w:p>
          <w:p>
            <w:pPr>
              <w:pStyle w:val="TABUKA-textsmernice"/>
              <w:rPr>
                <w:rFonts w:ascii="Times New Roman" w:hAnsi="Times New Roman" w:cs="Times New Roman"/>
                <w:sz w:val="18"/>
                <w:szCs w:val="18"/>
              </w:rPr>
            </w:pPr>
            <w:r>
              <w:rPr>
                <w:rFonts w:ascii="Times New Roman" w:hAnsi="Times New Roman" w:cs="Times New Roman"/>
                <w:sz w:val="18"/>
                <w:szCs w:val="18"/>
              </w:rPr>
              <w:t>ods. 4</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pís. b)</w:t>
            </w:r>
          </w:p>
        </w:tc>
        <w:tc>
          <w:tcPr>
            <w:tcW w:w="52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BodyText"/>
              <w:rPr>
                <w:rFonts w:ascii="Times New Roman" w:hAnsi="Times New Roman" w:cs="Times New Roman"/>
                <w:iCs/>
                <w:sz w:val="18"/>
                <w:szCs w:val="18"/>
              </w:rPr>
            </w:pPr>
            <w:r>
              <w:rPr>
                <w:rFonts w:ascii="Times New Roman" w:hAnsi="Times New Roman" w:cs="Times New Roman"/>
                <w:iCs/>
                <w:sz w:val="18"/>
                <w:szCs w:val="18"/>
              </w:rPr>
              <w:t xml:space="preserve">(7) </w:t>
            </w:r>
            <w:r>
              <w:rPr>
                <w:rFonts w:ascii="Times New Roman" w:hAnsi="Times New Roman" w:cs="Times New Roman"/>
                <w:iCs/>
                <w:sz w:val="18"/>
              </w:rPr>
              <w:t>Ak nadobúdateľom podielu na základnom imaní poisťovne alebo zaisťovne alebo na hlasovacích právach uvedených v odseku 1 písm. a) je zahraničná poisťovňa alebo zahraničná zaisťovňa so sídlom v inom členskom štáte, zahraničná banka so sídlom v inom členskom štáte, zahraničný obchodník s cennými papiermi so sídlom v inom členskom štáte, materská spoločnosť zahraničnej poisťovne alebo zahraničnej zaisťovne alebo osoba kontrolujúca takéto osoby, a ak v dôsledku získania podielu podľa odseku 1 písm a) touto osobou by sa poisťovňa alebo zaisťovňa stala dcérskou spoločnosťou tejto osoby, alebo prejde pod kontrolu tejto osoby, udelenie predchádzajúceho súhlasu podľa odseku 1 písm. a) je úrad povinný prerokovať s orgánni dohľadz iného členského štátu podľa § 8</w:t>
            </w:r>
          </w:p>
          <w:p>
            <w:pPr>
              <w:pStyle w:val="TABUKA-textsmernice"/>
              <w:rPr>
                <w:rFonts w:ascii="Times New Roman" w:hAnsi="Times New Roman" w:cs="Times New Roman"/>
                <w:iCs/>
                <w:sz w:val="18"/>
                <w:szCs w:val="18"/>
              </w:rPr>
            </w:pPr>
          </w:p>
          <w:p>
            <w:pPr>
              <w:pStyle w:val="BodyText"/>
              <w:rPr>
                <w:rFonts w:ascii="Times New Roman" w:hAnsi="Times New Roman" w:cs="Times New Roman"/>
                <w:bCs/>
                <w:iCs/>
                <w:sz w:val="18"/>
                <w:szCs w:val="18"/>
              </w:rPr>
            </w:pPr>
            <w:r>
              <w:rPr>
                <w:rFonts w:ascii="Times New Roman" w:hAnsi="Times New Roman" w:cs="Times New Roman"/>
                <w:bCs/>
                <w:iCs/>
                <w:sz w:val="18"/>
                <w:szCs w:val="18"/>
              </w:rPr>
              <w:t>(4) Za porušenie povinnosti mlčanlivosti podľa odseku 1 sa nepovažuje výmena informácií medzi</w:t>
            </w:r>
          </w:p>
          <w:p>
            <w:pPr>
              <w:pStyle w:val="BodyText"/>
              <w:rPr>
                <w:rFonts w:ascii="Times New Roman" w:hAnsi="Times New Roman" w:cs="Times New Roman"/>
                <w:bCs/>
                <w:iCs/>
                <w:sz w:val="18"/>
                <w:szCs w:val="18"/>
              </w:rPr>
            </w:pPr>
          </w:p>
          <w:p>
            <w:pPr>
              <w:pStyle w:val="BodyText"/>
              <w:rPr>
                <w:rFonts w:ascii="Times New Roman" w:hAnsi="Times New Roman" w:cs="Times New Roman"/>
                <w:bCs/>
                <w:iCs/>
                <w:sz w:val="18"/>
                <w:szCs w:val="18"/>
              </w:rPr>
            </w:pPr>
            <w:r>
              <w:rPr>
                <w:rFonts w:ascii="Times New Roman" w:hAnsi="Times New Roman" w:cs="Times New Roman"/>
                <w:bCs/>
                <w:iCs/>
                <w:sz w:val="18"/>
                <w:szCs w:val="18"/>
              </w:rPr>
              <w:t xml:space="preserve">b) úradom, ak mu boli informácie poskytnuté podľa odseku 3 písm. a), a </w:t>
            </w:r>
          </w:p>
          <w:p>
            <w:pPr>
              <w:pStyle w:val="BodyText"/>
              <w:rPr>
                <w:rFonts w:ascii="Times New Roman" w:hAnsi="Times New Roman" w:cs="Times New Roman"/>
                <w:bCs/>
                <w:iCs/>
                <w:sz w:val="18"/>
                <w:szCs w:val="18"/>
              </w:rPr>
            </w:pPr>
            <w:r>
              <w:rPr>
                <w:rFonts w:ascii="Times New Roman" w:hAnsi="Times New Roman" w:cs="Times New Roman"/>
                <w:bCs/>
                <w:iCs/>
                <w:sz w:val="18"/>
                <w:szCs w:val="18"/>
              </w:rPr>
              <w:t>1. orgánmi bankového dohľadu  iných členských štátov alebo orgánmi dohľadu nad finančnými inštitúciami iných členských štátov,</w:t>
            </w:r>
          </w:p>
          <w:p>
            <w:pPr>
              <w:pStyle w:val="BodyText"/>
              <w:rPr>
                <w:rFonts w:ascii="Times New Roman" w:hAnsi="Times New Roman" w:cs="Times New Roman"/>
                <w:bCs/>
                <w:iCs/>
                <w:sz w:val="18"/>
                <w:szCs w:val="18"/>
              </w:rPr>
            </w:pPr>
            <w:r>
              <w:rPr>
                <w:rFonts w:ascii="Times New Roman" w:hAnsi="Times New Roman" w:cs="Times New Roman"/>
                <w:bCs/>
                <w:iCs/>
                <w:sz w:val="18"/>
                <w:szCs w:val="18"/>
              </w:rPr>
              <w:t>2. osobami z iného členského štátu alebo z iného ako členského štátu, ktoré sa podieľajú na konkurze alebo likvidácii poisťovne z iného členského štátu alebo zahraničnej zaisťovne, a orgánmi, ktoré vykonávajú nad týmito osobami dohľad,</w:t>
            </w:r>
          </w:p>
          <w:p>
            <w:pPr>
              <w:pStyle w:val="BodyText"/>
              <w:rPr>
                <w:rFonts w:ascii="Times New Roman" w:hAnsi="Times New Roman" w:cs="Times New Roman"/>
                <w:bCs/>
                <w:iCs/>
                <w:sz w:val="18"/>
                <w:szCs w:val="18"/>
              </w:rPr>
            </w:pPr>
            <w:r>
              <w:rPr>
                <w:rFonts w:ascii="Times New Roman" w:hAnsi="Times New Roman" w:cs="Times New Roman"/>
                <w:bCs/>
                <w:iCs/>
                <w:sz w:val="18"/>
                <w:szCs w:val="18"/>
              </w:rPr>
              <w:t>3. audítormi z iných členských štátov alebo z iných ako členských štátov, ktorí overujú účtovnú závierku poisťovne z iného členského štátu, zahraničnej zaisťovne a finančných inštitúcií so sídlom v iných členských štátoch, a orgánmi, ktoré vykonávajú nad týmito audítormi dohľad,</w:t>
            </w:r>
          </w:p>
          <w:p>
            <w:pPr>
              <w:pStyle w:val="BodyText2"/>
              <w:overflowPunct w:val="0"/>
              <w:autoSpaceDE/>
              <w:autoSpaceDN/>
              <w:spacing w:after="0" w:line="240" w:lineRule="auto"/>
              <w:ind w:firstLine="0"/>
              <w:textAlignment w:val="baseline"/>
              <w:rPr>
                <w:rFonts w:ascii="Times New Roman" w:hAnsi="Times New Roman" w:cs="Times New Roman"/>
                <w:bCs/>
                <w:iCs/>
                <w:strike/>
                <w:sz w:val="18"/>
                <w:szCs w:val="18"/>
                <w:lang w:val="sk-SK"/>
              </w:rPr>
            </w:pPr>
            <w:r>
              <w:rPr>
                <w:rFonts w:ascii="Times New Roman" w:hAnsi="Times New Roman" w:cs="Times New Roman"/>
                <w:bCs/>
                <w:iCs/>
                <w:sz w:val="18"/>
                <w:szCs w:val="18"/>
                <w:lang w:val="sk-SK"/>
              </w:rPr>
              <w:t>4. osobami z iných členských štátov, ktoré vykonávajú činnosť zodpovedného aktuára, a orgánmi, ktoré vykonávajú nad nimi dohľad.</w:t>
            </w:r>
          </w:p>
          <w:p>
            <w:pPr>
              <w:pStyle w:val="TABUKA-textsmernice"/>
              <w:rPr>
                <w:rFonts w:ascii="Times New Roman" w:hAnsi="Times New Roman" w:cs="Times New Roman"/>
                <w:i/>
                <w:sz w:val="18"/>
                <w:szCs w:val="18"/>
              </w:rPr>
            </w:pPr>
          </w:p>
          <w:p>
            <w:pPr>
              <w:pStyle w:val="BodyText"/>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Ú</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109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6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7"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Čl. 25</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spacing w:after="0"/>
              <w:rPr>
                <w:rFonts w:ascii="Times New Roman" w:hAnsi="Times New Roman" w:cs="Times New Roman"/>
                <w:b/>
                <w:sz w:val="18"/>
                <w:szCs w:val="18"/>
                <w:lang w:val="sk-SK"/>
              </w:rPr>
            </w:pPr>
            <w:r>
              <w:rPr>
                <w:rFonts w:ascii="Times New Roman" w:hAnsi="Times New Roman" w:cs="Times New Roman"/>
                <w:b/>
                <w:sz w:val="18"/>
                <w:szCs w:val="18"/>
                <w:lang w:val="sk-SK"/>
              </w:rPr>
              <w:t>Zmeny a doplnky smernice 92/96/EHS</w:t>
            </w:r>
          </w:p>
          <w:p>
            <w:pPr>
              <w:pStyle w:val="NormalWeb"/>
              <w:spacing w:after="0"/>
              <w:rPr>
                <w:rFonts w:ascii="Times New Roman" w:hAnsi="Times New Roman" w:cs="Times New Roman"/>
                <w:sz w:val="20"/>
                <w:szCs w:val="20"/>
                <w:lang w:val="sk-SK"/>
              </w:rPr>
            </w:pPr>
          </w:p>
          <w:p>
            <w:pPr>
              <w:numPr>
                <w:ilvl w:val="0"/>
                <w:numId w:val="38"/>
              </w:numPr>
              <w:tabs>
                <w:tab w:val="left" w:pos="365"/>
              </w:tabs>
              <w:spacing w:after="0"/>
              <w:ind w:left="0" w:firstLine="0"/>
              <w:rPr>
                <w:rFonts w:ascii="Times New Roman" w:hAnsi="Times New Roman" w:cs="Times New Roman"/>
                <w:sz w:val="18"/>
                <w:szCs w:val="18"/>
                <w:lang w:val="sk-SK"/>
              </w:rPr>
            </w:pPr>
            <w:r>
              <w:rPr>
                <w:rFonts w:ascii="Times New Roman" w:hAnsi="Times New Roman" w:cs="Times New Roman"/>
                <w:sz w:val="18"/>
                <w:szCs w:val="18"/>
                <w:lang w:val="sk-SK"/>
              </w:rPr>
              <w:t>Do článku 14 sa dopĺňa tento odsek:</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„1a.</w:t>
              <w:tab/>
              <w:t>Ak nadobúdateľ vlastníckych podielov, ktoré sa ustanovujú v odseku 1, je poisťovňou, úverovým ústavom alebo investičnou firmou oprávnenou v inom členskom štáte resp. materskou spoločnosťou takéhoto subjektu alebo je fyzickou alebo právnickou osobou kontrolujúcou takýto subjekt a ak v dôsledku tohto nadobudnutia spoločnosť, v ktorej nadobúdateľ plánuje vlastniť daný podiel, sa stane dcérskou spoločnosťou alebo prejde pod kontrolu nadobúdateľa, posúdenie akvizície musí byť predmetom predchádzajúcej konzultácie, ktorá sa ustanovuje v článku 12a smernice 79/267/EHS.“</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2.</w:t>
              <w:tab/>
              <w:t>Článok 15 ods. 5c  sa nahrádza týmto znením:</w:t>
            </w:r>
          </w:p>
          <w:p>
            <w:pPr>
              <w:tabs>
                <w:tab w:val="left" w:pos="426"/>
                <w:tab w:val="left" w:pos="993"/>
              </w:tabs>
              <w:spacing w:after="0"/>
              <w:rPr>
                <w:rFonts w:ascii="Times New Roman" w:hAnsi="Times New Roman" w:cs="Times New Roman"/>
                <w:sz w:val="18"/>
                <w:szCs w:val="18"/>
                <w:lang w:val="sk-SK"/>
              </w:rPr>
            </w:pPr>
            <w:r>
              <w:rPr>
                <w:rFonts w:ascii="Times New Roman" w:hAnsi="Times New Roman" w:cs="Times New Roman"/>
                <w:sz w:val="18"/>
                <w:szCs w:val="18"/>
                <w:lang w:val="sk-SK"/>
              </w:rPr>
              <w:t>„5c.</w:t>
              <w:tab/>
              <w:t xml:space="preserve">   Tento článok nebráni príslušnému orgánu v tom, aby  oznamoval</w:t>
            </w:r>
          </w:p>
          <w:p>
            <w:pPr>
              <w:numPr>
                <w:ilvl w:val="0"/>
                <w:numId w:val="37"/>
              </w:numPr>
              <w:tabs>
                <w:tab w:val="left" w:pos="214"/>
                <w:tab w:val="clear" w:pos="823"/>
                <w:tab w:val="left" w:pos="993"/>
              </w:tabs>
              <w:spacing w:after="0"/>
              <w:ind w:left="0" w:firstLine="0"/>
              <w:jc w:val="left"/>
              <w:rPr>
                <w:rFonts w:ascii="Times New Roman" w:hAnsi="Times New Roman" w:cs="Times New Roman"/>
                <w:sz w:val="18"/>
                <w:szCs w:val="18"/>
                <w:lang w:val="sk-SK"/>
              </w:rPr>
            </w:pPr>
            <w:r>
              <w:rPr>
                <w:rFonts w:ascii="Times New Roman" w:hAnsi="Times New Roman" w:cs="Times New Roman"/>
                <w:sz w:val="18"/>
                <w:szCs w:val="18"/>
                <w:lang w:val="sk-SK"/>
              </w:rPr>
              <w:t>centrálnym bankám a iným orgánom s podobnou funkciou v ich postavení ako menový orgán,</w:t>
            </w:r>
          </w:p>
          <w:p>
            <w:pPr>
              <w:numPr>
                <w:ilvl w:val="0"/>
                <w:numId w:val="37"/>
              </w:numPr>
              <w:tabs>
                <w:tab w:val="left" w:pos="214"/>
                <w:tab w:val="clear" w:pos="823"/>
                <w:tab w:val="left" w:pos="993"/>
              </w:tabs>
              <w:spacing w:after="0"/>
              <w:ind w:left="0" w:firstLine="0"/>
              <w:jc w:val="left"/>
              <w:rPr>
                <w:rFonts w:ascii="Times New Roman" w:hAnsi="Times New Roman" w:cs="Times New Roman"/>
                <w:sz w:val="18"/>
                <w:szCs w:val="18"/>
                <w:lang w:val="sk-SK"/>
              </w:rPr>
            </w:pPr>
            <w:r>
              <w:rPr>
                <w:rFonts w:ascii="Times New Roman" w:hAnsi="Times New Roman" w:cs="Times New Roman"/>
                <w:sz w:val="18"/>
                <w:szCs w:val="18"/>
                <w:lang w:val="sk-SK"/>
              </w:rPr>
              <w:t>vo vhodnom prípade iným verejným orgánom zodpovedným za dohľad nad platobnými systémami</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informácie určené na výkon ich úloh, ani nebráni týmto orgánom v oznamovaní príslušným orgánom takých informácií, ktoré môžu potrebovať na účely odseku 4. Na informácie prijaté v spojitosti s tým sa vzťahujú podmienky profesionálneho tajomstva uložené v tomto článku.“</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3"/>
              <w:rPr>
                <w:rFonts w:ascii="Times New Roman" w:hAnsi="Times New Roman" w:cs="Times New Roman"/>
                <w:sz w:val="18"/>
                <w:szCs w:val="18"/>
                <w:lang w:val="sk-SK"/>
              </w:rPr>
            </w:pPr>
          </w:p>
          <w:p>
            <w:pPr>
              <w:pStyle w:val="BodyText3"/>
              <w:rPr>
                <w:rFonts w:ascii="Times New Roman" w:hAnsi="Times New Roman" w:cs="Times New Roman"/>
                <w:sz w:val="18"/>
                <w:szCs w:val="18"/>
                <w:lang w:val="sk-SK"/>
              </w:rPr>
            </w:pPr>
          </w:p>
          <w:p>
            <w:pPr>
              <w:pStyle w:val="BodyText3"/>
              <w:rPr>
                <w:rFonts w:ascii="Times New Roman" w:hAnsi="Times New Roman" w:cs="Times New Roman"/>
                <w:sz w:val="18"/>
                <w:szCs w:val="18"/>
                <w:lang w:val="de-DE"/>
              </w:rPr>
            </w:pPr>
            <w:r>
              <w:rPr>
                <w:rFonts w:ascii="Times New Roman" w:hAnsi="Times New Roman" w:cs="Times New Roman"/>
                <w:sz w:val="18"/>
                <w:szCs w:val="18"/>
                <w:lang w:val="de-DE"/>
              </w:rPr>
              <w:t>N</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95/2002 Z.z.</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X/2004 Z.z.</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95/2002</w:t>
            </w:r>
          </w:p>
          <w:p>
            <w:pPr>
              <w:pStyle w:val="TABUKA-textsmernice"/>
              <w:rPr>
                <w:rFonts w:ascii="Times New Roman" w:hAnsi="Times New Roman" w:cs="Times New Roman"/>
                <w:sz w:val="18"/>
                <w:szCs w:val="18"/>
              </w:rPr>
            </w:pPr>
            <w:r>
              <w:rPr>
                <w:rFonts w:ascii="Times New Roman" w:hAnsi="Times New Roman" w:cs="Times New Roman"/>
                <w:sz w:val="18"/>
                <w:szCs w:val="18"/>
              </w:rPr>
              <w:t>Z.z.</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36</w:t>
            </w:r>
          </w:p>
          <w:p>
            <w:pPr>
              <w:pStyle w:val="TABUKA-textsmernice"/>
              <w:rPr>
                <w:rFonts w:ascii="Times New Roman" w:hAnsi="Times New Roman" w:cs="Times New Roman"/>
                <w:sz w:val="18"/>
                <w:szCs w:val="18"/>
              </w:rPr>
            </w:pPr>
            <w:r>
              <w:rPr>
                <w:rFonts w:ascii="Times New Roman" w:hAnsi="Times New Roman" w:cs="Times New Roman"/>
                <w:sz w:val="18"/>
                <w:szCs w:val="18"/>
              </w:rPr>
              <w:t>ods. 7</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41</w:t>
            </w:r>
          </w:p>
          <w:p>
            <w:pPr>
              <w:pStyle w:val="TABUKA-textsmernice"/>
              <w:rPr>
                <w:rFonts w:ascii="Times New Roman" w:hAnsi="Times New Roman" w:cs="Times New Roman"/>
                <w:sz w:val="18"/>
                <w:szCs w:val="18"/>
              </w:rPr>
            </w:pPr>
            <w:r>
              <w:rPr>
                <w:rFonts w:ascii="Times New Roman" w:hAnsi="Times New Roman" w:cs="Times New Roman"/>
                <w:sz w:val="18"/>
                <w:szCs w:val="18"/>
              </w:rPr>
              <w:t>ods. 4</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pís. b)</w:t>
            </w:r>
          </w:p>
        </w:tc>
        <w:tc>
          <w:tcPr>
            <w:tcW w:w="52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BodyText"/>
              <w:rPr>
                <w:rFonts w:ascii="Times New Roman" w:hAnsi="Times New Roman" w:cs="Times New Roman"/>
                <w:sz w:val="18"/>
                <w:szCs w:val="18"/>
              </w:rPr>
            </w:pPr>
            <w:r>
              <w:rPr>
                <w:rFonts w:ascii="Times New Roman" w:hAnsi="Times New Roman" w:cs="Times New Roman"/>
                <w:sz w:val="18"/>
                <w:szCs w:val="18"/>
              </w:rPr>
              <w:t xml:space="preserve">(7) </w:t>
            </w:r>
            <w:r>
              <w:rPr>
                <w:rFonts w:ascii="Times New Roman" w:hAnsi="Times New Roman" w:cs="Times New Roman"/>
                <w:sz w:val="18"/>
              </w:rPr>
              <w:t>Ak nadobúdateľom podielu na základnom imaní poisťovne alebo zaisťovne alebo na hlasovacích právach uvedených v odseku 1 písm. a) je zahraničná poisťovňa alebo zahraničná zaisťovňa so sídlom v inom členskom štáte, zahraničná banka so sídlom v inom členskom štáte, zahraničný obchodník s cennými papiermi so sídlom v inom členskom štáte, materská spoločnosť zahraničnej poisťovne alebo zahraničnej zaisťovne alebo osoba kontrolujúca takéto osoby, a ak v dôsledku získania podielu podľa odseku 1 písm a) touto osobou by sa poisťovňa alebo zaisťovňa stala dcérskou spoločnosťou tejto osoby, alebo prejde pod kontrolu tejto osoby, udelenie predchádzajúceho súhlasu podľa odseku 1 písm. a) je úrad povinný prerokovať s orgánni dohľadz iného členského štátu podľa § 8</w:t>
            </w:r>
          </w:p>
          <w:p>
            <w:pPr>
              <w:pStyle w:val="TABUKA-textsmernice"/>
              <w:rPr>
                <w:rFonts w:ascii="Times New Roman" w:hAnsi="Times New Roman" w:cs="Times New Roman"/>
                <w:sz w:val="18"/>
                <w:szCs w:val="18"/>
              </w:rPr>
            </w:pPr>
          </w:p>
          <w:p>
            <w:pPr>
              <w:pStyle w:val="BodyText"/>
              <w:rPr>
                <w:rFonts w:ascii="Times New Roman" w:hAnsi="Times New Roman" w:cs="Times New Roman"/>
                <w:bCs/>
                <w:sz w:val="18"/>
                <w:szCs w:val="18"/>
              </w:rPr>
            </w:pPr>
            <w:r>
              <w:rPr>
                <w:rFonts w:ascii="Times New Roman" w:hAnsi="Times New Roman" w:cs="Times New Roman"/>
                <w:bCs/>
                <w:sz w:val="18"/>
                <w:szCs w:val="18"/>
              </w:rPr>
              <w:t>(4) Za porušenie povinnosti mlčanlivosti podľa odseku 1 sa nepovažuje výmena informácií medzi</w:t>
            </w:r>
          </w:p>
          <w:p>
            <w:pPr>
              <w:pStyle w:val="BodyText"/>
              <w:rPr>
                <w:rFonts w:ascii="Times New Roman" w:hAnsi="Times New Roman" w:cs="Times New Roman"/>
                <w:bCs/>
                <w:sz w:val="18"/>
                <w:szCs w:val="18"/>
              </w:rPr>
            </w:pPr>
          </w:p>
          <w:p>
            <w:pPr>
              <w:pStyle w:val="BodyText"/>
              <w:rPr>
                <w:rFonts w:ascii="Times New Roman" w:hAnsi="Times New Roman" w:cs="Times New Roman"/>
                <w:bCs/>
                <w:sz w:val="18"/>
                <w:szCs w:val="18"/>
              </w:rPr>
            </w:pPr>
            <w:r>
              <w:rPr>
                <w:rFonts w:ascii="Times New Roman" w:hAnsi="Times New Roman" w:cs="Times New Roman"/>
                <w:bCs/>
                <w:sz w:val="18"/>
                <w:szCs w:val="18"/>
              </w:rPr>
              <w:t xml:space="preserve">b) úradom, ak mu boli informácie poskytnuté podľa odseku 3 písm. a), a </w:t>
            </w:r>
          </w:p>
          <w:p>
            <w:pPr>
              <w:pStyle w:val="BodyText"/>
              <w:rPr>
                <w:rFonts w:ascii="Times New Roman" w:hAnsi="Times New Roman" w:cs="Times New Roman"/>
                <w:bCs/>
                <w:sz w:val="18"/>
                <w:szCs w:val="18"/>
              </w:rPr>
            </w:pPr>
            <w:r>
              <w:rPr>
                <w:rFonts w:ascii="Times New Roman" w:hAnsi="Times New Roman" w:cs="Times New Roman"/>
                <w:bCs/>
                <w:sz w:val="18"/>
                <w:szCs w:val="18"/>
              </w:rPr>
              <w:t>1. orgánmi bankového dohľadu  iných členských štátov alebo orgánmi dohľadu nad finančnými inštitúciami iných členských štátov,</w:t>
            </w:r>
          </w:p>
          <w:p>
            <w:pPr>
              <w:pStyle w:val="BodyText"/>
              <w:rPr>
                <w:rFonts w:ascii="Times New Roman" w:hAnsi="Times New Roman" w:cs="Times New Roman"/>
                <w:bCs/>
                <w:sz w:val="18"/>
                <w:szCs w:val="18"/>
              </w:rPr>
            </w:pPr>
            <w:r>
              <w:rPr>
                <w:rFonts w:ascii="Times New Roman" w:hAnsi="Times New Roman" w:cs="Times New Roman"/>
                <w:bCs/>
                <w:sz w:val="18"/>
                <w:szCs w:val="18"/>
              </w:rPr>
              <w:t>2. osobami z iného členského štátu alebo z iného ako členského štátu, ktoré sa podieľajú na konkurze alebo likvidácii poisťovne z iného členského štátu alebo zahraničnej zaisťovne, a orgánmi, ktoré vykonávajú nad týmito osobami dohľad,</w:t>
            </w:r>
          </w:p>
          <w:p>
            <w:pPr>
              <w:pStyle w:val="BodyText"/>
              <w:rPr>
                <w:rFonts w:ascii="Times New Roman" w:hAnsi="Times New Roman" w:cs="Times New Roman"/>
                <w:bCs/>
                <w:sz w:val="18"/>
                <w:szCs w:val="18"/>
              </w:rPr>
            </w:pPr>
            <w:r>
              <w:rPr>
                <w:rFonts w:ascii="Times New Roman" w:hAnsi="Times New Roman" w:cs="Times New Roman"/>
                <w:bCs/>
                <w:sz w:val="18"/>
                <w:szCs w:val="18"/>
              </w:rPr>
              <w:t>3. audítormi z iných členských štátov alebo z iných ako členských štátov, ktorí overujú účtovnú závierku poisťovne z iného členského štátu, zahraničnej zaisťovne a finančných inštitúcií so sídlom v iných členských štátoch, a orgánmi, ktoré vykonávajú nad týmito audítormi dohľad,</w:t>
            </w:r>
          </w:p>
          <w:p>
            <w:pPr>
              <w:pStyle w:val="BodyText2"/>
              <w:overflowPunct w:val="0"/>
              <w:autoSpaceDE/>
              <w:autoSpaceDN/>
              <w:spacing w:after="0" w:line="240" w:lineRule="auto"/>
              <w:ind w:firstLine="0"/>
              <w:textAlignment w:val="baseline"/>
              <w:rPr>
                <w:rFonts w:ascii="Times New Roman" w:hAnsi="Times New Roman" w:cs="Times New Roman"/>
                <w:bCs/>
                <w:strike/>
                <w:sz w:val="18"/>
                <w:szCs w:val="18"/>
                <w:lang w:val="sk-SK"/>
              </w:rPr>
            </w:pPr>
            <w:r>
              <w:rPr>
                <w:rFonts w:ascii="Times New Roman" w:hAnsi="Times New Roman" w:cs="Times New Roman"/>
                <w:bCs/>
                <w:sz w:val="18"/>
                <w:szCs w:val="18"/>
                <w:lang w:val="sk-SK"/>
              </w:rPr>
              <w:t>4. osobami z iných členských štátov, ktoré vykonávajú činnosť zodpovedného aktuára, a orgánmi, ktoré vykonávajú nad nimi dohľad.</w:t>
            </w:r>
          </w:p>
          <w:p>
            <w:pPr>
              <w:pStyle w:val="TABUKA-textsmernice"/>
              <w:rPr>
                <w:rFonts w:ascii="Times New Roman" w:hAnsi="Times New Roman" w:cs="Times New Roman"/>
                <w:i/>
                <w:sz w:val="18"/>
                <w:szCs w:val="18"/>
              </w:rPr>
            </w:pPr>
          </w:p>
          <w:p>
            <w:pPr>
              <w:pStyle w:val="BodyText"/>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Ú</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109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6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7"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Čl. 26</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spacing w:after="0"/>
              <w:rPr>
                <w:rFonts w:ascii="Times New Roman" w:hAnsi="Times New Roman" w:cs="Times New Roman"/>
                <w:b/>
                <w:sz w:val="18"/>
                <w:szCs w:val="18"/>
                <w:lang w:val="sk-SK"/>
              </w:rPr>
            </w:pPr>
            <w:r>
              <w:rPr>
                <w:rFonts w:ascii="Times New Roman" w:hAnsi="Times New Roman" w:cs="Times New Roman"/>
                <w:b/>
                <w:sz w:val="18"/>
                <w:szCs w:val="18"/>
                <w:lang w:val="sk-SK"/>
              </w:rPr>
              <w:t>Zmeny  a doplnky smernice 93/6/EHS</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V článku 7 ods. 3  smernice 93/6/EHS sa prvá a druhá odrážka nahrádza týmto textom:</w:t>
            </w:r>
          </w:p>
          <w:p>
            <w:pPr>
              <w:spacing w:after="0"/>
              <w:ind w:firstLine="0"/>
              <w:jc w:val="left"/>
              <w:rPr>
                <w:rFonts w:ascii="Times New Roman" w:hAnsi="Times New Roman" w:cs="Times New Roman"/>
                <w:sz w:val="18"/>
                <w:szCs w:val="18"/>
                <w:lang w:val="sk-SK"/>
              </w:rPr>
            </w:pPr>
            <w:r>
              <w:rPr>
                <w:rFonts w:ascii="Times New Roman" w:hAnsi="Times New Roman" w:cs="Times New Roman"/>
                <w:sz w:val="18"/>
                <w:szCs w:val="18"/>
                <w:lang w:val="sk-SK"/>
              </w:rPr>
              <w:t xml:space="preserve"> -      „finančná holdingová spoločnosť“ znamená finančný ústav, ktorého dcérske spoločnosti sú buď výhradne alebo prevažne investičné firmy alebo iné finančné ústavy, z ktorých aspoň jedna je investičnou firmou, a ktorý nie je zmiešanou finančnou holdingovou spoločnosťou v zmysle smernice 2002/87/ES Európskeho parlamentu a Rady zo 16. decembra 2002 o doplňujúcom dohľade nad úverovými ústavmi, poisťovňami a investičnými firmami vo finančnom konglomeráte ,</w:t>
            </w:r>
          </w:p>
          <w:p>
            <w:pPr>
              <w:spacing w:after="0"/>
              <w:ind w:firstLine="0"/>
              <w:jc w:val="left"/>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 „holdingová spoločnosť so zmiešanou činnosťou“ znamená materskú spoločnosť inú ako finančná holdingová spoločnosť, investičná firma alebo zmiešaná finančná holdingová spoločnosť v zmysle smernice 2002/87/ES, ktorej aspoň jedna dcérska spoločnosť je investičná firma.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3"/>
              <w:rPr>
                <w:rFonts w:ascii="Times New Roman" w:hAnsi="Times New Roman" w:cs="Times New Roman"/>
                <w:sz w:val="18"/>
                <w:szCs w:val="18"/>
                <w:lang w:val="sk-SK"/>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52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109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Návrh zákona, ktorým sa mení a dopĺňa zákon č. 566/2001</w:t>
            </w:r>
            <w:r>
              <w:rPr>
                <w:rFonts w:ascii="Times New Roman" w:hAnsi="Times New Roman" w:cs="Times New Roman"/>
                <w:sz w:val="18"/>
                <w:szCs w:val="18"/>
              </w:rPr>
              <w:t xml:space="preserve"> Z.z. o cenných papieroch.</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6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7"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Čl. 27</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spacing w:after="0"/>
              <w:rPr>
                <w:rFonts w:ascii="Times New Roman" w:hAnsi="Times New Roman" w:cs="Times New Roman"/>
                <w:b/>
                <w:sz w:val="18"/>
                <w:szCs w:val="18"/>
                <w:lang w:val="sk-SK"/>
              </w:rPr>
            </w:pPr>
            <w:r>
              <w:rPr>
                <w:rFonts w:ascii="Times New Roman" w:hAnsi="Times New Roman" w:cs="Times New Roman"/>
                <w:b/>
                <w:sz w:val="18"/>
                <w:szCs w:val="18"/>
                <w:lang w:val="sk-SK"/>
              </w:rPr>
              <w:t>Zmeny a doplnky smernice 93/22/EHS</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Smernica 93/22/EHS sa mení a dopĺňa takto:</w:t>
            </w:r>
          </w:p>
          <w:p>
            <w:pPr>
              <w:tabs>
                <w:tab w:val="left" w:pos="426"/>
              </w:tabs>
              <w:spacing w:after="0"/>
              <w:rPr>
                <w:rFonts w:ascii="Times New Roman" w:hAnsi="Times New Roman" w:cs="Times New Roman"/>
                <w:sz w:val="18"/>
                <w:szCs w:val="18"/>
                <w:lang w:val="sk-SK"/>
              </w:rPr>
            </w:pPr>
            <w:r>
              <w:rPr>
                <w:rFonts w:ascii="Times New Roman" w:hAnsi="Times New Roman" w:cs="Times New Roman"/>
                <w:sz w:val="18"/>
                <w:szCs w:val="18"/>
                <w:lang w:val="sk-SK"/>
              </w:rPr>
              <w:t>1.</w:t>
              <w:tab/>
              <w:t>Do článku 6 sa pridávajú tieto odseky:</w:t>
            </w:r>
          </w:p>
          <w:p>
            <w:pPr>
              <w:tabs>
                <w:tab w:val="left" w:pos="355"/>
              </w:tabs>
              <w:spacing w:after="0"/>
              <w:ind w:firstLine="0"/>
              <w:jc w:val="left"/>
              <w:rPr>
                <w:rFonts w:ascii="Times New Roman" w:hAnsi="Times New Roman" w:cs="Times New Roman"/>
                <w:sz w:val="18"/>
                <w:szCs w:val="18"/>
                <w:lang w:val="sk-SK"/>
              </w:rPr>
            </w:pPr>
            <w:r>
              <w:rPr>
                <w:rFonts w:ascii="Times New Roman" w:hAnsi="Times New Roman" w:cs="Times New Roman"/>
                <w:sz w:val="18"/>
                <w:szCs w:val="18"/>
                <w:lang w:val="sk-SK"/>
              </w:rPr>
              <w:t>„S príslušným orgánom dotknutého členského štátu, ktorý je zodpovedný za dohľad nad úverovými ústavmi alebo poisťovňami, treba konzultovať pred udelením oprávnenia investičnej firme, ktorá je:</w:t>
            </w:r>
          </w:p>
          <w:p>
            <w:pPr>
              <w:tabs>
                <w:tab w:val="left" w:pos="355"/>
              </w:tabs>
              <w:spacing w:after="0"/>
              <w:ind w:firstLine="0"/>
              <w:jc w:val="left"/>
              <w:rPr>
                <w:rFonts w:ascii="Times New Roman" w:hAnsi="Times New Roman" w:cs="Times New Roman"/>
                <w:sz w:val="18"/>
                <w:szCs w:val="18"/>
                <w:lang w:val="sk-SK"/>
              </w:rPr>
            </w:pPr>
            <w:r>
              <w:rPr>
                <w:rFonts w:ascii="Times New Roman" w:hAnsi="Times New Roman" w:cs="Times New Roman"/>
                <w:sz w:val="18"/>
                <w:szCs w:val="18"/>
                <w:lang w:val="sk-SK"/>
              </w:rPr>
              <w:t xml:space="preserve"> (a)</w:t>
              <w:tab/>
              <w:t>dcérskou spoločnosťou úverového ústavu alebo poisťovne oprávnenej v Spoločenstve,</w:t>
            </w:r>
          </w:p>
          <w:p>
            <w:pPr>
              <w:tabs>
                <w:tab w:val="left" w:pos="355"/>
                <w:tab w:val="left" w:pos="426"/>
              </w:tabs>
              <w:spacing w:after="0"/>
              <w:ind w:firstLine="0"/>
              <w:jc w:val="left"/>
              <w:rPr>
                <w:rFonts w:ascii="Times New Roman" w:hAnsi="Times New Roman" w:cs="Times New Roman"/>
                <w:sz w:val="18"/>
                <w:szCs w:val="18"/>
                <w:lang w:val="sk-SK"/>
              </w:rPr>
            </w:pPr>
            <w:r>
              <w:rPr>
                <w:rFonts w:ascii="Times New Roman" w:hAnsi="Times New Roman" w:cs="Times New Roman"/>
                <w:sz w:val="18"/>
                <w:szCs w:val="18"/>
                <w:lang w:val="sk-SK"/>
              </w:rPr>
              <w:t>(b)</w:t>
              <w:tab/>
              <w:t>dcérskou spoločnosťou materskej spoločnosti úverového ústavu alebo poisťovne oprávnenej v Spoločenstve alebo</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(c) </w:t>
              <w:tab/>
              <w:t>kontrolovaná tou istou osobou, fyzickou alebo právnickou, ktorá kontroluje úverový ústav alebo poisťovňu oprávnenú v Spoločenstve.</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Príslušné kompetentné orgány ustanovené v prvom a druhom odseku musia konzultovať navzájom najmä pri hodnotení vhodnosti akcionárov a dobrej povesti a skúseností riaditeľov angažovaných v manažmente iného subjektu tej istej skupiny. Musia sa vzájomne informovať o všetkých informáciách týkajúcich sa vhodnosti akcionárov a dobrej povesti a skúseností riaditeľov, ktoré sú dôležité pre ostatné zainteresované príslušné orgány pri udeľovaní oprávnenia, ako aj pri stálom hodnotení dodržiavania podmienok činnosti.“</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tabs>
                <w:tab w:val="left" w:pos="426"/>
              </w:tabs>
              <w:spacing w:after="0"/>
              <w:rPr>
                <w:rFonts w:ascii="Times New Roman" w:hAnsi="Times New Roman" w:cs="Times New Roman"/>
                <w:sz w:val="18"/>
                <w:szCs w:val="18"/>
                <w:lang w:val="sk-SK"/>
              </w:rPr>
            </w:pPr>
            <w:r>
              <w:rPr>
                <w:rFonts w:ascii="Times New Roman" w:hAnsi="Times New Roman" w:cs="Times New Roman"/>
                <w:sz w:val="18"/>
                <w:szCs w:val="18"/>
                <w:lang w:val="sk-SK"/>
              </w:rPr>
              <w:t>2.</w:t>
              <w:tab/>
              <w:t>Článok 9 ods. 2 sa nahrádza týmto znením:</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„2.</w:t>
              <w:tab/>
              <w:t>Ak nadobúdateľ vlastníckeho podielu, ktorý sa ustanovuje v odseku 1, je investičnou firmou, úverovým ústavom alebo poisťovňou oprávnenou v inom členskom štáte resp. materskou spoločnosťou investičnej firmy, úverového ústavu alebo poisťovne oprávnenej v inom členskom štáte alebo je fyzickou alebo právnickou osobou kontrolujúcou investičnú firmu, úverový ústav alebo poisťovňu oprávnenú v inom členskom štáte a ak v dôsledku tohto nadobudnutia spoločnosť, v ktorej nadobúdateľ plánuje vlastniť daný podiel, sa stane dcérskou spoločnosťou alebo prejde pod kontrolu nadobúdateľa, vyhodnotenie tejto akvizície musí byť predmetom predchádzajúcej konzultácie, ktorá sa ustanovuje v článku 6.“</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3"/>
              <w:rPr>
                <w:rFonts w:ascii="Times New Roman" w:hAnsi="Times New Roman" w:cs="Times New Roman"/>
                <w:sz w:val="18"/>
                <w:szCs w:val="18"/>
                <w:lang w:val="sk-SK"/>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52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109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Návrh zákona, ktorým sa mení a dopĺňa zákon č. 566/2001 Z.z. o cenných papieroch.</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6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7"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jc w:val="left"/>
              <w:rPr>
                <w:rFonts w:ascii="Times New Roman" w:hAnsi="Times New Roman" w:cs="Times New Roman"/>
                <w:sz w:val="18"/>
                <w:szCs w:val="18"/>
              </w:rPr>
            </w:pPr>
            <w:r>
              <w:rPr>
                <w:rFonts w:ascii="Times New Roman" w:hAnsi="Times New Roman" w:cs="Times New Roman"/>
                <w:sz w:val="18"/>
                <w:szCs w:val="18"/>
              </w:rPr>
              <w:t>Čl. 2</w:t>
            </w:r>
            <w:r>
              <w:rPr>
                <w:rFonts w:ascii="Times New Roman" w:hAnsi="Times New Roman" w:cs="Times New Roman"/>
                <w:sz w:val="18"/>
                <w:szCs w:val="18"/>
              </w:rPr>
              <w:t>8</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spacing w:after="0"/>
              <w:jc w:val="left"/>
              <w:rPr>
                <w:rFonts w:ascii="Times New Roman" w:hAnsi="Times New Roman" w:cs="Times New Roman"/>
                <w:b/>
                <w:bCs/>
                <w:sz w:val="18"/>
                <w:szCs w:val="18"/>
                <w:lang w:val="sk-SK"/>
              </w:rPr>
            </w:pPr>
            <w:r>
              <w:rPr>
                <w:rFonts w:ascii="Times New Roman" w:hAnsi="Times New Roman" w:cs="Times New Roman"/>
                <w:b/>
                <w:bCs/>
                <w:sz w:val="18"/>
                <w:szCs w:val="18"/>
                <w:lang w:val="sk-SK"/>
              </w:rPr>
              <w:t>Zmeny a doplnky smernice 98/78/ES</w:t>
            </w:r>
          </w:p>
          <w:p>
            <w:pPr>
              <w:spacing w:after="0"/>
              <w:jc w:val="left"/>
              <w:rPr>
                <w:rFonts w:ascii="Times New Roman" w:hAnsi="Times New Roman" w:cs="Times New Roman"/>
                <w:sz w:val="18"/>
                <w:szCs w:val="18"/>
                <w:lang w:val="sk-SK"/>
              </w:rPr>
            </w:pPr>
          </w:p>
          <w:p>
            <w:pPr>
              <w:spacing w:after="0"/>
              <w:jc w:val="left"/>
              <w:rPr>
                <w:rFonts w:ascii="Times New Roman" w:hAnsi="Times New Roman" w:cs="Times New Roman"/>
                <w:sz w:val="18"/>
                <w:szCs w:val="18"/>
                <w:lang w:val="sk-SK"/>
              </w:rPr>
            </w:pPr>
            <w:r>
              <w:rPr>
                <w:rFonts w:ascii="Times New Roman" w:hAnsi="Times New Roman" w:cs="Times New Roman"/>
                <w:sz w:val="18"/>
                <w:szCs w:val="18"/>
                <w:lang w:val="sk-SK"/>
              </w:rPr>
              <w:t>Smernica 98/78/ES sa mení a dopĺňa takto:</w:t>
            </w:r>
          </w:p>
          <w:p>
            <w:pPr>
              <w:tabs>
                <w:tab w:val="left" w:pos="426"/>
              </w:tabs>
              <w:spacing w:after="0"/>
              <w:ind w:firstLine="0"/>
              <w:jc w:val="left"/>
              <w:rPr>
                <w:rFonts w:ascii="Times New Roman" w:hAnsi="Times New Roman" w:cs="Times New Roman"/>
                <w:sz w:val="18"/>
                <w:szCs w:val="18"/>
                <w:lang w:val="sk-SK"/>
              </w:rPr>
            </w:pPr>
            <w:r>
              <w:rPr>
                <w:rFonts w:ascii="Times New Roman" w:hAnsi="Times New Roman" w:cs="Times New Roman"/>
                <w:sz w:val="18"/>
                <w:szCs w:val="18"/>
                <w:lang w:val="sk-SK"/>
              </w:rPr>
              <w:t>1.</w:t>
              <w:tab/>
              <w:t>V článku 1 sa body (g), (h), (i) a (j) nahrádzajú týmto znením:</w:t>
            </w:r>
          </w:p>
          <w:p>
            <w:pPr>
              <w:spacing w:after="0"/>
              <w:jc w:val="left"/>
              <w:rPr>
                <w:rFonts w:ascii="Times New Roman" w:hAnsi="Times New Roman" w:cs="Times New Roman"/>
                <w:sz w:val="18"/>
                <w:szCs w:val="18"/>
                <w:lang w:val="sk-SK"/>
              </w:rPr>
            </w:pPr>
          </w:p>
          <w:p>
            <w:pPr>
              <w:spacing w:after="0"/>
              <w:jc w:val="left"/>
              <w:rPr>
                <w:rFonts w:ascii="Times New Roman" w:hAnsi="Times New Roman" w:cs="Times New Roman"/>
                <w:sz w:val="18"/>
                <w:szCs w:val="18"/>
                <w:lang w:val="sk-SK"/>
              </w:rPr>
            </w:pPr>
            <w:r>
              <w:rPr>
                <w:rFonts w:ascii="Times New Roman" w:hAnsi="Times New Roman" w:cs="Times New Roman"/>
                <w:sz w:val="18"/>
                <w:szCs w:val="18"/>
                <w:lang w:val="sk-SK"/>
              </w:rPr>
              <w:t>„(g)</w:t>
              <w:tab/>
              <w:t>„spoločnosť vlastniaca majetkovú účasť“ znamená spoločnosť, ktorá je buď materskou spoločnosťou alebo inou spoločnosťou, ktorá vlastní majetkovú účasť, alebo spoločnosťou spojenou s inou spoločnosťou vzťahom v zmysle článku 12 ods. 1 smernice 83/349/EHS;</w:t>
            </w:r>
          </w:p>
          <w:p>
            <w:pPr>
              <w:tabs>
                <w:tab w:val="left" w:pos="355"/>
                <w:tab w:val="left" w:pos="426"/>
              </w:tabs>
              <w:spacing w:after="0"/>
              <w:ind w:firstLine="0"/>
              <w:jc w:val="left"/>
              <w:rPr>
                <w:rFonts w:ascii="Times New Roman" w:hAnsi="Times New Roman" w:cs="Times New Roman"/>
                <w:sz w:val="18"/>
                <w:szCs w:val="18"/>
                <w:lang w:val="sk-SK"/>
              </w:rPr>
            </w:pPr>
          </w:p>
          <w:p>
            <w:pPr>
              <w:tabs>
                <w:tab w:val="left" w:pos="355"/>
                <w:tab w:val="left" w:pos="426"/>
              </w:tabs>
              <w:spacing w:after="0"/>
              <w:ind w:firstLine="0"/>
              <w:jc w:val="left"/>
              <w:rPr>
                <w:rFonts w:ascii="Times New Roman" w:hAnsi="Times New Roman" w:cs="Times New Roman"/>
                <w:sz w:val="18"/>
                <w:szCs w:val="18"/>
                <w:lang w:val="sk-SK"/>
              </w:rPr>
            </w:pPr>
            <w:r>
              <w:rPr>
                <w:rFonts w:ascii="Times New Roman" w:hAnsi="Times New Roman" w:cs="Times New Roman"/>
                <w:sz w:val="18"/>
                <w:szCs w:val="18"/>
                <w:lang w:val="sk-SK"/>
              </w:rPr>
              <w:t xml:space="preserve">(h)  </w:t>
              <w:tab/>
              <w:t>„pridružená spoločnosť“ znamená buď dcérsku alebo inú spoločnosť, v ktorej je držaná majetková účasť, alebo spoločnosť spojenú s inou spoločnosťou vzťahom v zmysle článku 12 ods. 1 smernice 83/349/EHS;</w:t>
            </w:r>
          </w:p>
          <w:p>
            <w:pPr>
              <w:tabs>
                <w:tab w:val="left" w:pos="426"/>
                <w:tab w:val="left" w:pos="497"/>
              </w:tabs>
              <w:spacing w:after="0"/>
              <w:ind w:firstLine="0"/>
              <w:jc w:val="left"/>
              <w:rPr>
                <w:rFonts w:ascii="Times New Roman" w:hAnsi="Times New Roman" w:cs="Times New Roman"/>
                <w:sz w:val="18"/>
                <w:szCs w:val="18"/>
                <w:lang w:val="sk-SK"/>
              </w:rPr>
            </w:pPr>
          </w:p>
          <w:p>
            <w:pPr>
              <w:tabs>
                <w:tab w:val="left" w:pos="426"/>
                <w:tab w:val="left" w:pos="497"/>
              </w:tabs>
              <w:spacing w:after="0"/>
              <w:ind w:firstLine="0"/>
              <w:jc w:val="left"/>
              <w:rPr>
                <w:rFonts w:ascii="Times New Roman" w:hAnsi="Times New Roman" w:cs="Times New Roman"/>
                <w:sz w:val="18"/>
                <w:szCs w:val="18"/>
                <w:lang w:val="sk-SK"/>
              </w:rPr>
            </w:pPr>
          </w:p>
          <w:p>
            <w:pPr>
              <w:tabs>
                <w:tab w:val="left" w:pos="426"/>
                <w:tab w:val="left" w:pos="497"/>
              </w:tabs>
              <w:spacing w:after="0"/>
              <w:ind w:firstLine="0"/>
              <w:jc w:val="left"/>
              <w:rPr>
                <w:rFonts w:ascii="Times New Roman" w:hAnsi="Times New Roman" w:cs="Times New Roman"/>
                <w:sz w:val="18"/>
                <w:szCs w:val="18"/>
                <w:lang w:val="sk-SK"/>
              </w:rPr>
            </w:pPr>
            <w:r>
              <w:rPr>
                <w:rFonts w:ascii="Times New Roman" w:hAnsi="Times New Roman" w:cs="Times New Roman"/>
                <w:sz w:val="18"/>
                <w:szCs w:val="18"/>
                <w:lang w:val="sk-SK"/>
              </w:rPr>
              <w:t xml:space="preserve">(i)   </w:t>
              <w:tab/>
              <w:t>„poisťovacia holdingová spoločnosť“ znamená materskú spoločnosť, ktorej hlavnou obchodnou činnosťou je nadobúdať a držať majetkové účasti v dcérskych spoločnostiach, kde týmito dcérskymi spoločnosťami sú výhradne alebo hlavne poisťovne, zaisťovne alebo poisťovne nečlenských štátov, pričom aspoň jedna z týchto dcérskych spoločností je poisťovňa, a ktorá nie je zmiešanou finančnou holdingovou spoločnosťou v zmysle smernice 2002/87/ES Európskeho parlamentu a Rady zo 16. decembra 2002 o doplňujúcom dohľade nad úverovými ústavmi, poisťovňami a investičnými firmami vo finančnom konglomeráte;</w:t>
            </w:r>
          </w:p>
          <w:p>
            <w:pPr>
              <w:spacing w:after="0"/>
              <w:jc w:val="left"/>
              <w:rPr>
                <w:rFonts w:ascii="Times New Roman" w:hAnsi="Times New Roman" w:cs="Times New Roman"/>
                <w:sz w:val="18"/>
                <w:szCs w:val="18"/>
                <w:lang w:val="sk-SK"/>
              </w:rPr>
            </w:pPr>
          </w:p>
          <w:p>
            <w:pPr>
              <w:spacing w:after="0"/>
              <w:jc w:val="left"/>
              <w:rPr>
                <w:rFonts w:ascii="Times New Roman" w:hAnsi="Times New Roman" w:cs="Times New Roman"/>
                <w:sz w:val="18"/>
                <w:szCs w:val="18"/>
                <w:lang w:val="sk-SK"/>
              </w:rPr>
            </w:pPr>
            <w:r>
              <w:rPr>
                <w:rFonts w:ascii="Times New Roman" w:hAnsi="Times New Roman" w:cs="Times New Roman"/>
                <w:sz w:val="18"/>
                <w:szCs w:val="18"/>
                <w:lang w:val="sk-SK"/>
              </w:rPr>
              <w:t>(j) „poisťovacia holdingová spoločnosť so zmiešanou činnosťou“ znamená materskú spoločnosť inú ako poisťovňa, poisťovňa nečlenských štátov, zaisťovňa, poisťovacia holdingová spoločnosť alebo zmiešaná finančná holdingová spoločnosť v zmysle smernice 2002/87/ES, ktorej aspoň jedna dcérska spoločnosť je poisťovňa.</w:t>
            </w:r>
          </w:p>
          <w:p>
            <w:pPr>
              <w:tabs>
                <w:tab w:val="left" w:pos="426"/>
                <w:tab w:val="left" w:pos="851"/>
              </w:tabs>
              <w:spacing w:after="0"/>
              <w:jc w:val="left"/>
              <w:rPr>
                <w:rFonts w:ascii="Times New Roman" w:hAnsi="Times New Roman" w:cs="Times New Roman"/>
                <w:sz w:val="18"/>
                <w:szCs w:val="18"/>
                <w:lang w:val="sk-SK"/>
              </w:rPr>
            </w:pPr>
          </w:p>
          <w:p>
            <w:pPr>
              <w:tabs>
                <w:tab w:val="left" w:pos="426"/>
                <w:tab w:val="left" w:pos="851"/>
              </w:tabs>
              <w:spacing w:after="0"/>
              <w:jc w:val="left"/>
              <w:rPr>
                <w:rFonts w:ascii="Times New Roman" w:hAnsi="Times New Roman" w:cs="Times New Roman"/>
                <w:sz w:val="18"/>
                <w:szCs w:val="18"/>
                <w:lang w:val="sk-SK"/>
              </w:rPr>
            </w:pPr>
            <w:r>
              <w:rPr>
                <w:rFonts w:ascii="Times New Roman" w:hAnsi="Times New Roman" w:cs="Times New Roman"/>
                <w:sz w:val="18"/>
                <w:szCs w:val="18"/>
                <w:lang w:val="sk-SK"/>
              </w:rPr>
              <w:t>2.</w:t>
              <w:tab/>
              <w:t>Do článku 6 ods. 3 sa pridáva táto veta:</w:t>
            </w:r>
          </w:p>
          <w:p>
            <w:pPr>
              <w:tabs>
                <w:tab w:val="left" w:pos="426"/>
                <w:tab w:val="left" w:pos="851"/>
              </w:tabs>
              <w:spacing w:after="0"/>
              <w:jc w:val="left"/>
              <w:rPr>
                <w:rFonts w:ascii="Times New Roman" w:hAnsi="Times New Roman" w:cs="Times New Roman"/>
                <w:sz w:val="18"/>
                <w:szCs w:val="18"/>
                <w:lang w:val="sk-SK"/>
              </w:rPr>
            </w:pPr>
            <w:r>
              <w:rPr>
                <w:rFonts w:ascii="Times New Roman" w:hAnsi="Times New Roman" w:cs="Times New Roman"/>
                <w:sz w:val="18"/>
                <w:szCs w:val="18"/>
                <w:lang w:val="sk-SK"/>
              </w:rPr>
              <w:t>„Príslušný orgán, ktorý dal žiadosť, sa môže, ak chce, zúčastniť na overovaní, ak overovanie nevykonáva sám.“</w:t>
            </w:r>
          </w:p>
          <w:p>
            <w:pPr>
              <w:tabs>
                <w:tab w:val="left" w:pos="426"/>
                <w:tab w:val="left" w:pos="851"/>
              </w:tabs>
              <w:spacing w:after="0"/>
              <w:jc w:val="left"/>
              <w:rPr>
                <w:rFonts w:ascii="Times New Roman" w:hAnsi="Times New Roman" w:cs="Times New Roman"/>
                <w:sz w:val="18"/>
                <w:szCs w:val="18"/>
                <w:lang w:val="sk-SK"/>
              </w:rPr>
            </w:pPr>
          </w:p>
          <w:p>
            <w:pPr>
              <w:tabs>
                <w:tab w:val="left" w:pos="426"/>
                <w:tab w:val="left" w:pos="851"/>
              </w:tabs>
              <w:spacing w:after="0"/>
              <w:jc w:val="left"/>
              <w:rPr>
                <w:rFonts w:ascii="Times New Roman" w:hAnsi="Times New Roman" w:cs="Times New Roman"/>
                <w:sz w:val="18"/>
                <w:szCs w:val="18"/>
                <w:lang w:val="sk-SK"/>
              </w:rPr>
            </w:pPr>
            <w:r>
              <w:rPr>
                <w:rFonts w:ascii="Times New Roman" w:hAnsi="Times New Roman" w:cs="Times New Roman"/>
                <w:sz w:val="18"/>
                <w:szCs w:val="18"/>
                <w:lang w:val="sk-SK"/>
              </w:rPr>
              <w:t>3.V článku 8 ods. 2 sa prvý pododsek nahrádza týmto textom:</w:t>
            </w:r>
          </w:p>
          <w:p>
            <w:pPr>
              <w:spacing w:after="0"/>
              <w:jc w:val="left"/>
              <w:rPr>
                <w:rFonts w:ascii="Times New Roman" w:hAnsi="Times New Roman" w:cs="Times New Roman"/>
                <w:sz w:val="18"/>
                <w:szCs w:val="18"/>
                <w:lang w:val="sk-SK"/>
              </w:rPr>
            </w:pPr>
          </w:p>
          <w:p>
            <w:pPr>
              <w:spacing w:after="0"/>
              <w:jc w:val="left"/>
              <w:rPr>
                <w:rFonts w:ascii="Times New Roman" w:hAnsi="Times New Roman" w:cs="Times New Roman"/>
                <w:sz w:val="18"/>
                <w:szCs w:val="18"/>
                <w:lang w:val="sk-SK"/>
              </w:rPr>
            </w:pPr>
            <w:r>
              <w:rPr>
                <w:rFonts w:ascii="Times New Roman" w:hAnsi="Times New Roman" w:cs="Times New Roman"/>
                <w:sz w:val="18"/>
                <w:szCs w:val="18"/>
                <w:lang w:val="sk-SK"/>
              </w:rPr>
              <w:t>„Členské štáty musia vyžadovať, aby poisťovne mali zavedené primerané postupy riadenia rizík a mechanizmy vnútornej kontroly vrátane správnych spravodajských a účtovných postupov, aby primerane identifikovali, merali, monitorovali a kontrolovali transakcie ustanovené v odseku 1. Členské štáty musia tiež vyžadovať, aby poisťovne aspoň raz ročne podávali správy príslušným orgánom o významných transakciách. Tieto postupy a mechanizmy podliehajú kontrole príslušných orgánov.“</w:t>
            </w:r>
          </w:p>
          <w:p>
            <w:pPr>
              <w:tabs>
                <w:tab w:val="left" w:pos="426"/>
                <w:tab w:val="left" w:pos="851"/>
              </w:tabs>
              <w:spacing w:after="0"/>
              <w:jc w:val="left"/>
              <w:rPr>
                <w:rFonts w:ascii="Times New Roman" w:hAnsi="Times New Roman" w:cs="Times New Roman"/>
                <w:sz w:val="18"/>
                <w:szCs w:val="18"/>
                <w:lang w:val="sk-SK"/>
              </w:rPr>
            </w:pPr>
          </w:p>
          <w:p>
            <w:pPr>
              <w:tabs>
                <w:tab w:val="left" w:pos="426"/>
                <w:tab w:val="left" w:pos="851"/>
              </w:tabs>
              <w:spacing w:after="0"/>
              <w:jc w:val="left"/>
              <w:rPr>
                <w:rFonts w:ascii="Times New Roman" w:hAnsi="Times New Roman" w:cs="Times New Roman"/>
                <w:sz w:val="18"/>
                <w:szCs w:val="18"/>
                <w:lang w:val="sk-SK"/>
              </w:rPr>
            </w:pPr>
          </w:p>
          <w:p>
            <w:pPr>
              <w:tabs>
                <w:tab w:val="left" w:pos="426"/>
                <w:tab w:val="left" w:pos="851"/>
              </w:tabs>
              <w:spacing w:after="0"/>
              <w:jc w:val="left"/>
              <w:rPr>
                <w:rFonts w:ascii="Times New Roman" w:hAnsi="Times New Roman" w:cs="Times New Roman"/>
                <w:sz w:val="18"/>
                <w:szCs w:val="18"/>
                <w:lang w:val="sk-SK"/>
              </w:rPr>
            </w:pPr>
          </w:p>
          <w:p>
            <w:pPr>
              <w:tabs>
                <w:tab w:val="left" w:pos="426"/>
                <w:tab w:val="left" w:pos="851"/>
              </w:tabs>
              <w:spacing w:after="0"/>
              <w:jc w:val="left"/>
              <w:rPr>
                <w:rFonts w:ascii="Times New Roman" w:hAnsi="Times New Roman" w:cs="Times New Roman"/>
                <w:sz w:val="18"/>
                <w:szCs w:val="18"/>
                <w:lang w:val="sk-SK"/>
              </w:rPr>
            </w:pPr>
          </w:p>
          <w:p>
            <w:pPr>
              <w:tabs>
                <w:tab w:val="left" w:pos="426"/>
                <w:tab w:val="left" w:pos="851"/>
              </w:tabs>
              <w:spacing w:after="0"/>
              <w:jc w:val="left"/>
              <w:rPr>
                <w:rFonts w:ascii="Times New Roman" w:hAnsi="Times New Roman" w:cs="Times New Roman"/>
                <w:sz w:val="18"/>
                <w:szCs w:val="18"/>
                <w:lang w:val="sk-SK"/>
              </w:rPr>
            </w:pPr>
          </w:p>
          <w:p>
            <w:pPr>
              <w:tabs>
                <w:tab w:val="left" w:pos="426"/>
                <w:tab w:val="left" w:pos="851"/>
              </w:tabs>
              <w:spacing w:after="0"/>
              <w:jc w:val="left"/>
              <w:rPr>
                <w:rFonts w:ascii="Times New Roman" w:hAnsi="Times New Roman" w:cs="Times New Roman"/>
                <w:sz w:val="18"/>
                <w:szCs w:val="18"/>
                <w:lang w:val="sk-SK"/>
              </w:rPr>
            </w:pPr>
          </w:p>
          <w:p>
            <w:pPr>
              <w:tabs>
                <w:tab w:val="left" w:pos="426"/>
                <w:tab w:val="left" w:pos="851"/>
              </w:tabs>
              <w:spacing w:after="0"/>
              <w:jc w:val="left"/>
              <w:rPr>
                <w:rFonts w:ascii="Times New Roman" w:hAnsi="Times New Roman" w:cs="Times New Roman"/>
                <w:sz w:val="18"/>
                <w:szCs w:val="18"/>
                <w:lang w:val="sk-SK"/>
              </w:rPr>
            </w:pPr>
          </w:p>
          <w:p>
            <w:pPr>
              <w:tabs>
                <w:tab w:val="left" w:pos="426"/>
                <w:tab w:val="left" w:pos="851"/>
              </w:tabs>
              <w:spacing w:after="0"/>
              <w:jc w:val="left"/>
              <w:rPr>
                <w:rFonts w:ascii="Times New Roman" w:hAnsi="Times New Roman" w:cs="Times New Roman"/>
                <w:sz w:val="18"/>
                <w:szCs w:val="18"/>
                <w:lang w:val="sk-SK"/>
              </w:rPr>
            </w:pPr>
          </w:p>
          <w:p>
            <w:pPr>
              <w:tabs>
                <w:tab w:val="left" w:pos="426"/>
                <w:tab w:val="left" w:pos="851"/>
              </w:tabs>
              <w:spacing w:after="0"/>
              <w:jc w:val="left"/>
              <w:rPr>
                <w:rFonts w:ascii="Times New Roman" w:hAnsi="Times New Roman" w:cs="Times New Roman"/>
                <w:sz w:val="18"/>
                <w:szCs w:val="18"/>
                <w:lang w:val="sk-SK"/>
              </w:rPr>
            </w:pPr>
          </w:p>
          <w:p>
            <w:pPr>
              <w:tabs>
                <w:tab w:val="left" w:pos="426"/>
                <w:tab w:val="left" w:pos="851"/>
              </w:tabs>
              <w:spacing w:after="0"/>
              <w:jc w:val="left"/>
              <w:rPr>
                <w:rFonts w:ascii="Times New Roman" w:hAnsi="Times New Roman" w:cs="Times New Roman"/>
                <w:sz w:val="18"/>
                <w:szCs w:val="18"/>
                <w:lang w:val="sk-SK"/>
              </w:rPr>
            </w:pPr>
          </w:p>
          <w:p>
            <w:pPr>
              <w:tabs>
                <w:tab w:val="left" w:pos="426"/>
                <w:tab w:val="left" w:pos="851"/>
              </w:tabs>
              <w:spacing w:after="0"/>
              <w:jc w:val="left"/>
              <w:rPr>
                <w:rFonts w:ascii="Times New Roman" w:hAnsi="Times New Roman" w:cs="Times New Roman"/>
                <w:sz w:val="18"/>
                <w:szCs w:val="18"/>
                <w:lang w:val="sk-SK"/>
              </w:rPr>
            </w:pPr>
          </w:p>
          <w:p>
            <w:pPr>
              <w:tabs>
                <w:tab w:val="left" w:pos="426"/>
                <w:tab w:val="left" w:pos="851"/>
              </w:tabs>
              <w:spacing w:after="0"/>
              <w:jc w:val="left"/>
              <w:rPr>
                <w:rFonts w:ascii="Times New Roman" w:hAnsi="Times New Roman" w:cs="Times New Roman"/>
                <w:sz w:val="18"/>
                <w:szCs w:val="18"/>
                <w:lang w:val="sk-SK"/>
              </w:rPr>
            </w:pPr>
          </w:p>
          <w:p>
            <w:pPr>
              <w:tabs>
                <w:tab w:val="left" w:pos="426"/>
                <w:tab w:val="left" w:pos="851"/>
              </w:tabs>
              <w:spacing w:after="0"/>
              <w:jc w:val="left"/>
              <w:rPr>
                <w:rFonts w:ascii="Times New Roman" w:hAnsi="Times New Roman" w:cs="Times New Roman"/>
                <w:sz w:val="18"/>
                <w:szCs w:val="18"/>
                <w:lang w:val="sk-SK"/>
              </w:rPr>
            </w:pPr>
          </w:p>
          <w:p>
            <w:pPr>
              <w:tabs>
                <w:tab w:val="left" w:pos="426"/>
                <w:tab w:val="left" w:pos="851"/>
              </w:tabs>
              <w:spacing w:after="0"/>
              <w:jc w:val="left"/>
              <w:rPr>
                <w:rFonts w:ascii="Times New Roman" w:hAnsi="Times New Roman" w:cs="Times New Roman"/>
                <w:sz w:val="18"/>
                <w:szCs w:val="18"/>
                <w:lang w:val="sk-SK"/>
              </w:rPr>
            </w:pPr>
          </w:p>
          <w:p>
            <w:pPr>
              <w:tabs>
                <w:tab w:val="left" w:pos="426"/>
                <w:tab w:val="left" w:pos="851"/>
              </w:tabs>
              <w:spacing w:after="0"/>
              <w:jc w:val="left"/>
              <w:rPr>
                <w:rFonts w:ascii="Times New Roman" w:hAnsi="Times New Roman" w:cs="Times New Roman"/>
                <w:sz w:val="18"/>
                <w:szCs w:val="18"/>
                <w:lang w:val="sk-SK"/>
              </w:rPr>
            </w:pPr>
          </w:p>
          <w:p>
            <w:pPr>
              <w:tabs>
                <w:tab w:val="left" w:pos="426"/>
                <w:tab w:val="left" w:pos="851"/>
              </w:tabs>
              <w:spacing w:after="0"/>
              <w:jc w:val="left"/>
              <w:rPr>
                <w:rFonts w:ascii="Times New Roman" w:hAnsi="Times New Roman" w:cs="Times New Roman"/>
                <w:sz w:val="18"/>
                <w:szCs w:val="18"/>
                <w:lang w:val="sk-SK"/>
              </w:rPr>
            </w:pPr>
          </w:p>
          <w:p>
            <w:pPr>
              <w:tabs>
                <w:tab w:val="left" w:pos="426"/>
                <w:tab w:val="left" w:pos="851"/>
              </w:tabs>
              <w:spacing w:after="0"/>
              <w:jc w:val="left"/>
              <w:rPr>
                <w:rFonts w:ascii="Times New Roman" w:hAnsi="Times New Roman" w:cs="Times New Roman"/>
                <w:sz w:val="18"/>
                <w:szCs w:val="18"/>
                <w:lang w:val="sk-SK"/>
              </w:rPr>
            </w:pPr>
          </w:p>
          <w:p>
            <w:pPr>
              <w:tabs>
                <w:tab w:val="left" w:pos="426"/>
                <w:tab w:val="left" w:pos="851"/>
              </w:tabs>
              <w:spacing w:after="0"/>
              <w:jc w:val="left"/>
              <w:rPr>
                <w:rFonts w:ascii="Times New Roman" w:hAnsi="Times New Roman" w:cs="Times New Roman"/>
                <w:sz w:val="18"/>
                <w:szCs w:val="18"/>
                <w:lang w:val="sk-SK"/>
              </w:rPr>
            </w:pPr>
          </w:p>
          <w:p>
            <w:pPr>
              <w:tabs>
                <w:tab w:val="left" w:pos="426"/>
                <w:tab w:val="left" w:pos="851"/>
              </w:tabs>
              <w:spacing w:after="0"/>
              <w:jc w:val="left"/>
              <w:rPr>
                <w:rFonts w:ascii="Times New Roman" w:hAnsi="Times New Roman" w:cs="Times New Roman"/>
                <w:sz w:val="18"/>
                <w:szCs w:val="18"/>
                <w:lang w:val="sk-SK"/>
              </w:rPr>
            </w:pPr>
          </w:p>
          <w:p>
            <w:pPr>
              <w:tabs>
                <w:tab w:val="left" w:pos="426"/>
                <w:tab w:val="left" w:pos="851"/>
              </w:tabs>
              <w:spacing w:after="0"/>
              <w:jc w:val="left"/>
              <w:rPr>
                <w:rFonts w:ascii="Times New Roman" w:hAnsi="Times New Roman" w:cs="Times New Roman"/>
                <w:sz w:val="18"/>
                <w:szCs w:val="18"/>
                <w:lang w:val="sk-SK"/>
              </w:rPr>
            </w:pPr>
          </w:p>
          <w:p>
            <w:pPr>
              <w:tabs>
                <w:tab w:val="left" w:pos="426"/>
                <w:tab w:val="left" w:pos="851"/>
              </w:tabs>
              <w:spacing w:after="0"/>
              <w:jc w:val="left"/>
              <w:rPr>
                <w:rFonts w:ascii="Times New Roman" w:hAnsi="Times New Roman" w:cs="Times New Roman"/>
                <w:sz w:val="18"/>
                <w:szCs w:val="18"/>
                <w:lang w:val="sk-SK"/>
              </w:rPr>
            </w:pPr>
            <w:r>
              <w:rPr>
                <w:rFonts w:ascii="Times New Roman" w:hAnsi="Times New Roman" w:cs="Times New Roman"/>
                <w:sz w:val="18"/>
                <w:szCs w:val="18"/>
                <w:lang w:val="sk-SK"/>
              </w:rPr>
              <w:t>4.</w:t>
              <w:tab/>
              <w:t>Dopĺňajú sa tieto články:</w:t>
            </w:r>
          </w:p>
          <w:p>
            <w:pPr>
              <w:tabs>
                <w:tab w:val="left" w:pos="426"/>
                <w:tab w:val="left" w:pos="851"/>
              </w:tabs>
              <w:spacing w:after="0"/>
              <w:jc w:val="left"/>
              <w:rPr>
                <w:rFonts w:ascii="Times New Roman" w:hAnsi="Times New Roman" w:cs="Times New Roman"/>
                <w:i/>
                <w:sz w:val="18"/>
                <w:szCs w:val="18"/>
                <w:lang w:val="sk-SK"/>
              </w:rPr>
            </w:pPr>
            <w:r>
              <w:rPr>
                <w:rFonts w:ascii="Times New Roman" w:hAnsi="Times New Roman" w:cs="Times New Roman"/>
                <w:sz w:val="18"/>
                <w:szCs w:val="18"/>
                <w:lang w:val="sk-SK"/>
              </w:rPr>
              <w:t>„</w:t>
            </w:r>
            <w:r>
              <w:rPr>
                <w:rFonts w:ascii="Times New Roman" w:hAnsi="Times New Roman" w:cs="Times New Roman"/>
                <w:i/>
                <w:sz w:val="18"/>
                <w:szCs w:val="18"/>
                <w:lang w:val="sk-SK"/>
              </w:rPr>
              <w:t>Článok 10a</w:t>
            </w:r>
          </w:p>
          <w:p>
            <w:pPr>
              <w:tabs>
                <w:tab w:val="left" w:pos="426"/>
                <w:tab w:val="left" w:pos="851"/>
              </w:tabs>
              <w:spacing w:after="0"/>
              <w:jc w:val="left"/>
              <w:rPr>
                <w:rFonts w:ascii="Times New Roman" w:hAnsi="Times New Roman" w:cs="Times New Roman"/>
                <w:bCs/>
                <w:sz w:val="18"/>
                <w:szCs w:val="18"/>
                <w:lang w:val="sk-SK"/>
              </w:rPr>
            </w:pPr>
            <w:r>
              <w:rPr>
                <w:rFonts w:ascii="Times New Roman" w:hAnsi="Times New Roman" w:cs="Times New Roman"/>
                <w:bCs/>
                <w:sz w:val="18"/>
                <w:szCs w:val="18"/>
                <w:lang w:val="sk-SK"/>
              </w:rPr>
              <w:t>Spolupráca s prís</w:t>
            </w:r>
            <w:r>
              <w:rPr>
                <w:rFonts w:ascii="Times New Roman" w:hAnsi="Times New Roman" w:cs="Times New Roman"/>
                <w:bCs/>
                <w:sz w:val="18"/>
                <w:szCs w:val="18"/>
                <w:lang w:val="sk-SK"/>
              </w:rPr>
              <w:t>lušnými orgánmi tretích štátov</w:t>
            </w:r>
          </w:p>
          <w:p>
            <w:pPr>
              <w:tabs>
                <w:tab w:val="left" w:pos="426"/>
                <w:tab w:val="left" w:pos="851"/>
              </w:tabs>
              <w:spacing w:after="0"/>
              <w:jc w:val="left"/>
              <w:rPr>
                <w:rFonts w:ascii="Times New Roman" w:hAnsi="Times New Roman" w:cs="Times New Roman"/>
                <w:bCs/>
                <w:sz w:val="18"/>
                <w:szCs w:val="18"/>
                <w:lang w:val="sk-SK"/>
              </w:rPr>
            </w:pPr>
          </w:p>
          <w:p>
            <w:pPr>
              <w:spacing w:after="0"/>
              <w:jc w:val="left"/>
              <w:rPr>
                <w:rFonts w:ascii="Times New Roman" w:hAnsi="Times New Roman" w:cs="Times New Roman"/>
                <w:sz w:val="18"/>
                <w:szCs w:val="18"/>
                <w:lang w:val="sk-SK"/>
              </w:rPr>
            </w:pPr>
            <w:r>
              <w:rPr>
                <w:rFonts w:ascii="Times New Roman" w:hAnsi="Times New Roman" w:cs="Times New Roman"/>
                <w:sz w:val="18"/>
                <w:szCs w:val="18"/>
                <w:lang w:val="sk-SK"/>
              </w:rPr>
              <w:t>1.</w:t>
              <w:tab/>
              <w:t>Komisia môže predkladať návrhy Rade buď na žiadosť členského štátu alebo z vlastnej iniciatívy na negociovanie dohôd s jedným alebo viacerými tretími štátmi, týkajúcich sa prostriedkov vykonávania doplňujúceho dohľadu nad</w:t>
            </w:r>
            <w:r>
              <w:rPr>
                <w:rFonts w:ascii="Times New Roman" w:hAnsi="Times New Roman" w:cs="Times New Roman"/>
                <w:sz w:val="18"/>
                <w:szCs w:val="18"/>
                <w:lang w:val="sk-SK"/>
              </w:rPr>
              <w:t>:</w:t>
            </w:r>
          </w:p>
          <w:p>
            <w:pPr>
              <w:tabs>
                <w:tab w:val="left" w:pos="355"/>
              </w:tabs>
              <w:spacing w:after="0"/>
              <w:jc w:val="left"/>
              <w:rPr>
                <w:rFonts w:ascii="Times New Roman" w:hAnsi="Times New Roman" w:cs="Times New Roman"/>
                <w:sz w:val="18"/>
                <w:szCs w:val="18"/>
                <w:lang w:val="sk-SK"/>
              </w:rPr>
            </w:pPr>
            <w:r>
              <w:rPr>
                <w:rFonts w:ascii="Times New Roman" w:hAnsi="Times New Roman" w:cs="Times New Roman"/>
                <w:sz w:val="18"/>
                <w:szCs w:val="18"/>
                <w:lang w:val="sk-SK"/>
              </w:rPr>
              <w:t>(a)</w:t>
              <w:tab/>
              <w:t>poisťovňami, ktoré – ako spoločnosti vlastniace majetkovú účasť – majú spoločnosti v zmysle článku 2, ktorých sídlo sa nachádza v treťom štáte a</w:t>
            </w:r>
          </w:p>
          <w:p>
            <w:pPr>
              <w:tabs>
                <w:tab w:val="left" w:pos="355"/>
              </w:tabs>
              <w:spacing w:after="0"/>
              <w:ind w:firstLine="0"/>
              <w:jc w:val="left"/>
              <w:rPr>
                <w:rFonts w:ascii="Times New Roman" w:hAnsi="Times New Roman" w:cs="Times New Roman"/>
                <w:sz w:val="18"/>
                <w:szCs w:val="18"/>
                <w:lang w:val="sk-SK"/>
              </w:rPr>
            </w:pPr>
            <w:r>
              <w:rPr>
                <w:rFonts w:ascii="Times New Roman" w:hAnsi="Times New Roman" w:cs="Times New Roman"/>
                <w:sz w:val="18"/>
                <w:szCs w:val="18"/>
                <w:lang w:val="sk-SK"/>
              </w:rPr>
              <w:t>(b)</w:t>
              <w:tab/>
              <w:t>poisťovňami nečlenských štátov, ktoré – ako spoločnosti vlastniace majetkovú účasť – majú spoločnosti v zmysle článku 2, ktorých sídlo sa nachádza v Spoločenstve.</w:t>
            </w:r>
          </w:p>
          <w:p>
            <w:pPr>
              <w:tabs>
                <w:tab w:val="left" w:pos="355"/>
                <w:tab w:val="left" w:pos="851"/>
              </w:tabs>
              <w:spacing w:after="0"/>
              <w:ind w:firstLine="0"/>
              <w:jc w:val="left"/>
              <w:rPr>
                <w:rFonts w:ascii="Times New Roman" w:hAnsi="Times New Roman" w:cs="Times New Roman"/>
                <w:sz w:val="18"/>
                <w:szCs w:val="18"/>
                <w:lang w:val="sk-SK"/>
              </w:rPr>
            </w:pPr>
            <w:r>
              <w:rPr>
                <w:rFonts w:ascii="Times New Roman" w:hAnsi="Times New Roman" w:cs="Times New Roman"/>
                <w:sz w:val="18"/>
                <w:szCs w:val="18"/>
                <w:lang w:val="sk-SK"/>
              </w:rPr>
              <w:t>2.Dohody ustanovené v odseku 1 sa musia snažiť najmä o zabezpečenie:</w:t>
            </w:r>
          </w:p>
          <w:p>
            <w:pPr>
              <w:tabs>
                <w:tab w:val="left" w:pos="355"/>
              </w:tabs>
              <w:spacing w:after="0"/>
              <w:jc w:val="left"/>
              <w:rPr>
                <w:rFonts w:ascii="Times New Roman" w:hAnsi="Times New Roman" w:cs="Times New Roman"/>
                <w:sz w:val="18"/>
                <w:szCs w:val="18"/>
                <w:lang w:val="sk-SK"/>
              </w:rPr>
            </w:pPr>
            <w:r>
              <w:rPr>
                <w:rFonts w:ascii="Times New Roman" w:hAnsi="Times New Roman" w:cs="Times New Roman"/>
                <w:sz w:val="18"/>
                <w:szCs w:val="18"/>
                <w:lang w:val="sk-SK"/>
              </w:rPr>
              <w:t xml:space="preserve">(a) </w:t>
              <w:tab/>
              <w:t>aby príslušné orgány členských štátov boli schopné získavať informácie potrebné na doplňujúci dohľad nad poisťovňami, ktorých sídlo sa nachádza v Spoločenstve a ktoré majú dcérske spoločnosti alebo vlastnia majetkové účasti v spoločnostiach mimo Spoločenstva a</w:t>
            </w:r>
          </w:p>
          <w:p>
            <w:pPr>
              <w:tabs>
                <w:tab w:val="left" w:pos="355"/>
              </w:tabs>
              <w:spacing w:after="0"/>
              <w:ind w:firstLine="0"/>
              <w:jc w:val="left"/>
              <w:rPr>
                <w:rFonts w:ascii="Times New Roman" w:hAnsi="Times New Roman" w:cs="Times New Roman"/>
                <w:sz w:val="18"/>
                <w:szCs w:val="18"/>
                <w:lang w:val="sk-SK"/>
              </w:rPr>
            </w:pPr>
            <w:r>
              <w:rPr>
                <w:rFonts w:ascii="Times New Roman" w:hAnsi="Times New Roman" w:cs="Times New Roman"/>
                <w:sz w:val="18"/>
                <w:szCs w:val="18"/>
                <w:lang w:val="sk-SK"/>
              </w:rPr>
              <w:t>(b)</w:t>
              <w:tab/>
              <w:t>aby príslušné orgány tretích štátov boli schopné získavať informácie potrebné na doplňujúci dohľad nad poisťovňami, ktorých sídlo sa nachádza na ich území a ktoré majú dcérske spoločnosti alebo vlastnia majetkové účasti v spoločnostiach v jednom alebo viacerých členských štátoch.</w:t>
            </w:r>
          </w:p>
          <w:p>
            <w:pPr>
              <w:spacing w:after="0"/>
              <w:jc w:val="left"/>
              <w:rPr>
                <w:rFonts w:ascii="Times New Roman" w:hAnsi="Times New Roman" w:cs="Times New Roman"/>
                <w:sz w:val="18"/>
                <w:szCs w:val="18"/>
                <w:lang w:val="sk-SK"/>
              </w:rPr>
            </w:pPr>
            <w:r>
              <w:rPr>
                <w:rFonts w:ascii="Times New Roman" w:hAnsi="Times New Roman" w:cs="Times New Roman"/>
                <w:sz w:val="18"/>
                <w:szCs w:val="18"/>
                <w:lang w:val="sk-SK"/>
              </w:rPr>
              <w:t>3.Komisia a výbor pre poisťovníctvo preskúmajú výsledky negociácií ustanovených v odse</w:t>
            </w:r>
            <w:r>
              <w:rPr>
                <w:rFonts w:ascii="Times New Roman" w:hAnsi="Times New Roman" w:cs="Times New Roman"/>
                <w:sz w:val="18"/>
                <w:szCs w:val="18"/>
                <w:lang w:val="sk-SK"/>
              </w:rPr>
              <w:t>ku 1 a výslednú situáciu.</w:t>
            </w:r>
          </w:p>
          <w:p>
            <w:pPr>
              <w:tabs>
                <w:tab w:val="left" w:pos="426"/>
                <w:tab w:val="left" w:pos="851"/>
              </w:tabs>
              <w:spacing w:after="0"/>
              <w:jc w:val="left"/>
              <w:rPr>
                <w:rFonts w:ascii="Times New Roman" w:hAnsi="Times New Roman" w:cs="Times New Roman"/>
                <w:i/>
                <w:sz w:val="18"/>
                <w:szCs w:val="18"/>
                <w:lang w:val="sk-SK"/>
              </w:rPr>
            </w:pPr>
          </w:p>
          <w:p>
            <w:pPr>
              <w:tabs>
                <w:tab w:val="left" w:pos="426"/>
                <w:tab w:val="left" w:pos="851"/>
              </w:tabs>
              <w:spacing w:after="0"/>
              <w:jc w:val="left"/>
              <w:rPr>
                <w:rFonts w:ascii="Times New Roman" w:hAnsi="Times New Roman" w:cs="Times New Roman"/>
                <w:i/>
                <w:sz w:val="18"/>
                <w:szCs w:val="18"/>
                <w:lang w:val="sk-SK"/>
              </w:rPr>
            </w:pPr>
            <w:r>
              <w:rPr>
                <w:rFonts w:ascii="Times New Roman" w:hAnsi="Times New Roman" w:cs="Times New Roman"/>
                <w:i/>
                <w:sz w:val="18"/>
                <w:szCs w:val="18"/>
                <w:lang w:val="sk-SK"/>
              </w:rPr>
              <w:t>Článok 10b</w:t>
            </w:r>
          </w:p>
          <w:p>
            <w:pPr>
              <w:tabs>
                <w:tab w:val="left" w:pos="355"/>
                <w:tab w:val="left" w:pos="851"/>
              </w:tabs>
              <w:spacing w:after="0"/>
              <w:jc w:val="left"/>
              <w:rPr>
                <w:rFonts w:ascii="Times New Roman" w:hAnsi="Times New Roman" w:cs="Times New Roman"/>
                <w:bCs/>
                <w:sz w:val="18"/>
                <w:szCs w:val="18"/>
                <w:lang w:val="sk-SK"/>
              </w:rPr>
            </w:pPr>
            <w:r>
              <w:rPr>
                <w:rFonts w:ascii="Times New Roman" w:hAnsi="Times New Roman" w:cs="Times New Roman"/>
                <w:bCs/>
                <w:sz w:val="18"/>
                <w:szCs w:val="18"/>
                <w:lang w:val="sk-SK"/>
              </w:rPr>
              <w:t>Riadiaci orgán poisťovacích holdingových spoločností</w:t>
            </w:r>
          </w:p>
          <w:p>
            <w:pPr>
              <w:spacing w:after="0"/>
              <w:jc w:val="left"/>
              <w:rPr>
                <w:rFonts w:ascii="Times New Roman" w:hAnsi="Times New Roman" w:cs="Times New Roman"/>
                <w:sz w:val="18"/>
                <w:szCs w:val="18"/>
                <w:lang w:val="sk-SK"/>
              </w:rPr>
            </w:pPr>
            <w:r>
              <w:rPr>
                <w:rFonts w:ascii="Times New Roman" w:hAnsi="Times New Roman" w:cs="Times New Roman"/>
                <w:sz w:val="18"/>
                <w:szCs w:val="18"/>
                <w:lang w:val="sk-SK"/>
              </w:rPr>
              <w:t>Členské štáty musia vyžadovať, aby osoby, ktoré efektívne riadia činnosť poisťovacej holdingovej spoločnosti, mali dostatočne dobrú povesť a mali dostatočné skúsenos</w:t>
            </w:r>
            <w:r>
              <w:rPr>
                <w:rFonts w:ascii="Times New Roman" w:hAnsi="Times New Roman" w:cs="Times New Roman"/>
                <w:sz w:val="18"/>
                <w:szCs w:val="18"/>
                <w:lang w:val="sk-SK"/>
              </w:rPr>
              <w:t>ti na vykonávanie týchto povinností.“</w:t>
            </w:r>
          </w:p>
          <w:p>
            <w:pPr>
              <w:tabs>
                <w:tab w:val="left" w:pos="426"/>
                <w:tab w:val="left" w:pos="851"/>
              </w:tabs>
              <w:spacing w:after="0"/>
              <w:jc w:val="left"/>
              <w:rPr>
                <w:rFonts w:ascii="Times New Roman" w:hAnsi="Times New Roman" w:cs="Times New Roman"/>
                <w:sz w:val="18"/>
                <w:szCs w:val="18"/>
                <w:lang w:val="sk-SK"/>
              </w:rPr>
            </w:pPr>
            <w:r>
              <w:rPr>
                <w:rFonts w:ascii="Times New Roman" w:hAnsi="Times New Roman" w:cs="Times New Roman"/>
                <w:sz w:val="18"/>
                <w:szCs w:val="18"/>
                <w:lang w:val="sk-SK"/>
              </w:rPr>
              <w:t>5.</w:t>
              <w:tab/>
              <w:t>V prílohe I.1.B. sa pridáva tento odsek:</w:t>
            </w:r>
          </w:p>
          <w:p>
            <w:pPr>
              <w:tabs>
                <w:tab w:val="left" w:pos="426"/>
                <w:tab w:val="left" w:pos="851"/>
              </w:tabs>
              <w:spacing w:after="0"/>
              <w:jc w:val="left"/>
              <w:rPr>
                <w:rFonts w:ascii="Times New Roman" w:hAnsi="Times New Roman" w:cs="Times New Roman"/>
                <w:sz w:val="18"/>
                <w:szCs w:val="18"/>
                <w:lang w:val="sk-SK"/>
              </w:rPr>
            </w:pPr>
            <w:r>
              <w:rPr>
                <w:rFonts w:ascii="Times New Roman" w:hAnsi="Times New Roman" w:cs="Times New Roman"/>
                <w:sz w:val="18"/>
                <w:szCs w:val="18"/>
                <w:lang w:val="sk-SK"/>
              </w:rPr>
              <w:t>„Ak neexistuje kapitálové prepojenie medzi niektorými zo spoločností v poisťovníckej skupine, príslušný orgán určí, ktorý proporcionálny podiel sa musí brať do úvahy.“</w:t>
            </w:r>
          </w:p>
          <w:p>
            <w:pPr>
              <w:spacing w:after="0"/>
              <w:jc w:val="left"/>
              <w:rPr>
                <w:rFonts w:ascii="Times New Roman" w:hAnsi="Times New Roman" w:cs="Times New Roman"/>
                <w:sz w:val="18"/>
                <w:szCs w:val="18"/>
                <w:lang w:val="sk-SK"/>
              </w:rPr>
            </w:pPr>
            <w:r>
              <w:rPr>
                <w:rFonts w:ascii="Times New Roman" w:hAnsi="Times New Roman" w:cs="Times New Roman"/>
                <w:sz w:val="18"/>
                <w:szCs w:val="18"/>
                <w:lang w:val="sk-SK"/>
              </w:rPr>
              <w:t>6.</w:t>
              <w:tab/>
              <w:t>V p</w:t>
            </w:r>
            <w:r>
              <w:rPr>
                <w:rFonts w:ascii="Times New Roman" w:hAnsi="Times New Roman" w:cs="Times New Roman"/>
                <w:sz w:val="18"/>
                <w:szCs w:val="18"/>
                <w:lang w:val="sk-SK"/>
              </w:rPr>
              <w:t>rílohe I.2. sa pridáva tento bod:</w:t>
            </w:r>
          </w:p>
          <w:p>
            <w:pPr>
              <w:tabs>
                <w:tab w:val="left" w:pos="426"/>
                <w:tab w:val="left" w:pos="851"/>
              </w:tabs>
              <w:spacing w:after="0"/>
              <w:jc w:val="left"/>
              <w:rPr>
                <w:rFonts w:ascii="Times New Roman" w:hAnsi="Times New Roman" w:cs="Times New Roman"/>
                <w:sz w:val="18"/>
                <w:szCs w:val="18"/>
                <w:lang w:val="sk-SK"/>
              </w:rPr>
            </w:pPr>
            <w:r>
              <w:rPr>
                <w:rFonts w:ascii="Times New Roman" w:hAnsi="Times New Roman" w:cs="Times New Roman"/>
                <w:sz w:val="18"/>
                <w:szCs w:val="18"/>
                <w:lang w:val="sk-SK"/>
              </w:rPr>
              <w:t>„2.4a. Pridružené úverové ústavy, investičné firmy a finančné ústavy</w:t>
            </w:r>
          </w:p>
          <w:p>
            <w:pPr>
              <w:spacing w:after="0"/>
              <w:jc w:val="left"/>
              <w:rPr>
                <w:rFonts w:ascii="Times New Roman" w:hAnsi="Times New Roman" w:cs="Times New Roman"/>
                <w:sz w:val="18"/>
                <w:szCs w:val="18"/>
                <w:lang w:val="sk-SK"/>
              </w:rPr>
            </w:pPr>
            <w:r>
              <w:rPr>
                <w:rFonts w:ascii="Times New Roman" w:hAnsi="Times New Roman" w:cs="Times New Roman"/>
                <w:sz w:val="18"/>
                <w:szCs w:val="18"/>
                <w:lang w:val="sk-SK"/>
              </w:rPr>
              <w:t xml:space="preserve"> Pri výpočte upravenej platobnej schopnosti poisťovne, ktorá je spoločnosťou vlastniacou majetkovú účasť v úverovom ústave, investičnej firme alebo finančnom ústave, platia predpisy, po vykonaní nutných zmien, ktoré sú ustanovené v článku 16 ods. 1 smernice 73/239/EHS a v článku 18 smernice 79/267/EHS o odpočítavaní týchto majetkových účastí, ako aj ustanovenia o schopnosti členských štátov za určitých podmienok povoliť alternatívne metódy a povoliť, aby sa takéto majetkové účasti neodpočítavali.“</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r>
              <w:rPr>
                <w:rFonts w:ascii="Times New Roman" w:hAnsi="Times New Roman" w:cs="Times New Roman"/>
                <w:sz w:val="18"/>
                <w:szCs w:val="18"/>
                <w:lang w:val="sk-SK"/>
              </w:rPr>
              <w:t>N</w:t>
            </w: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r>
              <w:rPr>
                <w:rFonts w:ascii="Times New Roman" w:hAnsi="Times New Roman" w:cs="Times New Roman"/>
                <w:sz w:val="18"/>
                <w:szCs w:val="18"/>
                <w:lang w:val="sk-SK"/>
              </w:rPr>
              <w:t>n.a.</w:t>
            </w: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p>
          <w:p>
            <w:pPr>
              <w:pStyle w:val="BodyText3"/>
              <w:jc w:val="left"/>
              <w:rPr>
                <w:rFonts w:ascii="Times New Roman" w:hAnsi="Times New Roman" w:cs="Times New Roman"/>
                <w:sz w:val="18"/>
                <w:szCs w:val="18"/>
                <w:lang w:val="sk-SK"/>
              </w:rPr>
            </w:pPr>
            <w:r>
              <w:rPr>
                <w:rFonts w:ascii="Times New Roman" w:hAnsi="Times New Roman" w:cs="Times New Roman"/>
                <w:sz w:val="18"/>
                <w:szCs w:val="18"/>
                <w:lang w:val="sk-SK"/>
              </w:rPr>
              <w:t>N</w:t>
            </w:r>
          </w:p>
          <w:p>
            <w:pPr>
              <w:pStyle w:val="BodyText3"/>
              <w:jc w:val="left"/>
              <w:rPr>
                <w:rFonts w:ascii="Times New Roman" w:hAnsi="Times New Roman" w:cs="Times New Roman"/>
                <w:sz w:val="18"/>
                <w:szCs w:val="18"/>
                <w:lang w:val="sk-SK"/>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X/2004 Z.z.</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 43 ods. 5</w:t>
            </w:r>
          </w:p>
          <w:p>
            <w:pPr>
              <w:pStyle w:val="TABUKA-textsmernice"/>
              <w:jc w:val="left"/>
              <w:rPr>
                <w:rFonts w:ascii="Times New Roman" w:hAnsi="Times New Roman" w:cs="Times New Roman"/>
                <w:sz w:val="18"/>
                <w:szCs w:val="18"/>
              </w:rPr>
            </w:pPr>
            <w:r>
              <w:rPr>
                <w:rFonts w:ascii="Times New Roman" w:hAnsi="Times New Roman" w:cs="Times New Roman"/>
                <w:sz w:val="18"/>
                <w:szCs w:val="18"/>
              </w:rPr>
              <w:t>p</w:t>
            </w:r>
            <w:r>
              <w:rPr>
                <w:rFonts w:ascii="Times New Roman" w:hAnsi="Times New Roman" w:cs="Times New Roman"/>
                <w:sz w:val="18"/>
                <w:szCs w:val="18"/>
              </w:rPr>
              <w:t>ís. m)</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 43 ods. 5</w:t>
            </w:r>
          </w:p>
          <w:p>
            <w:pPr>
              <w:pStyle w:val="TABUKA-textsmernice"/>
              <w:jc w:val="left"/>
              <w:rPr>
                <w:rFonts w:ascii="Times New Roman" w:hAnsi="Times New Roman" w:cs="Times New Roman"/>
                <w:sz w:val="18"/>
                <w:szCs w:val="18"/>
              </w:rPr>
            </w:pPr>
            <w:r>
              <w:rPr>
                <w:rFonts w:ascii="Times New Roman" w:hAnsi="Times New Roman" w:cs="Times New Roman"/>
                <w:sz w:val="18"/>
                <w:szCs w:val="18"/>
              </w:rPr>
              <w:t>pís. i)</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 43 ods. 5</w:t>
            </w:r>
          </w:p>
          <w:p>
            <w:pPr>
              <w:pStyle w:val="TABUKA-textsmernice"/>
              <w:jc w:val="left"/>
              <w:rPr>
                <w:rFonts w:ascii="Times New Roman" w:hAnsi="Times New Roman" w:cs="Times New Roman"/>
                <w:sz w:val="18"/>
                <w:szCs w:val="18"/>
              </w:rPr>
            </w:pPr>
            <w:r>
              <w:rPr>
                <w:rFonts w:ascii="Times New Roman" w:hAnsi="Times New Roman" w:cs="Times New Roman"/>
                <w:sz w:val="18"/>
                <w:szCs w:val="18"/>
              </w:rPr>
              <w:t>pís. k)</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 38</w:t>
            </w:r>
          </w:p>
          <w:p>
            <w:pPr>
              <w:pStyle w:val="TABUKA-textsmernice"/>
              <w:jc w:val="left"/>
              <w:rPr>
                <w:rFonts w:ascii="Times New Roman" w:hAnsi="Times New Roman" w:cs="Times New Roman"/>
                <w:sz w:val="18"/>
                <w:szCs w:val="18"/>
              </w:rPr>
            </w:pPr>
            <w:r>
              <w:rPr>
                <w:rFonts w:ascii="Times New Roman" w:hAnsi="Times New Roman" w:cs="Times New Roman"/>
                <w:sz w:val="18"/>
                <w:szCs w:val="18"/>
              </w:rPr>
              <w:t>ods. 3</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ods. 4</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ods. 5</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ods. 8</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 36</w:t>
            </w:r>
          </w:p>
          <w:p>
            <w:pPr>
              <w:pStyle w:val="TABUKA-textsmernice"/>
              <w:jc w:val="left"/>
              <w:rPr>
                <w:rFonts w:ascii="Times New Roman" w:hAnsi="Times New Roman" w:cs="Times New Roman"/>
                <w:sz w:val="18"/>
                <w:szCs w:val="18"/>
              </w:rPr>
            </w:pPr>
            <w:r>
              <w:rPr>
                <w:rFonts w:ascii="Times New Roman" w:hAnsi="Times New Roman" w:cs="Times New Roman"/>
                <w:sz w:val="18"/>
                <w:szCs w:val="18"/>
              </w:rPr>
              <w:t>ods. 10</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tc>
        <w:tc>
          <w:tcPr>
            <w:tcW w:w="52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BodyText"/>
              <w:jc w:val="left"/>
              <w:rPr>
                <w:rFonts w:ascii="Times New Roman" w:hAnsi="Times New Roman" w:cs="Times New Roman"/>
                <w:sz w:val="18"/>
                <w:szCs w:val="18"/>
              </w:rPr>
            </w:pPr>
            <w:r>
              <w:rPr>
                <w:rFonts w:ascii="Times New Roman" w:hAnsi="Times New Roman" w:cs="Times New Roman"/>
                <w:sz w:val="18"/>
                <w:szCs w:val="18"/>
              </w:rPr>
              <w:t xml:space="preserve">m) </w:t>
            </w:r>
            <w:r>
              <w:rPr>
                <w:rFonts w:ascii="Times New Roman" w:hAnsi="Times New Roman" w:cs="Times New Roman"/>
                <w:sz w:val="18"/>
              </w:rPr>
              <w:t>majetkovou účasťou priamy alebo nepriamy podiel alebo ich súčet, ktorý predstavuje najmenej 20 % na základnom imaní právnickej osoby alebo na hlasovacích právach v právnickej osobe, alebo možnosť uplatňovania vplyvu na riadení právnickej osoby porovnateľného s vplyvom zodpovedajúcim tomuto podielu,</w:t>
            </w:r>
          </w:p>
          <w:p>
            <w:pPr>
              <w:pStyle w:val="TABUKA-textsmernice"/>
              <w:jc w:val="left"/>
              <w:rPr>
                <w:rFonts w:ascii="Times New Roman" w:hAnsi="Times New Roman" w:cs="Times New Roman"/>
                <w:sz w:val="18"/>
                <w:szCs w:val="18"/>
              </w:rPr>
            </w:pPr>
          </w:p>
          <w:p>
            <w:pPr>
              <w:rPr>
                <w:rFonts w:ascii="Times New Roman" w:hAnsi="Times New Roman" w:cs="Times New Roman"/>
                <w:color w:val="000000"/>
                <w:lang w:val="sk-SK"/>
              </w:rPr>
            </w:pPr>
            <w:r>
              <w:rPr>
                <w:rFonts w:ascii="Times New Roman" w:hAnsi="Times New Roman" w:cs="Times New Roman"/>
                <w:sz w:val="18"/>
                <w:szCs w:val="18"/>
                <w:lang w:val="sk-SK"/>
              </w:rPr>
              <w:t xml:space="preserve">i) </w:t>
            </w:r>
            <w:r>
              <w:rPr>
                <w:rFonts w:ascii="Times New Roman" w:hAnsi="Times New Roman" w:cs="Times New Roman"/>
                <w:color w:val="000000"/>
                <w:sz w:val="18"/>
                <w:lang w:val="sk-SK"/>
              </w:rPr>
              <w:t>finančnou holdingovou inštitúciou finančná inštitúcia, ktorej dcérskymi spoločnosťami sú prevažne poisťovne alebo zaisťovne alebo finančné inštitúcie, pričom aspoň jedna dcérska spoločnosť je poisťovňou alebo zaisťovňou alebo inštitúciou elektronických peňazí a ktorá nie je zmiešanou finančnou holdingovou spoločnosťou,</w:t>
            </w:r>
          </w:p>
          <w:p>
            <w:pPr>
              <w:pStyle w:val="BodyText"/>
              <w:jc w:val="left"/>
              <w:rPr>
                <w:rFonts w:ascii="Times New Roman" w:hAnsi="Times New Roman" w:cs="Times New Roman"/>
                <w:sz w:val="18"/>
                <w:szCs w:val="18"/>
              </w:rPr>
            </w:pPr>
          </w:p>
          <w:p>
            <w:pPr>
              <w:pStyle w:val="BodyText"/>
              <w:jc w:val="left"/>
              <w:rPr>
                <w:rFonts w:ascii="Times New Roman" w:hAnsi="Times New Roman" w:cs="Times New Roman"/>
                <w:sz w:val="18"/>
                <w:szCs w:val="18"/>
              </w:rPr>
            </w:pPr>
          </w:p>
          <w:p>
            <w:pPr>
              <w:pStyle w:val="BodyText"/>
              <w:jc w:val="left"/>
              <w:rPr>
                <w:rFonts w:ascii="Times New Roman" w:hAnsi="Times New Roman" w:cs="Times New Roman"/>
                <w:sz w:val="18"/>
                <w:szCs w:val="18"/>
              </w:rPr>
            </w:pPr>
          </w:p>
          <w:p>
            <w:pPr>
              <w:pStyle w:val="BodyText"/>
              <w:jc w:val="left"/>
              <w:rPr>
                <w:rFonts w:ascii="Times New Roman" w:hAnsi="Times New Roman" w:cs="Times New Roman"/>
                <w:sz w:val="18"/>
                <w:szCs w:val="18"/>
              </w:rPr>
            </w:pPr>
          </w:p>
          <w:p>
            <w:pPr>
              <w:pStyle w:val="BodyText"/>
              <w:jc w:val="left"/>
              <w:rPr>
                <w:rFonts w:ascii="Times New Roman" w:hAnsi="Times New Roman" w:cs="Times New Roman"/>
                <w:sz w:val="18"/>
                <w:szCs w:val="18"/>
              </w:rPr>
            </w:pPr>
          </w:p>
          <w:p>
            <w:pPr>
              <w:pStyle w:val="BodyText"/>
              <w:jc w:val="left"/>
              <w:rPr>
                <w:rFonts w:ascii="Times New Roman" w:hAnsi="Times New Roman" w:cs="Times New Roman"/>
                <w:sz w:val="18"/>
                <w:szCs w:val="18"/>
              </w:rPr>
            </w:pPr>
            <w:r>
              <w:rPr>
                <w:rFonts w:ascii="Times New Roman" w:hAnsi="Times New Roman" w:cs="Times New Roman"/>
                <w:sz w:val="18"/>
                <w:szCs w:val="18"/>
              </w:rPr>
              <w:t xml:space="preserve">k) </w:t>
            </w:r>
            <w:r>
              <w:rPr>
                <w:rFonts w:ascii="Times New Roman" w:hAnsi="Times New Roman" w:cs="Times New Roman"/>
                <w:sz w:val="18"/>
              </w:rPr>
              <w:t>zmiešanou finančnou holdingovou spoločnosťou materská spoločnosť iná ako regulovaná osoba, ktorá spolu so svojimi dcérskymi spoločnosťami, z ktorých aspoň jedna je regulovanou osobou so sídlom v členskom štáte, a s ostatnými osobami tvorí finančný konglomerát,</w:t>
            </w:r>
          </w:p>
          <w:p>
            <w:pPr>
              <w:pStyle w:val="BodyText"/>
              <w:jc w:val="left"/>
              <w:rPr>
                <w:rFonts w:ascii="Times New Roman" w:hAnsi="Times New Roman" w:cs="Times New Roman"/>
                <w:sz w:val="18"/>
                <w:szCs w:val="18"/>
              </w:rPr>
            </w:pPr>
          </w:p>
          <w:p>
            <w:pPr>
              <w:pStyle w:val="BodyText"/>
              <w:jc w:val="left"/>
              <w:rPr>
                <w:rFonts w:ascii="Times New Roman" w:hAnsi="Times New Roman" w:cs="Times New Roman"/>
                <w:sz w:val="18"/>
                <w:szCs w:val="18"/>
              </w:rPr>
            </w:pPr>
          </w:p>
          <w:p>
            <w:pPr>
              <w:pStyle w:val="BodyText"/>
              <w:jc w:val="left"/>
              <w:rPr>
                <w:rFonts w:ascii="Times New Roman" w:hAnsi="Times New Roman" w:cs="Times New Roman"/>
                <w:sz w:val="18"/>
                <w:szCs w:val="18"/>
              </w:rPr>
            </w:pPr>
          </w:p>
          <w:p>
            <w:pPr>
              <w:pStyle w:val="BodyText"/>
              <w:jc w:val="left"/>
              <w:rPr>
                <w:rFonts w:ascii="Times New Roman" w:hAnsi="Times New Roman" w:cs="Times New Roman"/>
                <w:sz w:val="18"/>
                <w:szCs w:val="18"/>
              </w:rPr>
            </w:pPr>
          </w:p>
          <w:p>
            <w:pPr>
              <w:pStyle w:val="BodyText"/>
              <w:jc w:val="left"/>
              <w:rPr>
                <w:rFonts w:ascii="Times New Roman" w:hAnsi="Times New Roman" w:cs="Times New Roman"/>
                <w:sz w:val="18"/>
                <w:szCs w:val="18"/>
              </w:rPr>
            </w:pPr>
          </w:p>
          <w:p>
            <w:pPr>
              <w:pStyle w:val="BodyText"/>
              <w:jc w:val="left"/>
              <w:rPr>
                <w:rFonts w:ascii="Times New Roman" w:hAnsi="Times New Roman" w:cs="Times New Roman"/>
                <w:sz w:val="18"/>
                <w:szCs w:val="18"/>
              </w:rPr>
            </w:pPr>
          </w:p>
          <w:p>
            <w:pPr>
              <w:spacing w:after="0"/>
              <w:jc w:val="left"/>
              <w:rPr>
                <w:rFonts w:ascii="Times New Roman" w:hAnsi="Times New Roman" w:cs="Times New Roman"/>
                <w:sz w:val="18"/>
                <w:szCs w:val="18"/>
                <w:lang w:val="sk-SK"/>
              </w:rPr>
            </w:pPr>
            <w:r>
              <w:rPr>
                <w:rFonts w:ascii="Times New Roman" w:hAnsi="Times New Roman" w:cs="Times New Roman"/>
                <w:sz w:val="18"/>
                <w:szCs w:val="18"/>
                <w:lang w:val="sk-SK"/>
              </w:rPr>
              <w:t>(3) Poisťovňa, zaisťovňa, pobočka zahraničnej poisťovne a pobočka zahraničnej zaisťovne sú povinné vypracovať a dodržiavať  pravidlá činnosti, ktoré musia upravovať  účinný systém vnútornej kontroly a ochrany pred legalizáciou príjmov z trestnej činnosti zodpovedajúci charakteru a povahe poisťovacej činnosti a zaisťovacej činnosti.</w:t>
            </w:r>
          </w:p>
          <w:p>
            <w:pPr>
              <w:pStyle w:val="BodyText"/>
              <w:jc w:val="left"/>
              <w:rPr>
                <w:rFonts w:ascii="Times New Roman" w:hAnsi="Times New Roman" w:cs="Times New Roman"/>
                <w:sz w:val="18"/>
                <w:szCs w:val="18"/>
              </w:rPr>
            </w:pPr>
          </w:p>
          <w:p>
            <w:pPr>
              <w:pStyle w:val="BodyText"/>
              <w:jc w:val="left"/>
              <w:rPr>
                <w:rFonts w:ascii="Times New Roman" w:hAnsi="Times New Roman" w:cs="Times New Roman"/>
                <w:sz w:val="18"/>
                <w:szCs w:val="18"/>
              </w:rPr>
            </w:pPr>
            <w:r>
              <w:rPr>
                <w:rFonts w:ascii="Times New Roman" w:hAnsi="Times New Roman" w:cs="Times New Roman"/>
                <w:sz w:val="18"/>
                <w:szCs w:val="18"/>
              </w:rPr>
              <w:t>(4) Organizačná štruktúra a systém riadenia poisťovne, zaisťovne, pobočky zahraničnej poisťovne a pobočky zahraničnej zaisťovne musí zabezpečovať riadne a bezpečné vykonávanie poisťovacej činnosti alebo zaisťovacej činnosti. V organizačnej štruktúre poisťovne, zaisťovne, pobočky zahraničnej poisťovne a pobočky zahraničnej zaisťovne musí byť zahrnutý útvar vnútornej kontr</w:t>
            </w:r>
            <w:r>
              <w:rPr>
                <w:rFonts w:ascii="Times New Roman" w:hAnsi="Times New Roman" w:cs="Times New Roman"/>
                <w:sz w:val="18"/>
                <w:szCs w:val="18"/>
              </w:rPr>
              <w:t>oly.</w:t>
            </w:r>
          </w:p>
          <w:p>
            <w:pPr>
              <w:pStyle w:val="BodyText"/>
              <w:jc w:val="left"/>
              <w:rPr>
                <w:rFonts w:ascii="Times New Roman" w:hAnsi="Times New Roman" w:cs="Times New Roman"/>
                <w:sz w:val="18"/>
                <w:szCs w:val="18"/>
              </w:rPr>
            </w:pPr>
          </w:p>
          <w:p>
            <w:pPr>
              <w:pStyle w:val="BodyText"/>
              <w:jc w:val="left"/>
              <w:rPr>
                <w:rFonts w:ascii="Times New Roman" w:hAnsi="Times New Roman" w:cs="Times New Roman"/>
                <w:sz w:val="18"/>
                <w:szCs w:val="18"/>
              </w:rPr>
            </w:pPr>
            <w:r>
              <w:rPr>
                <w:rFonts w:ascii="Times New Roman" w:hAnsi="Times New Roman" w:cs="Times New Roman"/>
                <w:sz w:val="18"/>
                <w:szCs w:val="18"/>
              </w:rPr>
              <w:t xml:space="preserve">(5)  Vnútornou kontrolou  sa na účely tohto zákona rozumie kontrola dodržiavania  zákonov a iných všeobecne záväzných právnych predpisov, vnútorných aktov riadenia a postupov v činnosti poisťovne, zaisťovne, pobočky zahraničnej poisťovne a pobočky zahraničnej zaisťovne vykonávaná útvarom vnútornej kontroly poisťovne, zaisťovne, pobočky zahraničnej poisťovne a pobočky zahraničnej zaisťovne alebo inými osobami na základe zmluvy. </w:t>
            </w:r>
          </w:p>
          <w:p>
            <w:pPr>
              <w:pStyle w:val="BodyText"/>
              <w:jc w:val="left"/>
              <w:rPr>
                <w:rFonts w:ascii="Times New Roman" w:hAnsi="Times New Roman" w:cs="Times New Roman"/>
                <w:sz w:val="18"/>
                <w:szCs w:val="18"/>
              </w:rPr>
            </w:pPr>
          </w:p>
          <w:p>
            <w:pPr>
              <w:pStyle w:val="BodyText"/>
              <w:jc w:val="left"/>
              <w:rPr>
                <w:rFonts w:ascii="Times New Roman" w:hAnsi="Times New Roman" w:cs="Times New Roman"/>
                <w:b/>
                <w:bCs/>
                <w:sz w:val="18"/>
                <w:szCs w:val="18"/>
              </w:rPr>
            </w:pPr>
            <w:r>
              <w:rPr>
                <w:rFonts w:ascii="Times New Roman" w:hAnsi="Times New Roman" w:cs="Times New Roman"/>
                <w:sz w:val="18"/>
                <w:szCs w:val="18"/>
              </w:rPr>
              <w:t>(8) Poisťovňa, zaisťovňa, pobočka zahraničnej poisťovne a pobočka zahraničnej zaisťovne predkladá</w:t>
            </w:r>
            <w:r>
              <w:rPr>
                <w:rFonts w:ascii="Times New Roman" w:hAnsi="Times New Roman" w:cs="Times New Roman"/>
                <w:b/>
                <w:bCs/>
                <w:sz w:val="18"/>
                <w:szCs w:val="18"/>
              </w:rPr>
              <w:t xml:space="preserve"> </w:t>
            </w:r>
            <w:r>
              <w:rPr>
                <w:rFonts w:ascii="Times New Roman" w:hAnsi="Times New Roman" w:cs="Times New Roman"/>
                <w:sz w:val="18"/>
                <w:szCs w:val="18"/>
              </w:rPr>
              <w:t>do 31. marca kalendárneho roka úradu správu o výsledkoch činnosti útvaru vnútornej kontroly za predchádzajúci kalendárny rok, o prijatých opatreniach na nápravu zistených nedostatkov v činnosti poisťovne, zaisťovne, pobočky zahraničnej poisťovne a pobočky zahraničnej zaisťovne a plán kontrolnej činnosti na nasledujúci kalendárny rok.</w:t>
            </w:r>
          </w:p>
          <w:p>
            <w:pPr>
              <w:pStyle w:val="BodyText"/>
              <w:jc w:val="left"/>
              <w:rPr>
                <w:rFonts w:ascii="Times New Roman" w:hAnsi="Times New Roman" w:cs="Times New Roman"/>
                <w:sz w:val="18"/>
                <w:szCs w:val="18"/>
              </w:rPr>
            </w:pPr>
          </w:p>
          <w:p>
            <w:pPr>
              <w:pStyle w:val="BodyText"/>
              <w:jc w:val="left"/>
              <w:rPr>
                <w:rFonts w:ascii="Times New Roman" w:hAnsi="Times New Roman" w:cs="Times New Roman"/>
                <w:sz w:val="18"/>
                <w:szCs w:val="18"/>
              </w:rPr>
            </w:pPr>
          </w:p>
          <w:p>
            <w:pPr>
              <w:pStyle w:val="BodyText"/>
              <w:jc w:val="left"/>
              <w:rPr>
                <w:rFonts w:ascii="Times New Roman" w:hAnsi="Times New Roman" w:cs="Times New Roman"/>
                <w:sz w:val="18"/>
                <w:szCs w:val="18"/>
              </w:rPr>
            </w:pPr>
          </w:p>
          <w:p>
            <w:pPr>
              <w:pStyle w:val="BodyText"/>
              <w:jc w:val="left"/>
              <w:rPr>
                <w:rFonts w:ascii="Times New Roman" w:hAnsi="Times New Roman" w:cs="Times New Roman"/>
                <w:sz w:val="18"/>
                <w:szCs w:val="18"/>
              </w:rPr>
            </w:pPr>
          </w:p>
          <w:p>
            <w:pPr>
              <w:pStyle w:val="BodyText"/>
              <w:jc w:val="left"/>
              <w:rPr>
                <w:rFonts w:ascii="Times New Roman" w:hAnsi="Times New Roman" w:cs="Times New Roman"/>
                <w:sz w:val="18"/>
                <w:szCs w:val="18"/>
              </w:rPr>
            </w:pPr>
          </w:p>
          <w:p>
            <w:pPr>
              <w:pStyle w:val="BodyText"/>
              <w:jc w:val="left"/>
              <w:rPr>
                <w:rFonts w:ascii="Times New Roman" w:hAnsi="Times New Roman" w:cs="Times New Roman"/>
                <w:sz w:val="18"/>
                <w:szCs w:val="18"/>
              </w:rPr>
            </w:pPr>
          </w:p>
          <w:p>
            <w:pPr>
              <w:pStyle w:val="BodyText"/>
              <w:jc w:val="left"/>
              <w:rPr>
                <w:rFonts w:ascii="Times New Roman" w:hAnsi="Times New Roman" w:cs="Times New Roman"/>
                <w:sz w:val="18"/>
                <w:szCs w:val="18"/>
              </w:rPr>
            </w:pPr>
          </w:p>
          <w:p>
            <w:pPr>
              <w:pStyle w:val="BodyText"/>
              <w:jc w:val="left"/>
              <w:rPr>
                <w:rFonts w:ascii="Times New Roman" w:hAnsi="Times New Roman" w:cs="Times New Roman"/>
                <w:sz w:val="18"/>
                <w:szCs w:val="18"/>
              </w:rPr>
            </w:pPr>
          </w:p>
          <w:p>
            <w:pPr>
              <w:pStyle w:val="BodyText"/>
              <w:jc w:val="left"/>
              <w:rPr>
                <w:rFonts w:ascii="Times New Roman" w:hAnsi="Times New Roman" w:cs="Times New Roman"/>
                <w:sz w:val="18"/>
                <w:szCs w:val="18"/>
              </w:rPr>
            </w:pPr>
          </w:p>
          <w:p>
            <w:pPr>
              <w:pStyle w:val="BodyText"/>
              <w:jc w:val="left"/>
              <w:rPr>
                <w:rFonts w:ascii="Times New Roman" w:hAnsi="Times New Roman" w:cs="Times New Roman"/>
                <w:sz w:val="18"/>
                <w:szCs w:val="18"/>
              </w:rPr>
            </w:pPr>
          </w:p>
          <w:p>
            <w:pPr>
              <w:pStyle w:val="BodyText"/>
              <w:jc w:val="left"/>
              <w:rPr>
                <w:rFonts w:ascii="Times New Roman" w:hAnsi="Times New Roman" w:cs="Times New Roman"/>
                <w:sz w:val="18"/>
                <w:szCs w:val="18"/>
              </w:rPr>
            </w:pPr>
          </w:p>
          <w:p>
            <w:pPr>
              <w:pStyle w:val="BodyText"/>
              <w:jc w:val="left"/>
              <w:rPr>
                <w:rFonts w:ascii="Times New Roman" w:hAnsi="Times New Roman" w:cs="Times New Roman"/>
                <w:sz w:val="18"/>
                <w:szCs w:val="18"/>
              </w:rPr>
            </w:pPr>
          </w:p>
          <w:p>
            <w:pPr>
              <w:pStyle w:val="BodyText"/>
              <w:jc w:val="left"/>
              <w:rPr>
                <w:rFonts w:ascii="Times New Roman" w:hAnsi="Times New Roman" w:cs="Times New Roman"/>
                <w:sz w:val="18"/>
                <w:szCs w:val="18"/>
              </w:rPr>
            </w:pPr>
          </w:p>
          <w:p>
            <w:pPr>
              <w:pStyle w:val="BodyText"/>
              <w:jc w:val="left"/>
              <w:rPr>
                <w:rFonts w:ascii="Times New Roman" w:hAnsi="Times New Roman" w:cs="Times New Roman"/>
                <w:sz w:val="18"/>
                <w:szCs w:val="18"/>
              </w:rPr>
            </w:pPr>
          </w:p>
          <w:p>
            <w:pPr>
              <w:pStyle w:val="BodyText"/>
              <w:jc w:val="left"/>
              <w:rPr>
                <w:rFonts w:ascii="Times New Roman" w:hAnsi="Times New Roman" w:cs="Times New Roman"/>
                <w:sz w:val="18"/>
                <w:szCs w:val="18"/>
              </w:rPr>
            </w:pPr>
          </w:p>
          <w:p>
            <w:pPr>
              <w:pStyle w:val="BodyText"/>
              <w:jc w:val="left"/>
              <w:rPr>
                <w:rFonts w:ascii="Times New Roman" w:hAnsi="Times New Roman" w:cs="Times New Roman"/>
                <w:sz w:val="18"/>
                <w:szCs w:val="18"/>
              </w:rPr>
            </w:pPr>
          </w:p>
          <w:p>
            <w:pPr>
              <w:pStyle w:val="BodyText"/>
              <w:jc w:val="left"/>
              <w:rPr>
                <w:rFonts w:ascii="Times New Roman" w:hAnsi="Times New Roman" w:cs="Times New Roman"/>
                <w:sz w:val="18"/>
                <w:szCs w:val="18"/>
              </w:rPr>
            </w:pPr>
          </w:p>
          <w:p>
            <w:pPr>
              <w:pStyle w:val="BodyText"/>
              <w:jc w:val="left"/>
              <w:rPr>
                <w:rFonts w:ascii="Times New Roman" w:hAnsi="Times New Roman" w:cs="Times New Roman"/>
                <w:sz w:val="18"/>
                <w:szCs w:val="18"/>
              </w:rPr>
            </w:pPr>
          </w:p>
          <w:p>
            <w:pPr>
              <w:pStyle w:val="BodyText"/>
              <w:jc w:val="left"/>
              <w:rPr>
                <w:rFonts w:ascii="Times New Roman" w:hAnsi="Times New Roman" w:cs="Times New Roman"/>
                <w:sz w:val="18"/>
                <w:szCs w:val="18"/>
              </w:rPr>
            </w:pPr>
          </w:p>
          <w:p>
            <w:pPr>
              <w:pStyle w:val="BodyText"/>
              <w:jc w:val="left"/>
              <w:rPr>
                <w:rFonts w:ascii="Times New Roman" w:hAnsi="Times New Roman" w:cs="Times New Roman"/>
                <w:sz w:val="18"/>
                <w:szCs w:val="18"/>
              </w:rPr>
            </w:pPr>
          </w:p>
          <w:p>
            <w:pPr>
              <w:pStyle w:val="BodyText"/>
              <w:jc w:val="left"/>
              <w:rPr>
                <w:rFonts w:ascii="Times New Roman" w:hAnsi="Times New Roman" w:cs="Times New Roman"/>
                <w:sz w:val="18"/>
                <w:szCs w:val="18"/>
              </w:rPr>
            </w:pPr>
          </w:p>
          <w:p>
            <w:pPr>
              <w:pStyle w:val="BodyText"/>
              <w:jc w:val="left"/>
              <w:rPr>
                <w:rFonts w:ascii="Times New Roman" w:hAnsi="Times New Roman" w:cs="Times New Roman"/>
                <w:sz w:val="18"/>
                <w:szCs w:val="18"/>
              </w:rPr>
            </w:pPr>
          </w:p>
          <w:p>
            <w:pPr>
              <w:pStyle w:val="BodyText"/>
              <w:jc w:val="left"/>
              <w:rPr>
                <w:rFonts w:ascii="Times New Roman" w:hAnsi="Times New Roman" w:cs="Times New Roman"/>
                <w:sz w:val="18"/>
                <w:szCs w:val="18"/>
              </w:rPr>
            </w:pPr>
          </w:p>
          <w:p>
            <w:pPr>
              <w:pStyle w:val="BodyText"/>
              <w:jc w:val="left"/>
              <w:rPr>
                <w:rFonts w:ascii="Times New Roman" w:hAnsi="Times New Roman" w:cs="Times New Roman"/>
                <w:sz w:val="18"/>
                <w:szCs w:val="18"/>
              </w:rPr>
            </w:pPr>
          </w:p>
          <w:p>
            <w:pPr>
              <w:pStyle w:val="BodyText"/>
              <w:jc w:val="left"/>
              <w:rPr>
                <w:rFonts w:ascii="Times New Roman" w:hAnsi="Times New Roman" w:cs="Times New Roman"/>
                <w:sz w:val="18"/>
                <w:szCs w:val="18"/>
              </w:rPr>
            </w:pPr>
          </w:p>
          <w:p>
            <w:pPr>
              <w:pStyle w:val="BodyText"/>
              <w:jc w:val="left"/>
              <w:rPr>
                <w:rFonts w:ascii="Times New Roman" w:hAnsi="Times New Roman" w:cs="Times New Roman"/>
                <w:sz w:val="18"/>
                <w:szCs w:val="18"/>
              </w:rPr>
            </w:pPr>
          </w:p>
          <w:p>
            <w:pPr>
              <w:pStyle w:val="BodyText"/>
              <w:jc w:val="left"/>
              <w:rPr>
                <w:rFonts w:ascii="Times New Roman" w:hAnsi="Times New Roman" w:cs="Times New Roman"/>
                <w:sz w:val="18"/>
                <w:szCs w:val="18"/>
              </w:rPr>
            </w:pPr>
          </w:p>
          <w:p>
            <w:pPr>
              <w:pStyle w:val="BodyText"/>
              <w:jc w:val="left"/>
              <w:rPr>
                <w:rFonts w:ascii="Times New Roman" w:hAnsi="Times New Roman" w:cs="Times New Roman"/>
                <w:sz w:val="18"/>
                <w:szCs w:val="18"/>
              </w:rPr>
            </w:pPr>
          </w:p>
          <w:p>
            <w:pPr>
              <w:pStyle w:val="BodyText"/>
              <w:jc w:val="left"/>
              <w:rPr>
                <w:rFonts w:ascii="Times New Roman" w:hAnsi="Times New Roman" w:cs="Times New Roman"/>
                <w:sz w:val="18"/>
                <w:szCs w:val="18"/>
              </w:rPr>
            </w:pPr>
          </w:p>
          <w:p>
            <w:pPr>
              <w:pStyle w:val="BodyText"/>
              <w:jc w:val="left"/>
              <w:rPr>
                <w:rFonts w:ascii="Times New Roman" w:hAnsi="Times New Roman" w:cs="Times New Roman"/>
                <w:sz w:val="18"/>
                <w:szCs w:val="18"/>
              </w:rPr>
            </w:pPr>
          </w:p>
          <w:p>
            <w:pPr>
              <w:pStyle w:val="BodyText"/>
              <w:jc w:val="left"/>
              <w:rPr>
                <w:rFonts w:ascii="Times New Roman" w:hAnsi="Times New Roman" w:cs="Times New Roman"/>
                <w:sz w:val="18"/>
                <w:szCs w:val="18"/>
              </w:rPr>
            </w:pPr>
          </w:p>
          <w:p>
            <w:pPr>
              <w:pStyle w:val="BodyText"/>
              <w:jc w:val="left"/>
              <w:rPr>
                <w:rFonts w:ascii="Times New Roman" w:hAnsi="Times New Roman" w:cs="Times New Roman"/>
                <w:sz w:val="18"/>
                <w:szCs w:val="18"/>
              </w:rPr>
            </w:pPr>
            <w:r>
              <w:rPr>
                <w:rFonts w:ascii="Times New Roman" w:hAnsi="Times New Roman" w:cs="Times New Roman"/>
                <w:sz w:val="18"/>
                <w:szCs w:val="18"/>
              </w:rPr>
              <w:t xml:space="preserve">(10) </w:t>
            </w:r>
            <w:r>
              <w:rPr>
                <w:rFonts w:ascii="Times New Roman" w:hAnsi="Times New Roman" w:cs="Times New Roman"/>
                <w:sz w:val="18"/>
              </w:rPr>
              <w:t>Ak v dôsledku získania podielu podľa odseku 1 by sa poisťovňa alebo zaisťovňa stala súčasťou finančného konglomerátu, ktorého súčasťou je aj zmiešaná finančná holdingová spoločnosť, podmienkou na udelenie predchádzajúceho súhlasu úradu je aj preukázanie dôveryhodnosti a odbornej spôsobilosti fyzických osôb, ktoré sú členmi štatutárneho orgánu alebo akcionármi kontrolujúcimi zmiešanú finančnú holdingovú spoločnosť a vhodnosti akcionárov kontrolujúcich zmiešanú finančnú holdingovú spoločnosť.</w:t>
            </w:r>
          </w:p>
          <w:p>
            <w:pPr>
              <w:pStyle w:val="BodyText"/>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Ú</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N</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Ú</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jc w:val="left"/>
              <w:rPr>
                <w:rFonts w:ascii="Times New Roman" w:hAnsi="Times New Roman" w:cs="Times New Roman"/>
                <w:sz w:val="18"/>
                <w:szCs w:val="18"/>
              </w:rPr>
            </w:pPr>
          </w:p>
        </w:tc>
        <w:tc>
          <w:tcPr>
            <w:tcW w:w="109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r>
              <w:rPr>
                <w:rFonts w:ascii="Times New Roman" w:hAnsi="Times New Roman" w:cs="Times New Roman"/>
                <w:sz w:val="18"/>
                <w:szCs w:val="18"/>
              </w:rPr>
              <w:t>Vyhl. č. .../2004 o doplnkovom dozore vo finančných konglomerátoch</w:t>
            </w:r>
          </w:p>
        </w:tc>
        <w:tc>
          <w:tcPr>
            <w:tcW w:w="6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jc w:val="left"/>
              <w:rPr>
                <w:rFonts w:ascii="Times New Roman" w:hAnsi="Times New Roman" w:cs="Times New Roman"/>
                <w:sz w:val="18"/>
                <w:szCs w:val="18"/>
              </w:rPr>
            </w:pPr>
          </w:p>
        </w:tc>
      </w:tr>
      <w:tr>
        <w:tblPrEx>
          <w:tblW w:w="15737"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Čl. 29</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spacing w:after="0"/>
              <w:rPr>
                <w:rFonts w:ascii="Times New Roman" w:hAnsi="Times New Roman" w:cs="Times New Roman"/>
                <w:b/>
                <w:bCs/>
                <w:sz w:val="18"/>
                <w:szCs w:val="18"/>
                <w:lang w:val="sk-SK"/>
              </w:rPr>
            </w:pPr>
            <w:r>
              <w:rPr>
                <w:rFonts w:ascii="Times New Roman" w:hAnsi="Times New Roman" w:cs="Times New Roman"/>
                <w:b/>
                <w:bCs/>
                <w:sz w:val="18"/>
                <w:szCs w:val="18"/>
                <w:lang w:val="sk-SK"/>
              </w:rPr>
              <w:t>Zmeny a doplnky smernice 2000/12/ES</w:t>
            </w:r>
          </w:p>
          <w:p>
            <w:pPr>
              <w:tabs>
                <w:tab w:val="left" w:pos="426"/>
                <w:tab w:val="left" w:pos="851"/>
              </w:tabs>
              <w:spacing w:after="0"/>
              <w:rPr>
                <w:rFonts w:ascii="Times New Roman" w:hAnsi="Times New Roman" w:cs="Times New Roman"/>
                <w:sz w:val="18"/>
                <w:szCs w:val="18"/>
                <w:lang w:val="sk-SK"/>
              </w:rPr>
            </w:pPr>
          </w:p>
          <w:p>
            <w:pPr>
              <w:tabs>
                <w:tab w:val="left" w:pos="426"/>
                <w:tab w:val="left" w:pos="851"/>
              </w:tabs>
              <w:spacing w:after="0"/>
              <w:rPr>
                <w:rFonts w:ascii="Times New Roman" w:hAnsi="Times New Roman" w:cs="Times New Roman"/>
                <w:sz w:val="18"/>
                <w:szCs w:val="18"/>
                <w:lang w:val="sk-SK"/>
              </w:rPr>
            </w:pPr>
            <w:r>
              <w:rPr>
                <w:rFonts w:ascii="Times New Roman" w:hAnsi="Times New Roman" w:cs="Times New Roman"/>
                <w:sz w:val="18"/>
                <w:szCs w:val="18"/>
                <w:lang w:val="sk-SK"/>
              </w:rPr>
              <w:t>Smernica 2000/12/ES sa mení a dopĺňa takto:</w:t>
            </w:r>
          </w:p>
          <w:p>
            <w:pPr>
              <w:tabs>
                <w:tab w:val="left" w:pos="426"/>
                <w:tab w:val="left" w:pos="851"/>
              </w:tabs>
              <w:spacing w:after="0"/>
              <w:rPr>
                <w:rFonts w:ascii="Times New Roman" w:hAnsi="Times New Roman" w:cs="Times New Roman"/>
                <w:sz w:val="18"/>
                <w:szCs w:val="18"/>
                <w:lang w:val="sk-SK"/>
              </w:rPr>
            </w:pPr>
            <w:r>
              <w:rPr>
                <w:rFonts w:ascii="Times New Roman" w:hAnsi="Times New Roman" w:cs="Times New Roman"/>
                <w:sz w:val="18"/>
                <w:szCs w:val="18"/>
                <w:lang w:val="sk-SK"/>
              </w:rPr>
              <w:t>1.</w:t>
              <w:tab/>
              <w:t>Článok 1 sa mení a dopĺňa takto:</w:t>
            </w:r>
          </w:p>
          <w:p>
            <w:pPr>
              <w:tabs>
                <w:tab w:val="left" w:pos="426"/>
                <w:tab w:val="left" w:pos="851"/>
              </w:tabs>
              <w:spacing w:after="0"/>
              <w:rPr>
                <w:rFonts w:ascii="Times New Roman" w:hAnsi="Times New Roman" w:cs="Times New Roman"/>
                <w:sz w:val="18"/>
                <w:szCs w:val="18"/>
                <w:lang w:val="sk-SK"/>
              </w:rPr>
            </w:pPr>
            <w:r>
              <w:rPr>
                <w:rFonts w:ascii="Times New Roman" w:hAnsi="Times New Roman" w:cs="Times New Roman"/>
                <w:sz w:val="18"/>
                <w:szCs w:val="18"/>
                <w:lang w:val="sk-SK"/>
              </w:rPr>
              <w:t>(a)</w:t>
              <w:tab/>
              <w:t>Bod (9) sa nahrádza týmto textom:</w:t>
            </w:r>
          </w:p>
          <w:p>
            <w:pPr>
              <w:tabs>
                <w:tab w:val="left" w:pos="355"/>
              </w:tabs>
              <w:spacing w:after="0"/>
              <w:ind w:firstLine="0"/>
              <w:rPr>
                <w:rFonts w:ascii="Times New Roman" w:hAnsi="Times New Roman" w:cs="Times New Roman"/>
                <w:sz w:val="18"/>
                <w:szCs w:val="18"/>
                <w:lang w:val="sk-SK"/>
              </w:rPr>
            </w:pPr>
            <w:r>
              <w:rPr>
                <w:rFonts w:ascii="Times New Roman" w:hAnsi="Times New Roman" w:cs="Times New Roman"/>
                <w:sz w:val="18"/>
                <w:szCs w:val="18"/>
                <w:lang w:val="sk-SK"/>
              </w:rPr>
              <w:t xml:space="preserve"> „9.</w:t>
              <w:tab/>
              <w:t xml:space="preserve">   „majetková účasť na účely dohľadu na konsolidovanom základe a na účely bodov 15 a 16 článku 34 ods.2“ znamená majetkovú účasť v zmysle prvej vety článku 17 smernice 78/660/EHS alebo vlastníctvo, priame alebo nepriame, 20 % alebo viac hlasovacích práv alebo kapitálu spoločnosti,“</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(b)</w:t>
              <w:tab/>
              <w:t>Body (21) a (22) sa nahrádzajú týmto textom:</w:t>
            </w:r>
          </w:p>
          <w:p>
            <w:pPr>
              <w:tabs>
                <w:tab w:val="left" w:pos="355"/>
              </w:tabs>
              <w:spacing w:after="0"/>
              <w:ind w:firstLine="0"/>
              <w:rPr>
                <w:rFonts w:ascii="Times New Roman" w:hAnsi="Times New Roman" w:cs="Times New Roman"/>
                <w:sz w:val="18"/>
                <w:szCs w:val="18"/>
                <w:lang w:val="sk-SK"/>
              </w:rPr>
            </w:pPr>
            <w:r>
              <w:rPr>
                <w:rFonts w:ascii="Times New Roman" w:hAnsi="Times New Roman" w:cs="Times New Roman"/>
                <w:sz w:val="18"/>
                <w:szCs w:val="18"/>
                <w:lang w:val="sk-SK"/>
              </w:rPr>
              <w:t>„21.</w:t>
              <w:tab/>
              <w:t>„finančná holdingová spoločnosť“ znamená finančný ústav, ktorého dcérskymi spoločnosťami sú buď výhradne alebo prevažne úverové ústavy alebo finančné ústavy, pričom aspoň jedna takáto dcérska spoločnosť je úverovým ústavom, a ktorý nie je zmiešanou finančnou holdingovou spoločnosťou v zmysle smernice 2002/87/ES Európskeho parlamentu a Rady zo 16. decembra 2002 o doplňujúcom dohľade nad úverovými ústavmi, poisťovňami a investičnými firmami vo finančnom konglomeráte;</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22. </w:t>
              <w:tab/>
              <w:t>„holdingová spoločnosť so zmiešanou činnosťou“ znamená materskú spoločnosť inú ako finančná holdingová spoločnosť, úverový ústav alebo zmiešaná finančná holdingová spoločnosť v zmysle smernice 2002/87/ES, ktorej aspoň jedna dcérska spoločnosť je úverový ústav</w:t>
            </w:r>
          </w:p>
          <w:p>
            <w:pPr>
              <w:tabs>
                <w:tab w:val="left" w:pos="426"/>
                <w:tab w:val="left" w:pos="851"/>
              </w:tabs>
              <w:spacing w:after="0"/>
              <w:rPr>
                <w:rFonts w:ascii="Times New Roman" w:hAnsi="Times New Roman" w:cs="Times New Roman"/>
                <w:sz w:val="18"/>
                <w:szCs w:val="18"/>
                <w:lang w:val="sk-SK"/>
              </w:rPr>
            </w:pPr>
            <w:r>
              <w:rPr>
                <w:rFonts w:ascii="Times New Roman" w:hAnsi="Times New Roman" w:cs="Times New Roman"/>
                <w:sz w:val="18"/>
                <w:szCs w:val="18"/>
                <w:lang w:val="sk-SK"/>
              </w:rPr>
              <w:t>2.</w:t>
              <w:tab/>
              <w:t>V článku 12 sa pridávajú tieto  odseky:</w:t>
            </w:r>
          </w:p>
          <w:p>
            <w:pPr>
              <w:tabs>
                <w:tab w:val="left" w:pos="355"/>
              </w:tabs>
              <w:spacing w:after="0"/>
              <w:rPr>
                <w:rFonts w:ascii="Times New Roman" w:hAnsi="Times New Roman" w:cs="Times New Roman"/>
                <w:sz w:val="18"/>
                <w:szCs w:val="18"/>
                <w:lang w:val="sk-SK"/>
              </w:rPr>
            </w:pPr>
            <w:r>
              <w:rPr>
                <w:rFonts w:ascii="Times New Roman" w:hAnsi="Times New Roman" w:cs="Times New Roman"/>
                <w:sz w:val="18"/>
                <w:szCs w:val="18"/>
                <w:lang w:val="sk-SK"/>
              </w:rPr>
              <w:t>„S príslušným orgánom dotknutého členského štátu, ktorý je zodpovedný za dohľad nad poisťovňami alebo investičnými firmami, treba konzultovať pred udelením oprávnenia úverovému ústavu, ktorý je:</w:t>
            </w:r>
          </w:p>
          <w:p>
            <w:pPr>
              <w:tabs>
                <w:tab w:val="left" w:pos="355"/>
                <w:tab w:val="left" w:pos="426"/>
              </w:tabs>
              <w:spacing w:after="0"/>
              <w:rPr>
                <w:rFonts w:ascii="Times New Roman" w:hAnsi="Times New Roman" w:cs="Times New Roman"/>
                <w:sz w:val="18"/>
                <w:szCs w:val="18"/>
                <w:lang w:val="sk-SK"/>
              </w:rPr>
            </w:pPr>
            <w:r>
              <w:rPr>
                <w:rFonts w:ascii="Times New Roman" w:hAnsi="Times New Roman" w:cs="Times New Roman"/>
                <w:sz w:val="18"/>
                <w:szCs w:val="18"/>
                <w:lang w:val="sk-SK"/>
              </w:rPr>
              <w:t>(a)</w:t>
              <w:tab/>
              <w:t>dcérskou spoločnosťou poisťovne alebo investičnej firmy oprávnenej v Spoločenstve,</w:t>
            </w:r>
          </w:p>
          <w:p>
            <w:pPr>
              <w:tabs>
                <w:tab w:val="left" w:pos="355"/>
                <w:tab w:val="left" w:pos="426"/>
              </w:tabs>
              <w:spacing w:after="0"/>
              <w:rPr>
                <w:rFonts w:ascii="Times New Roman" w:hAnsi="Times New Roman" w:cs="Times New Roman"/>
                <w:sz w:val="18"/>
                <w:szCs w:val="18"/>
                <w:lang w:val="sk-SK"/>
              </w:rPr>
            </w:pPr>
            <w:r>
              <w:rPr>
                <w:rFonts w:ascii="Times New Roman" w:hAnsi="Times New Roman" w:cs="Times New Roman"/>
                <w:sz w:val="18"/>
                <w:szCs w:val="18"/>
                <w:lang w:val="sk-SK"/>
              </w:rPr>
              <w:t>(b)</w:t>
              <w:tab/>
              <w:t>dcérskou spoločnosťou materskej spoločnosti poisťovne alebo investičnej firmy oprávnenej v Spoločenstve alebo</w:t>
            </w:r>
          </w:p>
          <w:p>
            <w:pPr>
              <w:tabs>
                <w:tab w:val="left" w:pos="355"/>
                <w:tab w:val="left" w:pos="426"/>
              </w:tabs>
              <w:spacing w:after="0"/>
              <w:rPr>
                <w:rFonts w:ascii="Times New Roman" w:hAnsi="Times New Roman" w:cs="Times New Roman"/>
                <w:sz w:val="18"/>
                <w:szCs w:val="18"/>
                <w:lang w:val="sk-SK"/>
              </w:rPr>
            </w:pPr>
            <w:r>
              <w:rPr>
                <w:rFonts w:ascii="Times New Roman" w:hAnsi="Times New Roman" w:cs="Times New Roman"/>
                <w:sz w:val="18"/>
                <w:szCs w:val="18"/>
                <w:lang w:val="sk-SK"/>
              </w:rPr>
              <w:t>(c)</w:t>
              <w:tab/>
              <w:t>riadený tou istou osobou, fyzickou alebo právnickou, ktorá riadi poisťovňu alebo investičnú firmu oprávnenú v Spoločenstve.</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Príslušné kompetentné orgány ustanovené v prvom a druhom odseku musia konzultovať navzájom najmä pri hodnotení vhodnosti akcionárov a dobrej povesti a skúseností riaditeľov angažovaných v manažmente iného subjektu tej istej skupiny. Musia sa vzájomne informovať o všetkých informáciách týkajúcich sa vhodnosti akcionárov a dobrej povesti a skúseností riaditeľov, ktoré sú dôležité pre ostatné zainteresované príslušné orgány pri udeľovaní oprávnenia ako aj pri stálom hodnotení dodržiavania podmienok činnosti.“</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52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109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jc w:val="left"/>
              <w:rPr>
                <w:rFonts w:ascii="Times New Roman" w:hAnsi="Times New Roman" w:cs="Times New Roman"/>
                <w:sz w:val="18"/>
                <w:szCs w:val="18"/>
              </w:rPr>
            </w:pPr>
            <w:r>
              <w:rPr>
                <w:rFonts w:ascii="Times New Roman" w:hAnsi="Times New Roman" w:cs="Times New Roman"/>
                <w:sz w:val="18"/>
                <w:szCs w:val="18"/>
              </w:rPr>
              <w:t>Návrh zákona, ktorým sa mení a dopĺňa zákon č. 483/2001 Z.z. o bankách.</w:t>
            </w:r>
          </w:p>
        </w:tc>
        <w:tc>
          <w:tcPr>
            <w:tcW w:w="6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7"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tabs>
                <w:tab w:val="left" w:pos="426"/>
              </w:tabs>
              <w:spacing w:after="0"/>
              <w:ind w:firstLine="0"/>
              <w:jc w:val="left"/>
              <w:rPr>
                <w:rFonts w:ascii="Times New Roman" w:hAnsi="Times New Roman" w:cs="Times New Roman"/>
                <w:sz w:val="18"/>
                <w:szCs w:val="18"/>
                <w:lang w:val="sk-SK"/>
              </w:rPr>
            </w:pPr>
            <w:r>
              <w:rPr>
                <w:rFonts w:ascii="Times New Roman" w:hAnsi="Times New Roman" w:cs="Times New Roman"/>
                <w:sz w:val="18"/>
                <w:szCs w:val="18"/>
                <w:lang w:val="sk-SK"/>
              </w:rPr>
              <w:t>3.</w:t>
              <w:tab/>
              <w:t>Článo</w:t>
            </w:r>
            <w:r>
              <w:rPr>
                <w:rFonts w:ascii="Times New Roman" w:hAnsi="Times New Roman" w:cs="Times New Roman"/>
                <w:sz w:val="18"/>
                <w:szCs w:val="18"/>
                <w:lang w:val="sk-SK"/>
              </w:rPr>
              <w:t>k 16 ods. 2 sa nahrádza týmto znením:</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„2.</w:t>
              <w:tab/>
              <w:t>Ak nadobúdateľ vlastníckeho podielu, ktorý sa ustanovuje v odseku 1, je úverovým ústavom, poisťovňou alebo investičnou firmou oprávnenou v inom členskom štáte resp. materskou spoločnosťou úverového ústavu, poisťovne alebo investičnej firmy oprávnenej v inom členskom štáte alebo fyzickou alebo právnickou osobou kontrolujúcou úverový ústav, poisťovňu alebo investičnú firmu oprávnenú v inom členskom štáte a ak v dôsledku tohto nadobudnutia ústav, v ktorom nadobúdateľ plánuje vlastniť daný podiel, sa stane dcérskou spoločnosťou alebo prejde pod kontrolu nadobúdateľa, vyhodnotenie tejto akvizície musí byť predmetom predchádzajúcej konzultácie, ktorá sa ustanovuje v článku 12.“</w:t>
            </w:r>
          </w:p>
          <w:p>
            <w:pPr>
              <w:tabs>
                <w:tab w:val="left" w:pos="426"/>
                <w:tab w:val="left" w:pos="851"/>
              </w:tabs>
              <w:spacing w:after="0"/>
              <w:ind w:firstLine="0"/>
              <w:jc w:val="left"/>
              <w:rPr>
                <w:rFonts w:ascii="Times New Roman" w:hAnsi="Times New Roman" w:cs="Times New Roman"/>
                <w:sz w:val="18"/>
                <w:szCs w:val="18"/>
                <w:lang w:val="sk-SK"/>
              </w:rPr>
            </w:pPr>
            <w:r>
              <w:rPr>
                <w:rFonts w:ascii="Times New Roman" w:hAnsi="Times New Roman" w:cs="Times New Roman"/>
                <w:sz w:val="18"/>
                <w:szCs w:val="18"/>
                <w:lang w:val="sk-SK"/>
              </w:rPr>
              <w:t>4.</w:t>
              <w:tab/>
              <w:t>Článok 34 ods. 2 sa mení a dopĺňa takto:</w:t>
            </w:r>
          </w:p>
          <w:p>
            <w:pPr>
              <w:tabs>
                <w:tab w:val="left" w:pos="355"/>
                <w:tab w:val="left" w:pos="851"/>
              </w:tabs>
              <w:spacing w:after="0"/>
              <w:rPr>
                <w:rFonts w:ascii="Times New Roman" w:hAnsi="Times New Roman" w:cs="Times New Roman"/>
                <w:sz w:val="18"/>
                <w:szCs w:val="18"/>
                <w:lang w:val="sk-SK"/>
              </w:rPr>
            </w:pPr>
            <w:r>
              <w:rPr>
                <w:rFonts w:ascii="Times New Roman" w:hAnsi="Times New Roman" w:cs="Times New Roman"/>
                <w:sz w:val="18"/>
                <w:szCs w:val="18"/>
                <w:lang w:val="sk-SK"/>
              </w:rPr>
              <w:t>(a)</w:t>
              <w:tab/>
              <w:t>Prvý pododsek bodov 12 a 13 sa nahrádza týmto znením:</w:t>
            </w:r>
          </w:p>
          <w:p>
            <w:pPr>
              <w:tabs>
                <w:tab w:val="left" w:pos="355"/>
              </w:tabs>
              <w:spacing w:after="0"/>
              <w:ind w:firstLine="0"/>
              <w:jc w:val="left"/>
              <w:rPr>
                <w:rFonts w:ascii="Times New Roman" w:hAnsi="Times New Roman" w:cs="Times New Roman"/>
                <w:sz w:val="18"/>
                <w:szCs w:val="18"/>
                <w:lang w:val="sk-SK"/>
              </w:rPr>
            </w:pPr>
            <w:r>
              <w:rPr>
                <w:rFonts w:ascii="Times New Roman" w:hAnsi="Times New Roman" w:cs="Times New Roman"/>
                <w:sz w:val="18"/>
                <w:szCs w:val="18"/>
                <w:lang w:val="sk-SK"/>
              </w:rPr>
              <w:t>„12.</w:t>
              <w:tab/>
              <w:t>podiely v iných úverových a finančných ústavoch vo výške viac ako 10 % ich kapitálu;</w:t>
            </w:r>
          </w:p>
          <w:p>
            <w:pPr>
              <w:tabs>
                <w:tab w:val="left" w:pos="355"/>
              </w:tabs>
              <w:spacing w:after="0"/>
              <w:ind w:firstLine="0"/>
              <w:jc w:val="left"/>
              <w:rPr>
                <w:rFonts w:ascii="Times New Roman" w:hAnsi="Times New Roman" w:cs="Times New Roman"/>
                <w:sz w:val="18"/>
                <w:szCs w:val="18"/>
                <w:lang w:val="sk-SK"/>
              </w:rPr>
            </w:pPr>
            <w:r>
              <w:rPr>
                <w:rFonts w:ascii="Times New Roman" w:hAnsi="Times New Roman" w:cs="Times New Roman"/>
                <w:sz w:val="18"/>
                <w:szCs w:val="18"/>
                <w:lang w:val="sk-SK"/>
              </w:rPr>
              <w:t xml:space="preserve">13. </w:t>
              <w:tab/>
              <w:t>podriadené pohľadávky a nástroje ustanovené v článkoch 35 a36 ods. 3, ktoré úverový ústav vlastní vo vzťahu k úverovým a finančným ústavom, v ktorých má v každom prípade podiel prevyšujúci 10 % kapitálu;</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14.</w:t>
              <w:tab/>
              <w:t xml:space="preserve">        podiely v iných úverových a finančných ústavoch do 10 % ich kapitálu, podriadených pohľadávok a nástrojov ustanovených v článku 35 a článku 36 ods. 3, ktoré úverový ústav vlastní vo vzťahu k úverovým a finančným ústavom iným ako ústavy ustanovené v bodoch 12 a 13 tohto pododseku vo vzťahu k úhrnnej sume týchto podielov, podriadených pohľadávok a nástrojov, ktorá prevyšuje 10 % vlastných zdrojov tohto úverového ústavu vypočítaných pred odpočítaním položiek v bodoch 12 až 16 tohto pododseku;</w:t>
            </w:r>
          </w:p>
          <w:p>
            <w:pPr>
              <w:tabs>
                <w:tab w:val="left" w:pos="355"/>
              </w:tabs>
              <w:spacing w:after="0"/>
              <w:ind w:firstLine="0"/>
              <w:jc w:val="left"/>
              <w:rPr>
                <w:rFonts w:ascii="Times New Roman" w:hAnsi="Times New Roman" w:cs="Times New Roman"/>
                <w:sz w:val="18"/>
                <w:szCs w:val="18"/>
                <w:lang w:val="sk-SK"/>
              </w:rPr>
            </w:pPr>
            <w:r>
              <w:rPr>
                <w:rFonts w:ascii="Times New Roman" w:hAnsi="Times New Roman" w:cs="Times New Roman"/>
                <w:sz w:val="18"/>
                <w:szCs w:val="18"/>
                <w:lang w:val="sk-SK"/>
              </w:rPr>
              <w:t>15.</w:t>
              <w:tab/>
              <w:t xml:space="preserve"> majetkové účasti v zmysle článku 1 ods. 9, ktoré úverový ústav vlastní v</w:t>
            </w:r>
          </w:p>
          <w:p>
            <w:pPr>
              <w:numPr>
                <w:ilvl w:val="0"/>
                <w:numId w:val="39"/>
              </w:numPr>
              <w:tabs>
                <w:tab w:val="left" w:pos="355"/>
                <w:tab w:val="clear" w:pos="1248"/>
              </w:tabs>
              <w:spacing w:after="0"/>
              <w:ind w:left="0" w:firstLine="0"/>
              <w:jc w:val="left"/>
              <w:rPr>
                <w:rFonts w:ascii="Times New Roman" w:hAnsi="Times New Roman" w:cs="Times New Roman"/>
                <w:sz w:val="18"/>
                <w:szCs w:val="18"/>
                <w:lang w:val="sk-SK"/>
              </w:rPr>
            </w:pPr>
            <w:r>
              <w:rPr>
                <w:rFonts w:ascii="Times New Roman" w:hAnsi="Times New Roman" w:cs="Times New Roman"/>
                <w:sz w:val="18"/>
                <w:szCs w:val="18"/>
                <w:lang w:val="sk-SK"/>
              </w:rPr>
              <w:t>poisťovniach v zmysle článku 6 smernice 73/239/EHS, článku 6 smernice 79/267/EHS alebo článku 1 písm. b smernice 98/78/ES Európskeho parlamentu a Rady,</w:t>
            </w:r>
          </w:p>
          <w:p>
            <w:pPr>
              <w:numPr>
                <w:ilvl w:val="0"/>
                <w:numId w:val="39"/>
              </w:numPr>
              <w:tabs>
                <w:tab w:val="left" w:pos="355"/>
                <w:tab w:val="clear" w:pos="1248"/>
              </w:tabs>
              <w:spacing w:after="0"/>
              <w:ind w:left="0" w:firstLine="0"/>
              <w:jc w:val="left"/>
              <w:rPr>
                <w:rFonts w:ascii="Times New Roman" w:hAnsi="Times New Roman" w:cs="Times New Roman"/>
                <w:sz w:val="18"/>
                <w:szCs w:val="18"/>
                <w:lang w:val="sk-SK"/>
              </w:rPr>
            </w:pPr>
            <w:r>
              <w:rPr>
                <w:rFonts w:ascii="Times New Roman" w:hAnsi="Times New Roman" w:cs="Times New Roman"/>
                <w:sz w:val="18"/>
                <w:szCs w:val="18"/>
                <w:lang w:val="sk-SK"/>
              </w:rPr>
              <w:t>zaisťovniach v zmysle článku 1 písm. c  smernice 98/78/ES,</w:t>
            </w:r>
          </w:p>
          <w:p>
            <w:pPr>
              <w:numPr>
                <w:ilvl w:val="0"/>
                <w:numId w:val="39"/>
              </w:numPr>
              <w:tabs>
                <w:tab w:val="left" w:pos="355"/>
                <w:tab w:val="clear" w:pos="1248"/>
              </w:tabs>
              <w:spacing w:after="0"/>
              <w:ind w:left="0" w:firstLine="0"/>
              <w:jc w:val="left"/>
              <w:rPr>
                <w:rFonts w:ascii="Times New Roman" w:hAnsi="Times New Roman" w:cs="Times New Roman"/>
                <w:sz w:val="18"/>
                <w:szCs w:val="18"/>
                <w:lang w:val="sk-SK"/>
              </w:rPr>
            </w:pPr>
            <w:r>
              <w:rPr>
                <w:rFonts w:ascii="Times New Roman" w:hAnsi="Times New Roman" w:cs="Times New Roman"/>
                <w:sz w:val="18"/>
                <w:szCs w:val="18"/>
                <w:lang w:val="sk-SK"/>
              </w:rPr>
              <w:t>poisťovacích holdingových spoločnostiach v zmysle článku 1 písm. i smernice 98/78/ES,</w:t>
            </w:r>
          </w:p>
          <w:p>
            <w:pPr>
              <w:tabs>
                <w:tab w:val="left" w:pos="355"/>
              </w:tabs>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16. </w:t>
              <w:tab/>
              <w:t>každú z nasledujúcich položiek, ktorú úverový ústav vlastní vo vzťahu k subjektom definovaným v bode (15), v ktorých vlastní majetkovú účasť:</w:t>
            </w:r>
          </w:p>
          <w:p>
            <w:pPr>
              <w:numPr>
                <w:ilvl w:val="0"/>
                <w:numId w:val="39"/>
              </w:numPr>
              <w:tabs>
                <w:tab w:val="left" w:pos="355"/>
                <w:tab w:val="left" w:pos="851"/>
                <w:tab w:val="left" w:pos="1248"/>
              </w:tabs>
              <w:spacing w:after="0"/>
              <w:ind w:left="0" w:firstLine="0"/>
              <w:jc w:val="left"/>
              <w:rPr>
                <w:rFonts w:ascii="Times New Roman" w:hAnsi="Times New Roman" w:cs="Times New Roman"/>
                <w:sz w:val="18"/>
                <w:szCs w:val="18"/>
                <w:lang w:val="sk-SK"/>
              </w:rPr>
            </w:pPr>
            <w:r>
              <w:rPr>
                <w:rFonts w:ascii="Times New Roman" w:hAnsi="Times New Roman" w:cs="Times New Roman"/>
                <w:sz w:val="18"/>
                <w:szCs w:val="18"/>
                <w:lang w:val="sk-SK"/>
              </w:rPr>
              <w:t>nástroje ustanovené v článku 16 ods. 3smernice 73/239/EHS,</w:t>
            </w:r>
          </w:p>
          <w:p>
            <w:pPr>
              <w:numPr>
                <w:ilvl w:val="0"/>
                <w:numId w:val="39"/>
              </w:numPr>
              <w:tabs>
                <w:tab w:val="left" w:pos="355"/>
                <w:tab w:val="left" w:pos="851"/>
                <w:tab w:val="left" w:pos="1248"/>
              </w:tabs>
              <w:spacing w:after="0"/>
              <w:ind w:left="0" w:firstLine="0"/>
              <w:jc w:val="left"/>
              <w:rPr>
                <w:rFonts w:ascii="Times New Roman" w:hAnsi="Times New Roman" w:cs="Times New Roman"/>
                <w:sz w:val="18"/>
                <w:szCs w:val="18"/>
                <w:lang w:val="sk-SK"/>
              </w:rPr>
            </w:pPr>
            <w:r>
              <w:rPr>
                <w:rFonts w:ascii="Times New Roman" w:hAnsi="Times New Roman" w:cs="Times New Roman"/>
                <w:sz w:val="18"/>
                <w:szCs w:val="18"/>
                <w:lang w:val="sk-SK"/>
              </w:rPr>
              <w:t>nástroje ustanovené v článku 18 ods. 3 smernice 79/267/EHS,</w:t>
            </w:r>
          </w:p>
          <w:p>
            <w:pPr>
              <w:spacing w:after="0"/>
              <w:rPr>
                <w:rFonts w:ascii="Times New Roman" w:hAnsi="Times New Roman" w:cs="Times New Roman"/>
                <w:sz w:val="18"/>
                <w:szCs w:val="18"/>
                <w:lang w:val="sk-SK"/>
              </w:rPr>
            </w:pPr>
          </w:p>
          <w:p>
            <w:pPr>
              <w:tabs>
                <w:tab w:val="left" w:pos="426"/>
                <w:tab w:val="left" w:pos="851"/>
              </w:tabs>
              <w:spacing w:after="0"/>
              <w:rPr>
                <w:rFonts w:ascii="Times New Roman" w:hAnsi="Times New Roman" w:cs="Times New Roman"/>
                <w:sz w:val="18"/>
                <w:szCs w:val="18"/>
                <w:lang w:val="sk-SK"/>
              </w:rPr>
            </w:pPr>
            <w:r>
              <w:rPr>
                <w:rFonts w:ascii="Times New Roman" w:hAnsi="Times New Roman" w:cs="Times New Roman"/>
                <w:sz w:val="18"/>
                <w:szCs w:val="18"/>
                <w:lang w:val="sk-SK"/>
              </w:rPr>
              <w:t>(b)</w:t>
              <w:tab/>
              <w:t>Druhý pododsek sa nahrádza</w:t>
            </w:r>
            <w:r>
              <w:rPr>
                <w:rFonts w:ascii="Times New Roman" w:hAnsi="Times New Roman" w:cs="Times New Roman"/>
                <w:sz w:val="18"/>
                <w:szCs w:val="18"/>
                <w:lang w:val="sk-SK"/>
              </w:rPr>
              <w:t xml:space="preserve"> týmto znením:</w:t>
            </w:r>
          </w:p>
          <w:p>
            <w:pPr>
              <w:tabs>
                <w:tab w:val="left" w:pos="426"/>
              </w:tabs>
              <w:spacing w:after="0"/>
              <w:ind w:firstLine="0"/>
              <w:jc w:val="left"/>
              <w:rPr>
                <w:rFonts w:ascii="Times New Roman" w:hAnsi="Times New Roman" w:cs="Times New Roman"/>
                <w:sz w:val="18"/>
                <w:szCs w:val="18"/>
                <w:lang w:val="sk-SK"/>
              </w:rPr>
            </w:pPr>
            <w:r>
              <w:rPr>
                <w:rFonts w:ascii="Times New Roman" w:hAnsi="Times New Roman" w:cs="Times New Roman"/>
                <w:sz w:val="18"/>
                <w:szCs w:val="18"/>
                <w:lang w:val="sk-SK"/>
              </w:rPr>
              <w:t>„Ak akcie v inom úverovom ústave, finančnom ústave, poisťovni, zaisťovni alebo poisťovacej holdingovej spoločnosti sú vlastnené dočasne na účel operácie finančnej pomoci na reorganizáciu a záchranu tohto subjektu, príslušný orgán môže upustiť od ustanovení o odpočítaní zakotvených v bodoch 12 až 16.</w:t>
            </w:r>
          </w:p>
          <w:p>
            <w:pPr>
              <w:tabs>
                <w:tab w:val="left" w:pos="426"/>
              </w:tabs>
              <w:spacing w:after="0"/>
              <w:rPr>
                <w:rFonts w:ascii="Times New Roman" w:hAnsi="Times New Roman" w:cs="Times New Roman"/>
                <w:sz w:val="18"/>
                <w:szCs w:val="18"/>
                <w:lang w:val="sk-SK"/>
              </w:rPr>
            </w:pPr>
            <w:r>
              <w:rPr>
                <w:rFonts w:ascii="Times New Roman" w:hAnsi="Times New Roman" w:cs="Times New Roman"/>
                <w:sz w:val="18"/>
                <w:szCs w:val="18"/>
                <w:lang w:val="sk-SK"/>
              </w:rPr>
              <w:t>Členské štáty ako alternatívu k odpočítaniu položiek ustanovených v bodoch 15 a 16 môžu povoliť, aby ich úverové ústavy uplatňovali, s nutnými zmenami, metódy 1, 2 alebo 3 prílohy I smernice 2002/87/ES. Metóda 1 (účtovná konsolidácia) sa uplatní, len ak príslušný orgán je presvedčený o úrovni integrovaného riadenia a vnútornej kontroly čo sa týka subjektov, ktoré budú zahrnuté do predmetu konsolidácie. Zvolená metóda sa musí dôsledne uplatňovať v č</w:t>
            </w:r>
            <w:r>
              <w:rPr>
                <w:rFonts w:ascii="Times New Roman" w:hAnsi="Times New Roman" w:cs="Times New Roman"/>
                <w:sz w:val="18"/>
                <w:szCs w:val="18"/>
                <w:lang w:val="sk-SK"/>
              </w:rPr>
              <w:t>ase.</w:t>
            </w:r>
          </w:p>
          <w:p>
            <w:pPr>
              <w:tabs>
                <w:tab w:val="left" w:pos="426"/>
              </w:tabs>
              <w:spacing w:after="0"/>
              <w:rPr>
                <w:rFonts w:ascii="Times New Roman" w:hAnsi="Times New Roman" w:cs="Times New Roman"/>
                <w:sz w:val="18"/>
                <w:szCs w:val="18"/>
                <w:lang w:val="sk-SK"/>
              </w:rPr>
            </w:pPr>
            <w:r>
              <w:rPr>
                <w:rFonts w:ascii="Times New Roman" w:hAnsi="Times New Roman" w:cs="Times New Roman"/>
                <w:sz w:val="18"/>
                <w:szCs w:val="18"/>
                <w:lang w:val="sk-SK"/>
              </w:rPr>
              <w:t>Členské štáty môžu ustanoviť, že pri výpočte vlastných fondov na samostatnom základe úverové ústavy podliehajúce dohľadu na konsolidovanom základe v súlade s kapitolou 3 alebo doplňujúcemu dohľadu podľa smernice 2002/87/ES nemusia odpočítavať položky ustanovené v bodoch 12 až 16, ktoré vlastnia v úverových ústavoch, finančných ústavoch, poisťovniach, zaisťovniach alebo poisťovacích holdingových spoločnostiach, ktoré sú zahrnuté do predmetu konsolidovaného alebo doplňujúceho dohľadu.</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Toto ustanovenie platí  všetky predpisy o obozretnom podnikaní, ktoré sú harmonizované legislatívou Spoločenstva.“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52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109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6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7"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tabs>
                <w:tab w:val="left" w:pos="426"/>
                <w:tab w:val="left" w:pos="851"/>
              </w:tabs>
              <w:spacing w:after="0"/>
              <w:ind w:firstLine="0"/>
              <w:jc w:val="left"/>
              <w:rPr>
                <w:rFonts w:ascii="Times New Roman" w:hAnsi="Times New Roman" w:cs="Times New Roman"/>
                <w:sz w:val="18"/>
                <w:szCs w:val="18"/>
                <w:lang w:val="sk-SK"/>
              </w:rPr>
            </w:pPr>
            <w:r>
              <w:rPr>
                <w:rFonts w:ascii="Times New Roman" w:hAnsi="Times New Roman" w:cs="Times New Roman"/>
                <w:sz w:val="18"/>
                <w:szCs w:val="18"/>
                <w:lang w:val="sk-SK"/>
              </w:rPr>
              <w:t>5.</w:t>
              <w:tab/>
              <w:t>Článok 51 ods. 3 sa nahrádza týmto znením:</w:t>
            </w:r>
          </w:p>
          <w:p>
            <w:pPr>
              <w:tabs>
                <w:tab w:val="left" w:pos="213"/>
                <w:tab w:val="left" w:pos="851"/>
              </w:tabs>
              <w:spacing w:after="0"/>
              <w:rPr>
                <w:rFonts w:ascii="Times New Roman" w:hAnsi="Times New Roman" w:cs="Times New Roman"/>
                <w:sz w:val="18"/>
                <w:szCs w:val="18"/>
                <w:lang w:val="sk-SK"/>
              </w:rPr>
            </w:pPr>
          </w:p>
          <w:p>
            <w:pPr>
              <w:tabs>
                <w:tab w:val="left" w:pos="213"/>
                <w:tab w:val="left" w:pos="851"/>
              </w:tabs>
              <w:spacing w:after="0"/>
              <w:rPr>
                <w:rFonts w:ascii="Times New Roman" w:hAnsi="Times New Roman" w:cs="Times New Roman"/>
                <w:sz w:val="18"/>
                <w:szCs w:val="18"/>
                <w:lang w:val="sk-SK"/>
              </w:rPr>
            </w:pPr>
            <w:r>
              <w:rPr>
                <w:rFonts w:ascii="Times New Roman" w:hAnsi="Times New Roman" w:cs="Times New Roman"/>
                <w:sz w:val="18"/>
                <w:szCs w:val="18"/>
                <w:lang w:val="sk-SK"/>
              </w:rPr>
              <w:t>„3.</w:t>
              <w:tab/>
              <w:t>Členské štáty nemusia uplatňovať limity ustanovené v odsekoch 1 a 2 na podiely v poisťovniach, ktoré sa definujú v smernici 73/239/EHS a v smernici 79/267/EHS alebo v zaisťovniach, ktoré sa definujú v smernici 98/78/ES.“</w:t>
            </w:r>
          </w:p>
          <w:p>
            <w:pPr>
              <w:tabs>
                <w:tab w:val="left" w:pos="426"/>
                <w:tab w:val="left" w:pos="851"/>
              </w:tabs>
              <w:spacing w:after="0"/>
              <w:ind w:firstLine="0"/>
              <w:jc w:val="left"/>
              <w:rPr>
                <w:rFonts w:ascii="Times New Roman" w:hAnsi="Times New Roman" w:cs="Times New Roman"/>
                <w:sz w:val="18"/>
                <w:szCs w:val="18"/>
                <w:lang w:val="sk-SK"/>
              </w:rPr>
            </w:pPr>
            <w:r>
              <w:rPr>
                <w:rFonts w:ascii="Times New Roman" w:hAnsi="Times New Roman" w:cs="Times New Roman"/>
                <w:sz w:val="18"/>
                <w:szCs w:val="18"/>
                <w:lang w:val="sk-SK"/>
              </w:rPr>
              <w:t>6.</w:t>
              <w:tab/>
              <w:t>Posledná veta článku 52 ods. 2 sa nahrádza týmto znením:</w:t>
            </w:r>
          </w:p>
          <w:p>
            <w:pPr>
              <w:tabs>
                <w:tab w:val="left" w:pos="355"/>
                <w:tab w:val="left" w:pos="851"/>
              </w:tabs>
              <w:spacing w:after="0"/>
              <w:rPr>
                <w:rFonts w:ascii="Times New Roman" w:hAnsi="Times New Roman" w:cs="Times New Roman"/>
                <w:sz w:val="18"/>
                <w:szCs w:val="18"/>
                <w:lang w:val="sk-SK"/>
              </w:rPr>
            </w:pPr>
            <w:r>
              <w:rPr>
                <w:rFonts w:ascii="Times New Roman" w:hAnsi="Times New Roman" w:cs="Times New Roman"/>
                <w:sz w:val="18"/>
                <w:szCs w:val="18"/>
                <w:lang w:val="sk-SK"/>
              </w:rPr>
              <w:t>„Konsolidácia finančného stavu finančnej holdingovej spoločnosti nijako neznamená, bez dotknutia článku 54a, že príslušné orgány sú povinné vykonávať úlohu dohľadu vo vzťahu k finančnej holdingovej spoločnosti na samostatnom základe.“</w:t>
            </w:r>
          </w:p>
          <w:p>
            <w:pPr>
              <w:tabs>
                <w:tab w:val="left" w:pos="426"/>
                <w:tab w:val="left" w:pos="851"/>
              </w:tabs>
              <w:spacing w:after="0"/>
              <w:rPr>
                <w:rFonts w:ascii="Times New Roman" w:hAnsi="Times New Roman" w:cs="Times New Roman"/>
                <w:sz w:val="18"/>
                <w:szCs w:val="18"/>
                <w:lang w:val="sk-SK"/>
              </w:rPr>
            </w:pPr>
            <w:r>
              <w:rPr>
                <w:rFonts w:ascii="Times New Roman" w:hAnsi="Times New Roman" w:cs="Times New Roman"/>
                <w:sz w:val="18"/>
                <w:szCs w:val="18"/>
                <w:lang w:val="sk-SK"/>
              </w:rPr>
              <w:t>7.</w:t>
              <w:tab/>
              <w:t>Článok 54 sa mení a dopĺňa takto:</w:t>
            </w:r>
          </w:p>
          <w:p>
            <w:pPr>
              <w:tabs>
                <w:tab w:val="left" w:pos="426"/>
                <w:tab w:val="left" w:pos="497"/>
              </w:tabs>
              <w:spacing w:after="0"/>
              <w:ind w:firstLine="0"/>
              <w:jc w:val="left"/>
              <w:rPr>
                <w:rFonts w:ascii="Times New Roman" w:hAnsi="Times New Roman" w:cs="Times New Roman"/>
                <w:sz w:val="18"/>
                <w:szCs w:val="18"/>
                <w:lang w:val="sk-SK"/>
              </w:rPr>
            </w:pPr>
            <w:r>
              <w:rPr>
                <w:rFonts w:ascii="Times New Roman" w:hAnsi="Times New Roman" w:cs="Times New Roman"/>
                <w:sz w:val="18"/>
                <w:szCs w:val="18"/>
                <w:lang w:val="sk-SK"/>
              </w:rPr>
              <w:t xml:space="preserve">(a) </w:t>
              <w:tab/>
              <w:t>v odseku 1 sa pridáva tento pododsek:</w:t>
            </w:r>
          </w:p>
          <w:p>
            <w:pPr>
              <w:tabs>
                <w:tab w:val="left" w:pos="355"/>
                <w:tab w:val="left" w:pos="426"/>
              </w:tabs>
              <w:spacing w:after="0"/>
              <w:ind w:firstLine="0"/>
              <w:jc w:val="left"/>
              <w:rPr>
                <w:rFonts w:ascii="Times New Roman" w:hAnsi="Times New Roman" w:cs="Times New Roman"/>
                <w:sz w:val="18"/>
                <w:szCs w:val="18"/>
                <w:lang w:val="sk-SK"/>
              </w:rPr>
            </w:pPr>
            <w:r>
              <w:rPr>
                <w:rFonts w:ascii="Times New Roman" w:hAnsi="Times New Roman" w:cs="Times New Roman"/>
                <w:sz w:val="18"/>
                <w:szCs w:val="18"/>
                <w:lang w:val="sk-SK"/>
              </w:rPr>
              <w:t>„V prípade, ak spoločnosti sú prepojené vzťahom v zmysle článku 12 ods. 1 smernice 83/349/EHS, príslušné orgány určia, ako treba vykonávať konsolidáciu.“</w:t>
            </w:r>
          </w:p>
          <w:p>
            <w:pPr>
              <w:numPr>
                <w:ilvl w:val="0"/>
                <w:numId w:val="40"/>
              </w:numPr>
              <w:tabs>
                <w:tab w:val="left" w:pos="72"/>
                <w:tab w:val="clear" w:pos="710"/>
              </w:tabs>
              <w:spacing w:after="0"/>
              <w:ind w:left="0" w:firstLine="0"/>
              <w:rPr>
                <w:rFonts w:ascii="Times New Roman" w:hAnsi="Times New Roman" w:cs="Times New Roman"/>
                <w:sz w:val="18"/>
                <w:szCs w:val="18"/>
                <w:lang w:val="sk-SK"/>
              </w:rPr>
            </w:pPr>
            <w:r>
              <w:rPr>
                <w:rFonts w:ascii="Times New Roman" w:hAnsi="Times New Roman" w:cs="Times New Roman"/>
                <w:sz w:val="18"/>
                <w:szCs w:val="18"/>
                <w:lang w:val="sk-SK"/>
              </w:rPr>
              <w:t>v odseku 4 prvý pododsek sa vypúšťa tretia odrážka</w:t>
            </w:r>
          </w:p>
          <w:p>
            <w:pPr>
              <w:tabs>
                <w:tab w:val="left" w:pos="426"/>
                <w:tab w:val="left" w:pos="851"/>
              </w:tabs>
              <w:spacing w:after="0"/>
              <w:rPr>
                <w:rFonts w:ascii="Times New Roman" w:hAnsi="Times New Roman" w:cs="Times New Roman"/>
                <w:sz w:val="18"/>
                <w:szCs w:val="18"/>
                <w:lang w:val="sk-SK"/>
              </w:rPr>
            </w:pPr>
            <w:r>
              <w:rPr>
                <w:rFonts w:ascii="Times New Roman" w:hAnsi="Times New Roman" w:cs="Times New Roman"/>
                <w:sz w:val="18"/>
                <w:szCs w:val="18"/>
                <w:lang w:val="sk-SK"/>
              </w:rPr>
              <w:t>8.</w:t>
              <w:tab/>
              <w:t>Dopĺňa sa tento článok:</w:t>
            </w:r>
          </w:p>
          <w:p>
            <w:pPr>
              <w:tabs>
                <w:tab w:val="left" w:pos="426"/>
                <w:tab w:val="left" w:pos="851"/>
              </w:tabs>
              <w:spacing w:after="0"/>
              <w:rPr>
                <w:rFonts w:ascii="Times New Roman" w:hAnsi="Times New Roman" w:cs="Times New Roman"/>
                <w:i/>
                <w:sz w:val="18"/>
                <w:szCs w:val="18"/>
                <w:lang w:val="sk-SK"/>
              </w:rPr>
            </w:pPr>
            <w:r>
              <w:rPr>
                <w:rFonts w:ascii="Times New Roman" w:hAnsi="Times New Roman" w:cs="Times New Roman"/>
                <w:sz w:val="18"/>
                <w:szCs w:val="18"/>
                <w:lang w:val="sk-SK"/>
              </w:rPr>
              <w:t>„</w:t>
            </w:r>
            <w:r>
              <w:rPr>
                <w:rFonts w:ascii="Times New Roman" w:hAnsi="Times New Roman" w:cs="Times New Roman"/>
                <w:i/>
                <w:sz w:val="18"/>
                <w:szCs w:val="18"/>
                <w:lang w:val="sk-SK"/>
              </w:rPr>
              <w:t>Článok 54a</w:t>
            </w:r>
          </w:p>
          <w:p>
            <w:pPr>
              <w:tabs>
                <w:tab w:val="left" w:pos="426"/>
                <w:tab w:val="left" w:pos="851"/>
              </w:tabs>
              <w:spacing w:after="0"/>
              <w:rPr>
                <w:rFonts w:ascii="Times New Roman" w:hAnsi="Times New Roman" w:cs="Times New Roman"/>
                <w:bCs/>
                <w:sz w:val="18"/>
                <w:szCs w:val="18"/>
                <w:lang w:val="sk-SK"/>
              </w:rPr>
            </w:pPr>
            <w:r>
              <w:rPr>
                <w:rFonts w:ascii="Times New Roman" w:hAnsi="Times New Roman" w:cs="Times New Roman"/>
                <w:bCs/>
                <w:sz w:val="18"/>
                <w:szCs w:val="18"/>
                <w:lang w:val="sk-SK"/>
              </w:rPr>
              <w:t>Riadiaci orgán finančných holdingových spoločností</w:t>
            </w:r>
          </w:p>
          <w:p>
            <w:pPr>
              <w:tabs>
                <w:tab w:val="left" w:pos="426"/>
                <w:tab w:val="left" w:pos="851"/>
              </w:tabs>
              <w:spacing w:after="0"/>
              <w:rPr>
                <w:rFonts w:ascii="Times New Roman" w:hAnsi="Times New Roman" w:cs="Times New Roman"/>
                <w:sz w:val="18"/>
                <w:szCs w:val="18"/>
                <w:lang w:val="sk-SK"/>
              </w:rPr>
            </w:pPr>
            <w:r>
              <w:rPr>
                <w:rFonts w:ascii="Times New Roman" w:hAnsi="Times New Roman" w:cs="Times New Roman"/>
                <w:sz w:val="18"/>
                <w:szCs w:val="18"/>
                <w:lang w:val="sk-SK"/>
              </w:rPr>
              <w:t>Členské štáty musia vyžadovať, aby osoby, ktoré efektívne riadia činnosť finančnej holdingovej spoločnosti, mali dostatočne dobrú povesť a dostatočné skúsenosti na vykonávanie týchto povinností.“</w:t>
            </w:r>
          </w:p>
          <w:p>
            <w:pPr>
              <w:tabs>
                <w:tab w:val="left" w:pos="426"/>
                <w:tab w:val="left" w:pos="851"/>
              </w:tabs>
              <w:spacing w:after="0"/>
              <w:rPr>
                <w:rFonts w:ascii="Times New Roman" w:hAnsi="Times New Roman" w:cs="Times New Roman"/>
                <w:sz w:val="18"/>
                <w:szCs w:val="18"/>
                <w:lang w:val="sk-SK"/>
              </w:rPr>
            </w:pPr>
            <w:r>
              <w:rPr>
                <w:rFonts w:ascii="Times New Roman" w:hAnsi="Times New Roman" w:cs="Times New Roman"/>
                <w:sz w:val="18"/>
                <w:szCs w:val="18"/>
                <w:lang w:val="sk-SK"/>
              </w:rPr>
              <w:t>9.</w:t>
              <w:tab/>
              <w:t>Dopĺňa sa tento článok:</w:t>
            </w:r>
          </w:p>
          <w:p>
            <w:pPr>
              <w:tabs>
                <w:tab w:val="left" w:pos="426"/>
                <w:tab w:val="left" w:pos="851"/>
              </w:tabs>
              <w:spacing w:after="0"/>
              <w:rPr>
                <w:rFonts w:ascii="Times New Roman" w:hAnsi="Times New Roman" w:cs="Times New Roman"/>
                <w:i/>
                <w:sz w:val="18"/>
                <w:szCs w:val="18"/>
                <w:lang w:val="sk-SK"/>
              </w:rPr>
            </w:pPr>
            <w:r>
              <w:rPr>
                <w:rFonts w:ascii="Times New Roman" w:hAnsi="Times New Roman" w:cs="Times New Roman"/>
                <w:sz w:val="18"/>
                <w:szCs w:val="18"/>
                <w:lang w:val="sk-SK"/>
              </w:rPr>
              <w:t>„</w:t>
            </w:r>
            <w:r>
              <w:rPr>
                <w:rFonts w:ascii="Times New Roman" w:hAnsi="Times New Roman" w:cs="Times New Roman"/>
                <w:i/>
                <w:sz w:val="18"/>
                <w:szCs w:val="18"/>
                <w:lang w:val="sk-SK"/>
              </w:rPr>
              <w:t>Článok 5</w:t>
            </w:r>
            <w:r>
              <w:rPr>
                <w:rFonts w:ascii="Times New Roman" w:hAnsi="Times New Roman" w:cs="Times New Roman"/>
                <w:i/>
                <w:sz w:val="18"/>
                <w:szCs w:val="18"/>
                <w:lang w:val="sk-SK"/>
              </w:rPr>
              <w:t>5a</w:t>
            </w:r>
          </w:p>
          <w:p>
            <w:pPr>
              <w:tabs>
                <w:tab w:val="left" w:pos="426"/>
                <w:tab w:val="left" w:pos="851"/>
              </w:tabs>
              <w:spacing w:after="0"/>
              <w:rPr>
                <w:rFonts w:ascii="Times New Roman" w:hAnsi="Times New Roman" w:cs="Times New Roman"/>
                <w:bCs/>
                <w:sz w:val="18"/>
                <w:szCs w:val="18"/>
                <w:lang w:val="sk-SK"/>
              </w:rPr>
            </w:pPr>
            <w:r>
              <w:rPr>
                <w:rFonts w:ascii="Times New Roman" w:hAnsi="Times New Roman" w:cs="Times New Roman"/>
                <w:bCs/>
                <w:sz w:val="18"/>
                <w:szCs w:val="18"/>
                <w:lang w:val="sk-SK"/>
              </w:rPr>
              <w:t>Vnútroskupinové transakcie v holdingových spoločnostiach so zmiešanou činnosťou</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Ak materská spoločnosť jedného alebo viacerých úverových ústavov je holdingová spoločnosť so zmiešanou činnosťou, členské štáty zabezpečia bez dotknutia ustanovení hlavy V kapitola 2 časť 3 tejto smernice, aby príslušné orgány zodpovedné za dohľad nad týmito úverovými ústavmi vykonávali všeobecný dohľad nad transakciami medzi úverovým ústavom a holdingovou spoločnosťou so zmiešanou činnosťou a jej dcérskymi spoločnosťami.</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Príslušné orgány musia vyžadovať, aby úverové ústavy mali zavedené primerané postupy riadenia rizík a mechanizmy vnútornej kontroly vrátane správnych spravodajských a účtovných postupov na primeranú identifikáciu, meranie, monitorovanie a kontrolu transakcií so svojou materskou holdingovou spoločnosťou so zmiešanou činnosťou a jej dcérskymi spoločnosťami. Príslušné orgány musia tiež vyžadovať, aby úverový ústav hlásil každú významnú transakciu s týmito subjektmi inú ako transakcia ustanovená v článku 48. Tieto</w:t>
            </w:r>
            <w:r>
              <w:rPr>
                <w:rFonts w:ascii="Times New Roman" w:hAnsi="Times New Roman" w:cs="Times New Roman"/>
                <w:sz w:val="18"/>
                <w:szCs w:val="18"/>
                <w:lang w:val="sk-SK"/>
              </w:rPr>
              <w:t xml:space="preserve"> postupy a významné transakcie podliehajú kontrole príslušných orgánov.</w:t>
            </w:r>
          </w:p>
          <w:p>
            <w:pPr>
              <w:tabs>
                <w:tab w:val="left" w:pos="355"/>
                <w:tab w:val="left" w:pos="851"/>
              </w:tabs>
              <w:spacing w:after="0"/>
              <w:rPr>
                <w:rFonts w:ascii="Times New Roman" w:hAnsi="Times New Roman" w:cs="Times New Roman"/>
                <w:sz w:val="18"/>
                <w:szCs w:val="18"/>
                <w:lang w:val="sk-SK"/>
              </w:rPr>
            </w:pPr>
            <w:r>
              <w:rPr>
                <w:rFonts w:ascii="Times New Roman" w:hAnsi="Times New Roman" w:cs="Times New Roman"/>
                <w:sz w:val="18"/>
                <w:szCs w:val="18"/>
                <w:lang w:val="sk-SK"/>
              </w:rPr>
              <w:t>Ak vnútroskupinové transakcie ohrozujú finančný stav úverového ústavu, príslušný orgán zodpovedný za dohľad nad ústavom prijme primerané opatrenia.“</w:t>
            </w:r>
          </w:p>
          <w:p>
            <w:pPr>
              <w:numPr>
                <w:ilvl w:val="0"/>
                <w:numId w:val="41"/>
              </w:numPr>
              <w:tabs>
                <w:tab w:val="clear" w:pos="290"/>
                <w:tab w:val="left" w:pos="355"/>
                <w:tab w:val="left" w:pos="426"/>
                <w:tab w:val="left" w:pos="851"/>
              </w:tabs>
              <w:spacing w:after="0"/>
              <w:ind w:left="0" w:firstLine="0"/>
              <w:jc w:val="left"/>
              <w:rPr>
                <w:rFonts w:ascii="Times New Roman" w:hAnsi="Times New Roman" w:cs="Times New Roman"/>
                <w:sz w:val="18"/>
                <w:szCs w:val="18"/>
                <w:lang w:val="sk-SK"/>
              </w:rPr>
            </w:pPr>
            <w:r>
              <w:rPr>
                <w:rFonts w:ascii="Times New Roman" w:hAnsi="Times New Roman" w:cs="Times New Roman"/>
                <w:sz w:val="18"/>
                <w:szCs w:val="18"/>
                <w:lang w:val="sk-SK"/>
              </w:rPr>
              <w:t>Do článku 56 ods. 7 sa pridáva táto</w:t>
            </w:r>
            <w:r>
              <w:rPr>
                <w:rFonts w:ascii="Times New Roman" w:hAnsi="Times New Roman" w:cs="Times New Roman"/>
                <w:sz w:val="18"/>
                <w:szCs w:val="18"/>
                <w:lang w:val="sk-SK"/>
              </w:rPr>
              <w:t xml:space="preserve">    veta:</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„Príslušný orgán, ktorý dal žiadosť, sa môže, ak chce, zúčastniť na overovaní, ak overovanie nevykonáva sám.“</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52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109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6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7"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tabs>
                <w:tab w:val="left" w:pos="426"/>
                <w:tab w:val="left" w:pos="851"/>
              </w:tabs>
              <w:spacing w:after="0"/>
              <w:rPr>
                <w:rFonts w:ascii="Times New Roman" w:hAnsi="Times New Roman" w:cs="Times New Roman"/>
                <w:sz w:val="18"/>
                <w:szCs w:val="18"/>
                <w:lang w:val="sk-SK"/>
              </w:rPr>
            </w:pPr>
            <w:r>
              <w:rPr>
                <w:rFonts w:ascii="Times New Roman" w:hAnsi="Times New Roman" w:cs="Times New Roman"/>
                <w:sz w:val="18"/>
                <w:szCs w:val="18"/>
                <w:lang w:val="sk-SK"/>
              </w:rPr>
              <w:t>11.</w:t>
              <w:tab/>
              <w:t>Pridáva sa tento článok:</w:t>
            </w:r>
          </w:p>
          <w:p>
            <w:pPr>
              <w:tabs>
                <w:tab w:val="left" w:pos="426"/>
                <w:tab w:val="left" w:pos="851"/>
              </w:tabs>
              <w:spacing w:after="0"/>
              <w:rPr>
                <w:rFonts w:ascii="Times New Roman" w:hAnsi="Times New Roman" w:cs="Times New Roman"/>
                <w:sz w:val="18"/>
                <w:szCs w:val="18"/>
                <w:lang w:val="sk-SK"/>
              </w:rPr>
            </w:pPr>
          </w:p>
          <w:p>
            <w:pPr>
              <w:tabs>
                <w:tab w:val="left" w:pos="426"/>
                <w:tab w:val="left" w:pos="851"/>
              </w:tabs>
              <w:spacing w:after="0"/>
              <w:rPr>
                <w:rFonts w:ascii="Times New Roman" w:hAnsi="Times New Roman" w:cs="Times New Roman"/>
                <w:i/>
                <w:sz w:val="18"/>
                <w:szCs w:val="18"/>
                <w:lang w:val="sk-SK"/>
              </w:rPr>
            </w:pPr>
            <w:r>
              <w:rPr>
                <w:rFonts w:ascii="Times New Roman" w:hAnsi="Times New Roman" w:cs="Times New Roman"/>
                <w:sz w:val="18"/>
                <w:szCs w:val="18"/>
                <w:lang w:val="sk-SK"/>
              </w:rPr>
              <w:t>„</w:t>
            </w:r>
            <w:r>
              <w:rPr>
                <w:rFonts w:ascii="Times New Roman" w:hAnsi="Times New Roman" w:cs="Times New Roman"/>
                <w:i/>
                <w:sz w:val="18"/>
                <w:szCs w:val="18"/>
                <w:lang w:val="sk-SK"/>
              </w:rPr>
              <w:t>Článok 56a</w:t>
            </w:r>
          </w:p>
          <w:p>
            <w:pPr>
              <w:spacing w:after="0"/>
              <w:rPr>
                <w:rFonts w:ascii="Times New Roman" w:hAnsi="Times New Roman" w:cs="Times New Roman"/>
                <w:bCs/>
                <w:sz w:val="18"/>
                <w:szCs w:val="18"/>
                <w:lang w:val="sk-SK"/>
              </w:rPr>
            </w:pPr>
            <w:r>
              <w:rPr>
                <w:rFonts w:ascii="Times New Roman" w:hAnsi="Times New Roman" w:cs="Times New Roman"/>
                <w:bCs/>
                <w:sz w:val="18"/>
                <w:szCs w:val="18"/>
                <w:lang w:val="sk-SK"/>
              </w:rPr>
              <w:t xml:space="preserve"> Materské spoločnosti z tretích štátov</w:t>
            </w:r>
          </w:p>
          <w:p>
            <w:pPr>
              <w:tabs>
                <w:tab w:val="left" w:pos="426"/>
                <w:tab w:val="left" w:pos="851"/>
              </w:tabs>
              <w:spacing w:after="0"/>
              <w:rPr>
                <w:rFonts w:ascii="Times New Roman" w:hAnsi="Times New Roman" w:cs="Times New Roman"/>
                <w:sz w:val="18"/>
                <w:szCs w:val="18"/>
                <w:lang w:val="sk-SK"/>
              </w:rPr>
            </w:pPr>
            <w:r>
              <w:rPr>
                <w:rFonts w:ascii="Times New Roman" w:hAnsi="Times New Roman" w:cs="Times New Roman"/>
                <w:sz w:val="18"/>
                <w:szCs w:val="18"/>
                <w:lang w:val="sk-SK"/>
              </w:rPr>
              <w:t>Ak úverový ústav, ktorého materskou spoločnosťou je úverový ústav alebo finančná holdingová spoločnosť so sídlom mimo Spoločenstva, nepodlieha konsolidovanému dohľadu podľa článku 52, príslušné orgány preveria, či úverový ústav podlieha konsolidovanému dohľadu príslušného orgánu tretieho štátu, ktorý je rovnocenný dohľadu, na ktorý sa vzťahujú princípy ustanovené v článku 52. Toto overenie vykoná príslušný orgán, ktorý by bol zodpovedný za konsolidovaný dohľad, ak by platil štvrtý pododsek, na žiadosť materskej spoločnosti alebo akýchkoľvek regulovaných subjektov oprávnených v Spoločenstve alebo z vlastnej iniciatívy. Príslušný orgány musí konzultovať s ostatnými zainteresovanými príslušnými orgánmi.</w:t>
            </w:r>
          </w:p>
          <w:p>
            <w:pPr>
              <w:tabs>
                <w:tab w:val="left" w:pos="426"/>
                <w:tab w:val="left" w:pos="851"/>
              </w:tabs>
              <w:spacing w:after="0"/>
              <w:rPr>
                <w:rFonts w:ascii="Times New Roman" w:hAnsi="Times New Roman" w:cs="Times New Roman"/>
                <w:sz w:val="18"/>
                <w:szCs w:val="18"/>
                <w:lang w:val="sk-SK"/>
              </w:rPr>
            </w:pPr>
            <w:r>
              <w:rPr>
                <w:rFonts w:ascii="Times New Roman" w:hAnsi="Times New Roman" w:cs="Times New Roman"/>
                <w:sz w:val="18"/>
                <w:szCs w:val="18"/>
                <w:lang w:val="sk-SK"/>
              </w:rPr>
              <w:t>Bankový poradenský výbor môže vydávať všeobecné usmernenia o tom, či režim konsolidovaného dohľadu príslušných orgánov tretích štátov je spôsobilý zabezpečovať ciele konsolidovaného dohľadu definované v tejto kapitole, týkajúce sa úverových ústavov, ktorých materská spoločnosť má sídlo mimo Spoločenstva. Výbor pravidelne reviduje tieto usmernenia a berie do úvahy všetky zmeny režimu konsolidovaného dohľadu, ktoré tieto príslušné orgány vykonajú.</w:t>
            </w:r>
          </w:p>
          <w:p>
            <w:pPr>
              <w:tabs>
                <w:tab w:val="left" w:pos="426"/>
                <w:tab w:val="left" w:pos="851"/>
              </w:tabs>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Príslušný orgán, ktorý vykonáva overovanie špecifikované v druhom pododseku, musí brať do úvahy každé takéto usmernenie. Príslušný orgán na tento účel pred prijatím </w:t>
            </w:r>
            <w:r>
              <w:rPr>
                <w:rFonts w:ascii="Times New Roman" w:hAnsi="Times New Roman" w:cs="Times New Roman"/>
                <w:sz w:val="18"/>
                <w:szCs w:val="18"/>
                <w:lang w:val="sk-SK"/>
              </w:rPr>
              <w:t>rozhodnutia konzultuje s výborom.</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Ak takýto rovnocenný dohľad neexistuje, členské štáty analogicky uplatnia voči úverovému ústavu ustanovenia článku 52.</w:t>
            </w:r>
          </w:p>
          <w:p>
            <w:pPr>
              <w:tabs>
                <w:tab w:val="left" w:pos="355"/>
                <w:tab w:val="left" w:pos="851"/>
              </w:tabs>
              <w:spacing w:after="0"/>
              <w:ind w:firstLine="0"/>
              <w:jc w:val="left"/>
              <w:rPr>
                <w:rFonts w:ascii="Times New Roman" w:hAnsi="Times New Roman" w:cs="Times New Roman"/>
                <w:sz w:val="18"/>
                <w:szCs w:val="18"/>
                <w:lang w:val="sk-SK"/>
              </w:rPr>
            </w:pPr>
            <w:r>
              <w:rPr>
                <w:rFonts w:ascii="Times New Roman" w:hAnsi="Times New Roman" w:cs="Times New Roman"/>
                <w:sz w:val="18"/>
                <w:szCs w:val="18"/>
                <w:lang w:val="sk-SK"/>
              </w:rPr>
              <w:t>Členské štáty alternatívne umožnia, aby ich príslušné orgány uplatňovali iné primerané metódy, ktoré zabezpečia ciele dohľadu nad úverovými ústavmi na konsolidovanom základe. Tieto metódy musia byť odsúhlasené príslušným orgánom, ktorý zodpovedá za konsolidovaný dohľad, po konzultácii s ostatnými zainteresovanými príslušnými orgánmi. Príslušné orgány môžu predovšetkým vyžadovať zriadenie finančnej holdingovej spoločnosti so sídlom v Spoločenstve a uplatňovať ustanovenia o konsolidovanom dohľade nad konsolidovanou pozíciou tejto finančnej holdingovej spoločnosti.</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Tieto metódy musia zabezpečiť ciele konsolidovaného dohľadu, ktoré sa definujú v tejto kapitole, a musia sa oznámiť ostatným zainteresovaným príslušným orgánom a Komisii.“</w:t>
            </w:r>
          </w:p>
          <w:p>
            <w:pPr>
              <w:pStyle w:val="NormalWeb"/>
              <w:rPr>
                <w:rFonts w:ascii="Times New Roman" w:hAnsi="Times New Roman" w:cs="Times New Roman"/>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52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109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6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7"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Čl. 30</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spacing w:after="0"/>
              <w:rPr>
                <w:rFonts w:ascii="Times New Roman" w:hAnsi="Times New Roman" w:cs="Times New Roman"/>
                <w:b/>
                <w:bCs/>
                <w:sz w:val="18"/>
                <w:szCs w:val="18"/>
                <w:lang w:val="sk-SK"/>
              </w:rPr>
            </w:pPr>
            <w:r>
              <w:rPr>
                <w:rFonts w:ascii="Times New Roman" w:hAnsi="Times New Roman" w:cs="Times New Roman"/>
                <w:b/>
                <w:bCs/>
                <w:sz w:val="18"/>
                <w:szCs w:val="18"/>
                <w:lang w:val="sk-SK"/>
              </w:rPr>
              <w:t>Spoločnosti zaoberajúce sa správou investičného majetku</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Členské štáty až do ďalšej koordinácie sektorových predpisov zabezpečia zaradenie spoločností zaoberajúcich sa správou investičného majetku:</w:t>
            </w:r>
          </w:p>
          <w:p>
            <w:pPr>
              <w:tabs>
                <w:tab w:val="left" w:pos="355"/>
              </w:tabs>
              <w:spacing w:after="0"/>
              <w:rPr>
                <w:rFonts w:ascii="Times New Roman" w:hAnsi="Times New Roman" w:cs="Times New Roman"/>
                <w:sz w:val="18"/>
                <w:szCs w:val="18"/>
                <w:lang w:val="sk-SK"/>
              </w:rPr>
            </w:pPr>
            <w:r>
              <w:rPr>
                <w:rFonts w:ascii="Times New Roman" w:hAnsi="Times New Roman" w:cs="Times New Roman"/>
                <w:sz w:val="18"/>
                <w:szCs w:val="18"/>
                <w:lang w:val="sk-SK"/>
              </w:rPr>
              <w:t>(a)</w:t>
              <w:tab/>
              <w:t xml:space="preserve">   do predmetu konsolidovaného dohľadu nad úverovými ústavmi a investičnými firmami resp. do predmetu doplňujúceho dohľadu nad poisťovňami v poisťovníckej skupine a</w:t>
            </w:r>
          </w:p>
          <w:p>
            <w:pPr>
              <w:tabs>
                <w:tab w:val="left" w:pos="355"/>
              </w:tabs>
              <w:spacing w:after="0"/>
              <w:rPr>
                <w:rFonts w:ascii="Times New Roman" w:hAnsi="Times New Roman" w:cs="Times New Roman"/>
                <w:sz w:val="18"/>
                <w:szCs w:val="18"/>
                <w:lang w:val="sk-SK"/>
              </w:rPr>
            </w:pPr>
            <w:r>
              <w:rPr>
                <w:rFonts w:ascii="Times New Roman" w:hAnsi="Times New Roman" w:cs="Times New Roman"/>
                <w:sz w:val="18"/>
                <w:szCs w:val="18"/>
                <w:lang w:val="sk-SK"/>
              </w:rPr>
              <w:t>(b)</w:t>
              <w:tab/>
              <w:t xml:space="preserve">     ak skupina je finančným konglomerátom, do predmetu doplňujúceho dohľadu v zmysle tejto smernice.</w:t>
            </w:r>
          </w:p>
          <w:p>
            <w:pPr>
              <w:tabs>
                <w:tab w:val="left" w:pos="355"/>
              </w:tabs>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Členské štáty pri uplatňovaní prvého odseku ustanovia alebo dajú svojim príslušným orgánom právomoc rozhodnúť, podľa ktorých sektorových predpisov (pre bankový sektor, sektor poisťovníctva alebo sektor investičných služieb) treba spoločnosti zaoberajúce sa správou investičného majetku zahrnúť do konsolidovaného dohľadu resp. doplňujúceho dohľadu ustanoveného v bode (a) prvého odseku. Pre spoločnosti zaoberajúce sa správou investičného majetku na účely tohto ustanovenia platia, s nutnými zmenami, príslušné sektorové predpisy týkajúce sa formy a rozsahu zahrnutia finančných ústavov (ak sa spoločnosti zaoberajúce sa správou investičného majetku zahŕňajú do predmetu konsolidovaného dohľadu nad úverovými ústavmi a investičnými firmami) a zaisťovní (ak sa spoločnosti zaoberajúce sa správou investičného majetku zahŕňajú do predmetu konsolidovaného dohľadu nad poisťovňami). Na účel doplňujúceho dohľadu ustanoveného v bode (b) prvého odseku sa spoločnosť zaoberajúca sa správou investičného majetku berie ako súčasť ktoréhokoľvek sektora, do ktorého je zahrnutá podľa bodu (a) prvého odseku.</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Ak spoločnosť zaoberajúca sa správou investičného majetku je súčasťou finančného konglomerátu, každý odkaz na pojem regulovaného subjektu a každý odkaz na pojem príslušných orgánov a príslušných kompetentných orgánov sa preto chápe na účely tejto smernice ako zahŕňajúci spoločnosti zaoberajúce sa správou investičného majetku resp. príslušné orgány zodpovedné za dohľad nad spoločnosťami zaoberajúcimi sa správou investičného majetku. To platí, s nutnými zmenami, vo vzťahu k skupinám ustanoveným v bode (a) prvého odseku.</w:t>
            </w:r>
          </w:p>
          <w:p>
            <w:pPr>
              <w:pStyle w:val="NormalWeb"/>
              <w:rPr>
                <w:rFonts w:ascii="Times New Roman" w:hAnsi="Times New Roman" w:cs="Times New Roman"/>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52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109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jc w:val="left"/>
              <w:rPr>
                <w:rFonts w:ascii="Times New Roman" w:hAnsi="Times New Roman" w:cs="Times New Roman"/>
                <w:sz w:val="18"/>
                <w:szCs w:val="18"/>
              </w:rPr>
            </w:pPr>
            <w:r>
              <w:rPr>
                <w:rFonts w:ascii="Times New Roman" w:hAnsi="Times New Roman" w:cs="Times New Roman"/>
                <w:sz w:val="18"/>
                <w:szCs w:val="18"/>
              </w:rPr>
              <w:t>Návrh zákona, ktorým sa mení a dopĺňa zákon č. 566/2001 Z.z. o cenných papieroch.</w:t>
            </w:r>
          </w:p>
          <w:p>
            <w:pPr>
              <w:pStyle w:val="TABUKA-textsmernice"/>
              <w:jc w:val="left"/>
              <w:rPr>
                <w:rFonts w:ascii="Times New Roman" w:hAnsi="Times New Roman" w:cs="Times New Roman"/>
                <w:sz w:val="18"/>
                <w:szCs w:val="18"/>
              </w:rPr>
            </w:pPr>
          </w:p>
          <w:p>
            <w:pPr>
              <w:pStyle w:val="TABUKA-textsmernice"/>
              <w:jc w:val="left"/>
              <w:rPr>
                <w:rFonts w:ascii="Times New Roman" w:hAnsi="Times New Roman" w:cs="Times New Roman"/>
                <w:sz w:val="18"/>
                <w:szCs w:val="18"/>
              </w:rPr>
            </w:pPr>
          </w:p>
        </w:tc>
        <w:tc>
          <w:tcPr>
            <w:tcW w:w="6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7"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Čl. 31</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Footer"/>
              <w:tabs>
                <w:tab w:val="clear" w:pos="4536"/>
                <w:tab w:val="clear" w:pos="9072"/>
              </w:tabs>
              <w:spacing w:after="0"/>
              <w:rPr>
                <w:rFonts w:ascii="Times New Roman" w:hAnsi="Times New Roman" w:cs="Times New Roman"/>
                <w:b/>
                <w:bCs/>
                <w:sz w:val="18"/>
                <w:szCs w:val="18"/>
                <w:lang w:val="sk-SK"/>
              </w:rPr>
            </w:pPr>
            <w:r>
              <w:rPr>
                <w:rFonts w:ascii="Times New Roman" w:hAnsi="Times New Roman" w:cs="Times New Roman"/>
                <w:b/>
                <w:bCs/>
                <w:sz w:val="18"/>
                <w:szCs w:val="18"/>
                <w:lang w:val="sk-SK"/>
              </w:rPr>
              <w:t>Správa Komisie</w:t>
            </w:r>
          </w:p>
          <w:p>
            <w:pPr>
              <w:tabs>
                <w:tab w:val="left" w:pos="426"/>
              </w:tabs>
              <w:spacing w:after="0"/>
              <w:rPr>
                <w:rFonts w:ascii="Times New Roman" w:hAnsi="Times New Roman" w:cs="Times New Roman"/>
                <w:sz w:val="18"/>
                <w:szCs w:val="18"/>
                <w:lang w:val="sk-SK"/>
              </w:rPr>
            </w:pPr>
          </w:p>
          <w:p>
            <w:pPr>
              <w:tabs>
                <w:tab w:val="left" w:pos="426"/>
              </w:tabs>
              <w:spacing w:after="0"/>
              <w:rPr>
                <w:rFonts w:ascii="Times New Roman" w:hAnsi="Times New Roman" w:cs="Times New Roman"/>
                <w:sz w:val="18"/>
                <w:szCs w:val="18"/>
                <w:lang w:val="sk-SK"/>
              </w:rPr>
            </w:pPr>
            <w:r>
              <w:rPr>
                <w:rFonts w:ascii="Times New Roman" w:hAnsi="Times New Roman" w:cs="Times New Roman"/>
                <w:sz w:val="18"/>
                <w:szCs w:val="18"/>
                <w:lang w:val="sk-SK"/>
              </w:rPr>
              <w:t>1.</w:t>
              <w:tab/>
              <w:t xml:space="preserve">Komisia do 11. augusta 2007 predloží </w:t>
            </w:r>
            <w:r>
              <w:rPr>
                <w:rFonts w:ascii="Times New Roman" w:hAnsi="Times New Roman" w:cs="Times New Roman"/>
                <w:iCs/>
                <w:sz w:val="18"/>
                <w:szCs w:val="18"/>
                <w:lang w:val="sk-SK"/>
              </w:rPr>
              <w:t>výboru pre finančné konglomeráty</w:t>
            </w:r>
            <w:r>
              <w:rPr>
                <w:rFonts w:ascii="Times New Roman" w:hAnsi="Times New Roman" w:cs="Times New Roman"/>
                <w:sz w:val="18"/>
                <w:szCs w:val="18"/>
                <w:lang w:val="sk-SK"/>
              </w:rPr>
              <w:t>, ktorý sa ustanovuje v článku 21, správu o postupoch uplatňovaných v členských štátoch a v prípade nutnosti o potrebe ďalšej harmonizácie vo vzťahu k</w:t>
            </w:r>
          </w:p>
          <w:p>
            <w:pPr>
              <w:numPr>
                <w:ilvl w:val="0"/>
                <w:numId w:val="42"/>
              </w:numPr>
              <w:tabs>
                <w:tab w:val="clear" w:pos="397"/>
                <w:tab w:val="left" w:pos="638"/>
              </w:tabs>
              <w:spacing w:after="0"/>
              <w:ind w:left="0" w:firstLine="0"/>
              <w:jc w:val="left"/>
              <w:rPr>
                <w:rFonts w:ascii="Times New Roman" w:hAnsi="Times New Roman" w:cs="Times New Roman"/>
                <w:sz w:val="18"/>
                <w:szCs w:val="18"/>
                <w:lang w:val="sk-SK"/>
              </w:rPr>
            </w:pPr>
            <w:r>
              <w:rPr>
                <w:rFonts w:ascii="Times New Roman" w:hAnsi="Times New Roman" w:cs="Times New Roman"/>
                <w:sz w:val="18"/>
                <w:szCs w:val="18"/>
                <w:lang w:val="sk-SK"/>
              </w:rPr>
              <w:t>zaradeniu spoločností zaoberajúcich sa správou investičného majetku do celoskupinového dohľadu,</w:t>
            </w:r>
          </w:p>
          <w:p>
            <w:pPr>
              <w:numPr>
                <w:ilvl w:val="0"/>
                <w:numId w:val="42"/>
              </w:numPr>
              <w:tabs>
                <w:tab w:val="clear" w:pos="397"/>
                <w:tab w:val="left" w:pos="638"/>
              </w:tabs>
              <w:spacing w:after="0"/>
              <w:ind w:left="0" w:firstLine="0"/>
              <w:jc w:val="left"/>
              <w:rPr>
                <w:rFonts w:ascii="Times New Roman" w:hAnsi="Times New Roman" w:cs="Times New Roman"/>
                <w:sz w:val="18"/>
                <w:szCs w:val="18"/>
                <w:lang w:val="sk-SK"/>
              </w:rPr>
            </w:pPr>
            <w:r>
              <w:rPr>
                <w:rFonts w:ascii="Times New Roman" w:hAnsi="Times New Roman" w:cs="Times New Roman"/>
                <w:sz w:val="18"/>
                <w:szCs w:val="18"/>
                <w:lang w:val="sk-SK"/>
              </w:rPr>
              <w:t>výberu a uplatňovaniu metód kapitálovej primeranosti ustanovených v prí</w:t>
            </w:r>
            <w:r>
              <w:rPr>
                <w:rFonts w:ascii="Times New Roman" w:hAnsi="Times New Roman" w:cs="Times New Roman"/>
                <w:sz w:val="18"/>
                <w:szCs w:val="18"/>
                <w:lang w:val="sk-SK"/>
              </w:rPr>
              <w:t>lohe I,</w:t>
            </w:r>
          </w:p>
          <w:p>
            <w:pPr>
              <w:numPr>
                <w:ilvl w:val="0"/>
                <w:numId w:val="42"/>
              </w:numPr>
              <w:tabs>
                <w:tab w:val="clear" w:pos="397"/>
                <w:tab w:val="left" w:pos="638"/>
              </w:tabs>
              <w:spacing w:after="0"/>
              <w:ind w:left="0" w:firstLine="0"/>
              <w:jc w:val="left"/>
              <w:rPr>
                <w:rFonts w:ascii="Times New Roman" w:hAnsi="Times New Roman" w:cs="Times New Roman"/>
                <w:sz w:val="18"/>
                <w:szCs w:val="18"/>
                <w:lang w:val="sk-SK"/>
              </w:rPr>
            </w:pPr>
            <w:r>
              <w:rPr>
                <w:rFonts w:ascii="Times New Roman" w:hAnsi="Times New Roman" w:cs="Times New Roman"/>
                <w:sz w:val="18"/>
                <w:szCs w:val="18"/>
                <w:lang w:val="sk-SK"/>
              </w:rPr>
              <w:t>definícii významných vnútroskupinových transakcií, významnej koncentrácie rizík a dohľadu nad vnútroskupinovými transakciami a koncentráciou rizík, ktorá sa ustanovuje v prílohe II, najmä vo vzťahu k zavedeniu kvantitatívnych limitov a kvalitatívnych požiadaviek na tento účel,</w:t>
            </w:r>
          </w:p>
          <w:p>
            <w:pPr>
              <w:tabs>
                <w:tab w:val="left" w:pos="638"/>
              </w:tabs>
              <w:spacing w:after="0"/>
              <w:rPr>
                <w:rFonts w:ascii="Times New Roman" w:hAnsi="Times New Roman" w:cs="Times New Roman"/>
                <w:sz w:val="18"/>
                <w:szCs w:val="18"/>
                <w:lang w:val="sk-SK"/>
              </w:rPr>
            </w:pPr>
          </w:p>
          <w:p>
            <w:pPr>
              <w:numPr>
                <w:ilvl w:val="0"/>
                <w:numId w:val="42"/>
              </w:numPr>
              <w:tabs>
                <w:tab w:val="clear" w:pos="397"/>
                <w:tab w:val="left" w:pos="638"/>
              </w:tabs>
              <w:spacing w:after="0"/>
              <w:ind w:left="0" w:firstLine="0"/>
              <w:jc w:val="left"/>
              <w:rPr>
                <w:rFonts w:ascii="Times New Roman" w:hAnsi="Times New Roman" w:cs="Times New Roman"/>
                <w:bCs/>
                <w:sz w:val="18"/>
                <w:szCs w:val="18"/>
                <w:lang w:val="sk-SK"/>
              </w:rPr>
            </w:pPr>
            <w:r>
              <w:rPr>
                <w:rFonts w:ascii="Times New Roman" w:hAnsi="Times New Roman" w:cs="Times New Roman"/>
                <w:sz w:val="18"/>
                <w:szCs w:val="18"/>
                <w:lang w:val="sk-SK"/>
              </w:rPr>
              <w:t>intervalom, v ktorých finančné konglomeráty robia výpočet kapitálovej primeranosti ustanovenej v článku 6 ods. 2 a oznamujú koordinátorovi významnú koncentráciu rizík ustanovenú v článku 7 ods. 2.</w:t>
            </w:r>
          </w:p>
          <w:p>
            <w:pPr>
              <w:tabs>
                <w:tab w:val="left" w:pos="426"/>
              </w:tabs>
              <w:spacing w:after="0"/>
              <w:rPr>
                <w:rFonts w:ascii="Times New Roman" w:hAnsi="Times New Roman" w:cs="Times New Roman"/>
                <w:sz w:val="18"/>
                <w:szCs w:val="18"/>
                <w:lang w:val="sk-SK"/>
              </w:rPr>
            </w:pPr>
            <w:r>
              <w:rPr>
                <w:rFonts w:ascii="Times New Roman" w:hAnsi="Times New Roman" w:cs="Times New Roman"/>
                <w:sz w:val="18"/>
                <w:szCs w:val="18"/>
                <w:lang w:val="sk-SK"/>
              </w:rPr>
              <w:t>Komisia pred podaním svojich</w:t>
            </w:r>
            <w:r>
              <w:rPr>
                <w:rFonts w:ascii="Times New Roman" w:hAnsi="Times New Roman" w:cs="Times New Roman"/>
                <w:sz w:val="18"/>
                <w:szCs w:val="18"/>
                <w:lang w:val="sk-SK"/>
              </w:rPr>
              <w:t xml:space="preserve"> návrhov konzultuje s výborom.</w:t>
            </w: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2.</w:t>
              <w:tab/>
              <w:t>Komisia do jedného roka od dosiahnutia dohody na medzinárodnej úrovni o predpisoch na zabránenie dvojitého „záberu“ vlastných zdrojov vo finančných skupinách preskúma, ako zabezpečiť súlad ustanovení tejto smernice s týmito medzinárodnými dohodami a v prípade potreby predloží vhodné návrhy.</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n.a.</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52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109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6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7"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Čl. 32</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spacing w:after="0"/>
              <w:rPr>
                <w:rFonts w:ascii="Times New Roman" w:hAnsi="Times New Roman" w:cs="Times New Roman"/>
                <w:b/>
                <w:bCs/>
                <w:sz w:val="18"/>
                <w:szCs w:val="18"/>
                <w:lang w:val="sk-SK"/>
              </w:rPr>
            </w:pPr>
            <w:r>
              <w:rPr>
                <w:rFonts w:ascii="Times New Roman" w:hAnsi="Times New Roman" w:cs="Times New Roman"/>
                <w:b/>
                <w:bCs/>
                <w:sz w:val="18"/>
                <w:szCs w:val="18"/>
                <w:lang w:val="sk-SK"/>
              </w:rPr>
              <w:t>Prevzatie</w:t>
            </w:r>
          </w:p>
          <w:p>
            <w:pPr>
              <w:tabs>
                <w:tab w:val="left" w:pos="426"/>
              </w:tabs>
              <w:spacing w:after="0"/>
              <w:rPr>
                <w:rFonts w:ascii="Times New Roman" w:hAnsi="Times New Roman" w:cs="Times New Roman"/>
                <w:b/>
                <w:sz w:val="18"/>
                <w:szCs w:val="18"/>
                <w:lang w:val="sk-SK"/>
              </w:rPr>
            </w:pPr>
          </w:p>
          <w:p>
            <w:pPr>
              <w:tabs>
                <w:tab w:val="left" w:pos="426"/>
              </w:tabs>
              <w:spacing w:after="0"/>
              <w:rPr>
                <w:rFonts w:ascii="Times New Roman" w:hAnsi="Times New Roman" w:cs="Times New Roman"/>
                <w:sz w:val="18"/>
                <w:szCs w:val="18"/>
                <w:lang w:val="sk-SK"/>
              </w:rPr>
            </w:pPr>
            <w:r>
              <w:rPr>
                <w:rFonts w:ascii="Times New Roman" w:hAnsi="Times New Roman" w:cs="Times New Roman"/>
                <w:sz w:val="18"/>
                <w:szCs w:val="18"/>
                <w:lang w:val="sk-SK"/>
              </w:rPr>
              <w:t>Členské štáty uvedú do platnosti zákony, nariadenia a administratívne opatrenia potrebné na zabezpečenie súladu s touto smernicou do 11. augusta 2004. Okamžite o tom informujú Komisiu.</w:t>
            </w:r>
          </w:p>
          <w:p>
            <w:pPr>
              <w:tabs>
                <w:tab w:val="left" w:pos="426"/>
              </w:tabs>
              <w:spacing w:after="0"/>
              <w:rPr>
                <w:rFonts w:ascii="Times New Roman" w:hAnsi="Times New Roman" w:cs="Times New Roman"/>
                <w:sz w:val="18"/>
                <w:szCs w:val="18"/>
                <w:lang w:val="sk-SK"/>
              </w:rPr>
            </w:pPr>
          </w:p>
          <w:p>
            <w:pPr>
              <w:tabs>
                <w:tab w:val="left" w:pos="426"/>
              </w:tabs>
              <w:spacing w:after="0"/>
              <w:rPr>
                <w:rFonts w:ascii="Times New Roman" w:hAnsi="Times New Roman" w:cs="Times New Roman"/>
                <w:sz w:val="18"/>
                <w:szCs w:val="18"/>
                <w:lang w:val="sk-SK"/>
              </w:rPr>
            </w:pPr>
            <w:r>
              <w:rPr>
                <w:rFonts w:ascii="Times New Roman" w:hAnsi="Times New Roman" w:cs="Times New Roman"/>
                <w:sz w:val="18"/>
                <w:szCs w:val="18"/>
                <w:lang w:val="sk-SK"/>
              </w:rPr>
              <w:t>Členské štáty zabezpečia, aby sa ustanovenia zakotvené v prvom pododseku prvýkrát uplatnili vo vzťahu k dohľadu nad účtami za finančný rok začínajúci 1. januára 2005 alebo počas toho kalendárneho roka.</w:t>
            </w:r>
          </w:p>
          <w:p>
            <w:pPr>
              <w:tabs>
                <w:tab w:val="left" w:pos="426"/>
              </w:tabs>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Keď členské štáty prijmú tieto opatrenia, tieto musia obsahovať odkaz na túto smernicu alebo odkaz na ňu musí byť pripojený pri príležitosti ich oficiálneho vydania. Metódy zabezpečenia tohto odkazu ustanovia členské štáty.</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N</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X/2004 Z.z.</w:t>
            </w: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Čl. III</w:t>
            </w:r>
          </w:p>
        </w:tc>
        <w:tc>
          <w:tcPr>
            <w:tcW w:w="52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rPr>
                <w:rFonts w:ascii="Times New Roman" w:hAnsi="Times New Roman" w:cs="Times New Roman"/>
                <w:sz w:val="18"/>
                <w:szCs w:val="18"/>
                <w:lang w:val="sk-SK"/>
              </w:rPr>
            </w:pPr>
            <w:r>
              <w:rPr>
                <w:rFonts w:ascii="Times New Roman" w:hAnsi="Times New Roman" w:cs="Times New Roman"/>
                <w:sz w:val="18"/>
                <w:szCs w:val="18"/>
                <w:lang w:val="sk-SK"/>
              </w:rPr>
              <w:t>Tento zákon nadobúda účinnosť 1. augusta 2004.</w:t>
            </w:r>
          </w:p>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Ú</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109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6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7"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Čl. 33</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spacing w:after="0"/>
              <w:rPr>
                <w:rFonts w:ascii="Times New Roman" w:hAnsi="Times New Roman" w:cs="Times New Roman"/>
                <w:b/>
                <w:sz w:val="18"/>
                <w:szCs w:val="18"/>
                <w:lang w:val="sk-SK"/>
              </w:rPr>
            </w:pPr>
            <w:r>
              <w:rPr>
                <w:rFonts w:ascii="Times New Roman" w:hAnsi="Times New Roman" w:cs="Times New Roman"/>
                <w:b/>
                <w:sz w:val="18"/>
                <w:szCs w:val="18"/>
                <w:lang w:val="sk-SK"/>
              </w:rPr>
              <w:t>Nadobudnutie účinnosti</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Táto smernica nadobudne účinnosť v deň jej uverejnenia v Úradnom vestníku Európskej únie (Official Journal of the European Union).</w:t>
            </w:r>
          </w:p>
          <w:p>
            <w:pPr>
              <w:spacing w:after="0"/>
              <w:rPr>
                <w:rFonts w:ascii="Times New Roman" w:hAnsi="Times New Roman" w:cs="Times New Roman"/>
                <w:sz w:val="18"/>
                <w:szCs w:val="18"/>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n.a.</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52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109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6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7"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Čl. 34</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spacing w:after="0"/>
              <w:rPr>
                <w:rFonts w:ascii="Times New Roman" w:hAnsi="Times New Roman" w:cs="Times New Roman"/>
                <w:b/>
                <w:sz w:val="18"/>
                <w:szCs w:val="18"/>
                <w:lang w:val="sk-SK"/>
              </w:rPr>
            </w:pPr>
            <w:r>
              <w:rPr>
                <w:rFonts w:ascii="Times New Roman" w:hAnsi="Times New Roman" w:cs="Times New Roman"/>
                <w:b/>
                <w:sz w:val="18"/>
                <w:szCs w:val="18"/>
                <w:lang w:val="sk-SK"/>
              </w:rPr>
              <w:t>Adresáti</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r>
              <w:rPr>
                <w:rFonts w:ascii="Times New Roman" w:hAnsi="Times New Roman" w:cs="Times New Roman"/>
                <w:sz w:val="18"/>
                <w:szCs w:val="18"/>
                <w:lang w:val="sk-SK"/>
              </w:rPr>
              <w:t>Táto smernica je určená členský</w:t>
            </w:r>
            <w:r>
              <w:rPr>
                <w:rFonts w:ascii="Times New Roman" w:hAnsi="Times New Roman" w:cs="Times New Roman"/>
                <w:sz w:val="18"/>
                <w:szCs w:val="18"/>
                <w:lang w:val="sk-SK"/>
              </w:rPr>
              <w:t>m štátom.</w:t>
            </w:r>
          </w:p>
          <w:p>
            <w:pPr>
              <w:spacing w:after="0"/>
              <w:rPr>
                <w:rFonts w:ascii="Times New Roman" w:hAnsi="Times New Roman" w:cs="Times New Roman"/>
                <w:sz w:val="18"/>
                <w:szCs w:val="18"/>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n.a.</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52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109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6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7"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 xml:space="preserve">Príloha </w:t>
            </w:r>
          </w:p>
          <w:p>
            <w:pPr>
              <w:pStyle w:val="TABUKA-textsmernice"/>
              <w:rPr>
                <w:rFonts w:ascii="Times New Roman" w:hAnsi="Times New Roman" w:cs="Times New Roman"/>
                <w:sz w:val="18"/>
                <w:szCs w:val="18"/>
              </w:rPr>
            </w:pPr>
            <w:r>
              <w:rPr>
                <w:rFonts w:ascii="Times New Roman" w:hAnsi="Times New Roman" w:cs="Times New Roman"/>
                <w:sz w:val="18"/>
                <w:szCs w:val="18"/>
              </w:rPr>
              <w:t>č. I</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spacing w:after="0"/>
              <w:rPr>
                <w:rFonts w:ascii="Times New Roman" w:hAnsi="Times New Roman" w:cs="Times New Roman"/>
                <w:b/>
                <w:sz w:val="18"/>
                <w:szCs w:val="18"/>
                <w:lang w:val="sk-SK"/>
              </w:rPr>
            </w:pPr>
            <w:r>
              <w:rPr>
                <w:rFonts w:ascii="Times New Roman" w:hAnsi="Times New Roman" w:cs="Times New Roman"/>
                <w:b/>
                <w:sz w:val="18"/>
                <w:szCs w:val="18"/>
                <w:lang w:val="sk-SK"/>
              </w:rPr>
              <w:t>Kapitálová primeranosť</w:t>
            </w:r>
          </w:p>
          <w:p>
            <w:pPr>
              <w:spacing w:after="0"/>
              <w:rPr>
                <w:rFonts w:ascii="Times New Roman" w:hAnsi="Times New Roman" w:cs="Times New Roman"/>
                <w:sz w:val="18"/>
                <w:szCs w:val="18"/>
                <w:lang w:val="sk-SK"/>
              </w:rPr>
            </w:pPr>
          </w:p>
          <w:p>
            <w:pPr>
              <w:spacing w:after="0"/>
              <w:rPr>
                <w:rFonts w:ascii="Times New Roman" w:hAnsi="Times New Roman" w:cs="Times New Roman"/>
                <w:sz w:val="18"/>
                <w:szCs w:val="18"/>
                <w:lang w:val="sk-SK"/>
              </w:rPr>
            </w:pPr>
          </w:p>
          <w:p>
            <w:pPr>
              <w:tabs>
                <w:tab w:val="left" w:pos="426"/>
              </w:tabs>
              <w:spacing w:after="0"/>
              <w:rPr>
                <w:rFonts w:ascii="Times New Roman" w:hAnsi="Times New Roman" w:cs="Times New Roman"/>
                <w:sz w:val="18"/>
                <w:szCs w:val="18"/>
                <w:lang w:val="sk-SK"/>
              </w:rPr>
            </w:pPr>
            <w:r>
              <w:rPr>
                <w:rFonts w:ascii="Times New Roman" w:hAnsi="Times New Roman" w:cs="Times New Roman"/>
                <w:sz w:val="18"/>
                <w:szCs w:val="18"/>
                <w:lang w:val="sk-SK"/>
              </w:rPr>
              <w:t>Výpočet doplňujúcej povinnej kapitálovej primeranosti regulovaných subjektov vo finančnom konglomeráte zakotvenej v článku 6 ods. (1) sa vykonáva v súlade s technickými princípmi a jednou z me</w:t>
            </w:r>
            <w:r>
              <w:rPr>
                <w:rFonts w:ascii="Times New Roman" w:hAnsi="Times New Roman" w:cs="Times New Roman"/>
                <w:sz w:val="18"/>
                <w:szCs w:val="18"/>
                <w:lang w:val="sk-SK"/>
              </w:rPr>
              <w:t>tód opisovaných v tejto prílohe.</w:t>
            </w:r>
          </w:p>
          <w:p>
            <w:pPr>
              <w:tabs>
                <w:tab w:val="left" w:pos="426"/>
              </w:tabs>
              <w:spacing w:after="0"/>
              <w:rPr>
                <w:rFonts w:ascii="Times New Roman" w:hAnsi="Times New Roman" w:cs="Times New Roman"/>
                <w:sz w:val="18"/>
                <w:szCs w:val="18"/>
                <w:lang w:val="sk-SK"/>
              </w:rPr>
            </w:pPr>
          </w:p>
          <w:p>
            <w:pPr>
              <w:tabs>
                <w:tab w:val="left" w:pos="426"/>
              </w:tabs>
              <w:spacing w:after="0"/>
              <w:rPr>
                <w:rFonts w:ascii="Times New Roman" w:hAnsi="Times New Roman" w:cs="Times New Roman"/>
                <w:sz w:val="18"/>
                <w:szCs w:val="18"/>
                <w:lang w:val="sk-SK"/>
              </w:rPr>
            </w:pPr>
            <w:r>
              <w:rPr>
                <w:rFonts w:ascii="Times New Roman" w:hAnsi="Times New Roman" w:cs="Times New Roman"/>
                <w:sz w:val="18"/>
                <w:szCs w:val="18"/>
                <w:lang w:val="sk-SK"/>
              </w:rPr>
              <w:t>Členské štáty, bez dotknutia ustanovení nasledujúceho odseku, umožnia svojim príslušným orgánom, ak tieto prevzali úlohu koordinátora vo vzťahu ku konkrétnemu finančnému konglomerátu, aby rozhodli po konzultácii s ostatnými príslušnými kompetentnými orgánmi a s konglomerátom samotným, ktorú metódu tento finančný konglomerát bude uplatňovať.</w:t>
            </w:r>
          </w:p>
          <w:p>
            <w:pPr>
              <w:tabs>
                <w:tab w:val="left" w:pos="426"/>
              </w:tabs>
              <w:spacing w:after="0"/>
              <w:rPr>
                <w:rFonts w:ascii="Times New Roman" w:hAnsi="Times New Roman" w:cs="Times New Roman"/>
                <w:sz w:val="18"/>
                <w:szCs w:val="18"/>
                <w:lang w:val="sk-SK"/>
              </w:rPr>
            </w:pPr>
          </w:p>
          <w:p>
            <w:pPr>
              <w:tabs>
                <w:tab w:val="left" w:pos="426"/>
              </w:tabs>
              <w:spacing w:after="0"/>
              <w:rPr>
                <w:rFonts w:ascii="Times New Roman" w:hAnsi="Times New Roman" w:cs="Times New Roman"/>
                <w:sz w:val="18"/>
                <w:szCs w:val="18"/>
                <w:lang w:val="sk-SK"/>
              </w:rPr>
            </w:pPr>
            <w:r>
              <w:rPr>
                <w:rFonts w:ascii="Times New Roman" w:hAnsi="Times New Roman" w:cs="Times New Roman"/>
                <w:sz w:val="18"/>
                <w:szCs w:val="18"/>
                <w:lang w:val="sk-SK"/>
              </w:rPr>
              <w:t>Členské štáty môžu vyžadovať, aby sa výpočet robil jednou konkrétnou metódou z metód ustanovených v tejto prílohe, ak na vrchole finančného konglomerátu je regulovaný subjekt, ktorý dostal oprávnenie v tom členskom štáte. Ak na vrchole finančného konglomerátu nie je regulovaný subjekt v zmysle článku 1, členské štáty schvália uplatňovanie ktorejkoľvek z metód opísaných v tejto prílohe, okrem situácie, ak sa príslušné kompetentné orgány nachádzajú v tom istom členskom štáte, kedy tento členský štát môže vyžadovať uplatňovanie jednej z metód.</w:t>
            </w:r>
          </w:p>
          <w:p>
            <w:pPr>
              <w:spacing w:after="0"/>
              <w:rPr>
                <w:rFonts w:ascii="Times New Roman" w:hAnsi="Times New Roman" w:cs="Times New Roman"/>
                <w:sz w:val="18"/>
                <w:szCs w:val="18"/>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N</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X/2004 Z.z.</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48g</w:t>
            </w:r>
          </w:p>
          <w:p>
            <w:pPr>
              <w:pStyle w:val="TABUKA-textsmernice"/>
              <w:rPr>
                <w:rFonts w:ascii="Times New Roman" w:hAnsi="Times New Roman" w:cs="Times New Roman"/>
                <w:sz w:val="18"/>
                <w:szCs w:val="18"/>
              </w:rPr>
            </w:pPr>
            <w:r>
              <w:rPr>
                <w:rFonts w:ascii="Times New Roman" w:hAnsi="Times New Roman" w:cs="Times New Roman"/>
                <w:sz w:val="18"/>
                <w:szCs w:val="18"/>
              </w:rPr>
              <w:t>ods. 9</w:t>
            </w:r>
          </w:p>
        </w:tc>
        <w:tc>
          <w:tcPr>
            <w:tcW w:w="52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rPr>
                <w:rFonts w:ascii="Times New Roman" w:hAnsi="Times New Roman" w:cs="Times New Roman"/>
                <w:sz w:val="18"/>
                <w:szCs w:val="18"/>
              </w:rPr>
            </w:pPr>
          </w:p>
          <w:p>
            <w:pPr>
              <w:pStyle w:val="BodyText"/>
              <w:rPr>
                <w:rFonts w:ascii="Times New Roman" w:hAnsi="Times New Roman" w:cs="Times New Roman"/>
                <w:sz w:val="18"/>
                <w:szCs w:val="18"/>
              </w:rPr>
            </w:pPr>
          </w:p>
          <w:p>
            <w:pPr>
              <w:pStyle w:val="BodyText"/>
              <w:rPr>
                <w:rFonts w:ascii="Times New Roman" w:hAnsi="Times New Roman" w:cs="Times New Roman"/>
                <w:sz w:val="18"/>
                <w:szCs w:val="18"/>
              </w:rPr>
            </w:pPr>
          </w:p>
          <w:p>
            <w:pPr>
              <w:pStyle w:val="BodyText"/>
              <w:spacing w:line="240" w:lineRule="atLeast"/>
              <w:rPr>
                <w:rFonts w:ascii="Times New Roman" w:hAnsi="Times New Roman" w:cs="Times New Roman"/>
                <w:sz w:val="18"/>
              </w:rPr>
            </w:pPr>
            <w:r>
              <w:rPr>
                <w:rFonts w:ascii="Times New Roman" w:hAnsi="Times New Roman" w:cs="Times New Roman"/>
                <w:sz w:val="18"/>
                <w:szCs w:val="18"/>
              </w:rPr>
              <w:t xml:space="preserve">(9) </w:t>
            </w:r>
            <w:r>
              <w:rPr>
                <w:rFonts w:ascii="Times New Roman" w:hAnsi="Times New Roman" w:cs="Times New Roman"/>
                <w:sz w:val="18"/>
              </w:rPr>
              <w:t>Všeobecne záväzný právny predpis, ktorý vydá ministerstvo, ustanoví na účely výpočtu dostatočnej výšky vlastných zdrojov na úrovni finančného konglomerátu</w:t>
            </w:r>
          </w:p>
          <w:p>
            <w:pPr>
              <w:pStyle w:val="BodyText"/>
              <w:spacing w:line="240" w:lineRule="atLeast"/>
              <w:rPr>
                <w:rFonts w:ascii="Times New Roman" w:hAnsi="Times New Roman" w:cs="Times New Roman"/>
                <w:sz w:val="18"/>
              </w:rPr>
            </w:pPr>
            <w:r>
              <w:rPr>
                <w:rFonts w:ascii="Times New Roman" w:hAnsi="Times New Roman" w:cs="Times New Roman"/>
                <w:sz w:val="18"/>
              </w:rPr>
              <w:t>a) čo tvorí vlastné zdroje na úrovni finančného konglomerátu a spôsob ich výpočtu, vrátane vlastných zdrojov zmiešanej finančnej holdingovej spoločnosti,</w:t>
            </w:r>
          </w:p>
          <w:p>
            <w:pPr>
              <w:pStyle w:val="BodyText"/>
              <w:spacing w:line="240" w:lineRule="atLeast"/>
              <w:rPr>
                <w:rFonts w:ascii="Times New Roman" w:hAnsi="Times New Roman" w:cs="Times New Roman"/>
                <w:sz w:val="18"/>
              </w:rPr>
            </w:pPr>
            <w:r>
              <w:rPr>
                <w:rFonts w:ascii="Times New Roman" w:hAnsi="Times New Roman" w:cs="Times New Roman"/>
                <w:sz w:val="18"/>
              </w:rPr>
              <w:t>b) čo sa rozumie minimálnou výškou vlastných zdrojov osôb v skupine a spôsob ich výpočtu,</w:t>
            </w:r>
          </w:p>
          <w:p>
            <w:pPr>
              <w:pStyle w:val="TABUKA-textsmernice"/>
              <w:rPr>
                <w:rFonts w:ascii="Times New Roman" w:hAnsi="Times New Roman" w:cs="Times New Roman"/>
                <w:sz w:val="18"/>
                <w:szCs w:val="18"/>
              </w:rPr>
            </w:pPr>
            <w:r>
              <w:rPr>
                <w:rFonts w:ascii="Times New Roman" w:hAnsi="Times New Roman" w:cs="Times New Roman"/>
                <w:sz w:val="18"/>
              </w:rPr>
              <w:t>c) metódy  výpočtu  dostatočnej výšky vlastných zdrojov na úrovni finančného konglomerátu.</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109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jc w:val="left"/>
              <w:rPr>
                <w:rFonts w:ascii="Times New Roman" w:hAnsi="Times New Roman" w:cs="Times New Roman"/>
                <w:sz w:val="18"/>
                <w:szCs w:val="18"/>
              </w:rPr>
            </w:pPr>
            <w:r>
              <w:rPr>
                <w:rFonts w:ascii="Times New Roman" w:hAnsi="Times New Roman" w:cs="Times New Roman"/>
                <w:sz w:val="18"/>
                <w:szCs w:val="18"/>
              </w:rPr>
              <w:t>Návrh vyhl. č. .../2004 o doplnkovom dozore vo finančných konglomerátoch</w:t>
            </w:r>
          </w:p>
        </w:tc>
        <w:tc>
          <w:tcPr>
            <w:tcW w:w="6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7"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tabs>
                <w:tab w:val="left" w:pos="426"/>
              </w:tabs>
              <w:spacing w:after="0"/>
              <w:rPr>
                <w:rFonts w:ascii="Times New Roman" w:hAnsi="Times New Roman" w:cs="Times New Roman"/>
                <w:b/>
                <w:bCs/>
                <w:sz w:val="18"/>
                <w:szCs w:val="18"/>
                <w:lang w:val="sk-SK"/>
              </w:rPr>
            </w:pPr>
            <w:r>
              <w:rPr>
                <w:rFonts w:ascii="Times New Roman" w:hAnsi="Times New Roman" w:cs="Times New Roman"/>
                <w:b/>
                <w:sz w:val="18"/>
                <w:szCs w:val="18"/>
                <w:lang w:val="sk-SK"/>
              </w:rPr>
              <w:t>I</w:t>
            </w:r>
            <w:r>
              <w:rPr>
                <w:rFonts w:ascii="Times New Roman" w:hAnsi="Times New Roman" w:cs="Times New Roman"/>
                <w:b/>
                <w:sz w:val="18"/>
                <w:szCs w:val="18"/>
                <w:lang w:val="sk-SK"/>
              </w:rPr>
              <w:t>.</w:t>
              <w:tab/>
            </w:r>
            <w:r>
              <w:rPr>
                <w:rFonts w:ascii="Times New Roman" w:hAnsi="Times New Roman" w:cs="Times New Roman"/>
                <w:b/>
                <w:bCs/>
                <w:sz w:val="18"/>
                <w:szCs w:val="18"/>
                <w:lang w:val="sk-SK"/>
              </w:rPr>
              <w:t>Technické princípy</w:t>
            </w:r>
          </w:p>
          <w:p>
            <w:pPr>
              <w:tabs>
                <w:tab w:val="left" w:pos="426"/>
              </w:tabs>
              <w:spacing w:after="0"/>
              <w:rPr>
                <w:rFonts w:ascii="Times New Roman" w:hAnsi="Times New Roman" w:cs="Times New Roman"/>
                <w:b/>
                <w:sz w:val="18"/>
                <w:szCs w:val="18"/>
                <w:lang w:val="sk-SK"/>
              </w:rPr>
            </w:pPr>
          </w:p>
          <w:p>
            <w:pPr>
              <w:tabs>
                <w:tab w:val="left" w:pos="355"/>
                <w:tab w:val="left" w:pos="851"/>
              </w:tabs>
              <w:spacing w:after="0"/>
              <w:rPr>
                <w:rFonts w:ascii="Times New Roman" w:hAnsi="Times New Roman" w:cs="Times New Roman"/>
                <w:iCs/>
                <w:sz w:val="18"/>
                <w:szCs w:val="18"/>
                <w:lang w:val="sk-SK"/>
              </w:rPr>
            </w:pPr>
            <w:r>
              <w:rPr>
                <w:rFonts w:ascii="Times New Roman" w:hAnsi="Times New Roman" w:cs="Times New Roman"/>
                <w:sz w:val="18"/>
                <w:szCs w:val="18"/>
                <w:lang w:val="sk-SK"/>
              </w:rPr>
              <w:t>1.</w:t>
              <w:tab/>
            </w:r>
            <w:r>
              <w:rPr>
                <w:rFonts w:ascii="Times New Roman" w:hAnsi="Times New Roman" w:cs="Times New Roman"/>
                <w:iCs/>
                <w:sz w:val="18"/>
                <w:szCs w:val="18"/>
                <w:lang w:val="sk-SK"/>
              </w:rPr>
              <w:t>Rozsah a forma výpočtu doplňujúcej povinnej kapitálovej primeranosti</w:t>
            </w:r>
          </w:p>
          <w:p>
            <w:pPr>
              <w:tabs>
                <w:tab w:val="left" w:pos="355"/>
                <w:tab w:val="left" w:pos="851"/>
              </w:tabs>
              <w:spacing w:after="0"/>
              <w:rPr>
                <w:rFonts w:ascii="Times New Roman" w:hAnsi="Times New Roman" w:cs="Times New Roman"/>
                <w:i/>
                <w:sz w:val="18"/>
                <w:szCs w:val="18"/>
                <w:lang w:val="sk-SK"/>
              </w:rPr>
            </w:pPr>
          </w:p>
          <w:p>
            <w:pPr>
              <w:pStyle w:val="BodyTextIndent"/>
              <w:spacing w:after="0"/>
              <w:ind w:left="0"/>
              <w:rPr>
                <w:rFonts w:ascii="Times New Roman" w:hAnsi="Times New Roman" w:cs="Times New Roman"/>
                <w:sz w:val="18"/>
                <w:szCs w:val="18"/>
                <w:lang w:val="sk-SK"/>
              </w:rPr>
            </w:pPr>
            <w:r>
              <w:rPr>
                <w:rFonts w:ascii="Times New Roman" w:hAnsi="Times New Roman" w:cs="Times New Roman"/>
                <w:sz w:val="18"/>
                <w:szCs w:val="18"/>
                <w:lang w:val="sk-SK"/>
              </w:rPr>
              <w:t>Ak daný subjekt je dcérskou spoločnosťou a má deficit platobnej schopnosti alebo v prípade neregulovaného subjektu finančného sektora pomyselný deficit platobnej schopnosti, bez ohľadu, ktorá metóda sa použije, treba vziať do úvahy celý deficit platobnej schopnosti dcérskej spoločnosti. Ak v tomto prípade, podľa názoru koordinátora, zodpovednosť materskej spoločnosti, ktorá vlastní kapitálový podiel, sa striktne a jednoznačne obmedzuje na tento kapitálový podiel, koordinátor môže dať povolenie, aby sa deficit platobnej schopnosti dcérskej spoločnosti bral do úvahy proporcionálne.</w:t>
            </w:r>
          </w:p>
          <w:p>
            <w:pPr>
              <w:pStyle w:val="BodyTextIndent"/>
              <w:spacing w:after="0"/>
              <w:ind w:left="0"/>
              <w:jc w:val="center"/>
              <w:rPr>
                <w:rFonts w:ascii="Times New Roman" w:hAnsi="Times New Roman" w:cs="Times New Roman"/>
                <w:sz w:val="18"/>
                <w:szCs w:val="18"/>
                <w:lang w:val="sk-SK"/>
              </w:rPr>
            </w:pPr>
          </w:p>
          <w:p>
            <w:pPr>
              <w:tabs>
                <w:tab w:val="left" w:pos="426"/>
              </w:tabs>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Ak medzi subjektmi vo finančnom konglomeráte neexistuje kapitálové prepojenie, koordinátor po konzultácii s ostatnými príslušnými kompetentnými orgánmi rozhodne, ktorý proporcionálny podiel bude treba brať do úvahy, majúc na pamäti záväzok, ktorý vzniká z jestvujúceho vzťahu.</w:t>
            </w:r>
          </w:p>
          <w:p>
            <w:pPr>
              <w:tabs>
                <w:tab w:val="left" w:pos="426"/>
                <w:tab w:val="left" w:pos="851"/>
              </w:tabs>
              <w:spacing w:after="0"/>
              <w:rPr>
                <w:rFonts w:ascii="Times New Roman" w:hAnsi="Times New Roman" w:cs="Times New Roman"/>
                <w:i/>
                <w:sz w:val="18"/>
                <w:szCs w:val="18"/>
                <w:lang w:val="sk-SK"/>
              </w:rPr>
            </w:pPr>
            <w:r>
              <w:rPr>
                <w:rFonts w:ascii="Times New Roman" w:hAnsi="Times New Roman" w:cs="Times New Roman"/>
                <w:sz w:val="18"/>
                <w:szCs w:val="18"/>
                <w:lang w:val="sk-SK"/>
              </w:rPr>
              <w:t xml:space="preserve">2.    </w:t>
            </w:r>
            <w:r>
              <w:rPr>
                <w:rFonts w:ascii="Times New Roman" w:hAnsi="Times New Roman" w:cs="Times New Roman"/>
                <w:iCs/>
                <w:sz w:val="18"/>
                <w:szCs w:val="18"/>
                <w:lang w:val="sk-SK"/>
              </w:rPr>
              <w:t>Ďalšie technické princípy</w:t>
            </w:r>
          </w:p>
          <w:p>
            <w:pPr>
              <w:tabs>
                <w:tab w:val="left" w:pos="426"/>
                <w:tab w:val="left" w:pos="851"/>
              </w:tabs>
              <w:spacing w:after="0"/>
              <w:rPr>
                <w:rFonts w:ascii="Times New Roman" w:hAnsi="Times New Roman" w:cs="Times New Roman"/>
                <w:i/>
                <w:sz w:val="18"/>
                <w:szCs w:val="18"/>
                <w:lang w:val="sk-SK"/>
              </w:rPr>
            </w:pPr>
          </w:p>
          <w:p>
            <w:pPr>
              <w:tabs>
                <w:tab w:val="left" w:pos="355"/>
              </w:tabs>
              <w:spacing w:after="0"/>
              <w:rPr>
                <w:rFonts w:ascii="Times New Roman" w:hAnsi="Times New Roman" w:cs="Times New Roman"/>
                <w:sz w:val="18"/>
                <w:szCs w:val="18"/>
                <w:lang w:val="sk-SK"/>
              </w:rPr>
            </w:pPr>
            <w:r>
              <w:rPr>
                <w:rFonts w:ascii="Times New Roman" w:hAnsi="Times New Roman" w:cs="Times New Roman"/>
                <w:sz w:val="18"/>
                <w:szCs w:val="18"/>
                <w:lang w:val="sk-SK"/>
              </w:rPr>
              <w:t>Koordinátor a v prípade potreby ostatné zainteresované príslušné orgány, bez ohľadu na metódu použitú pri výpočte doplňujúcej povinnej kapitálovej primeranosti regulovaných subjektov vo finančnom konglomeráte, ktorá sa ustanovuje v časti II tejto prílohy, zabezpečia uplatňovanie t</w:t>
            </w:r>
            <w:r>
              <w:rPr>
                <w:rFonts w:ascii="Times New Roman" w:hAnsi="Times New Roman" w:cs="Times New Roman"/>
                <w:sz w:val="18"/>
                <w:szCs w:val="18"/>
                <w:lang w:val="sk-SK"/>
              </w:rPr>
              <w:t>ýchto princípov:</w:t>
            </w:r>
          </w:p>
          <w:p>
            <w:pPr>
              <w:tabs>
                <w:tab w:val="left" w:pos="355"/>
              </w:tabs>
              <w:spacing w:after="0"/>
              <w:rPr>
                <w:rFonts w:ascii="Times New Roman" w:hAnsi="Times New Roman" w:cs="Times New Roman"/>
                <w:sz w:val="18"/>
                <w:szCs w:val="18"/>
                <w:lang w:val="sk-SK"/>
              </w:rPr>
            </w:pPr>
          </w:p>
          <w:p>
            <w:pPr>
              <w:tabs>
                <w:tab w:val="left" w:pos="426"/>
                <w:tab w:val="left" w:pos="851"/>
              </w:tabs>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(i)</w:t>
              <w:tab/>
              <w:t>musí sa zabrániť viacnásobnému použitiu prvkov oprávnených na výpočet vlastných zdrojov na úrovni finančného konglomerátu (viacnásobný „záber“), ako aj každej nenáležitej tvorbe vlastných zdrojov vnútri skupiny; príslušné orgány na zabránenie viacnásobnému „záberu“ a tvorbe vlastných zdrojov vnútri skupiny musia podľa analógie uplatňovať relevantné princípy ustanovené v príslušných sektorových predpisoch;</w:t>
            </w:r>
          </w:p>
          <w:p>
            <w:pPr>
              <w:tabs>
                <w:tab w:val="left" w:pos="426"/>
                <w:tab w:val="left" w:pos="851"/>
              </w:tabs>
              <w:spacing w:after="0"/>
              <w:rPr>
                <w:rFonts w:ascii="Times New Roman" w:hAnsi="Times New Roman" w:cs="Times New Roman"/>
                <w:sz w:val="18"/>
                <w:szCs w:val="18"/>
                <w:lang w:val="sk-SK"/>
              </w:rPr>
            </w:pPr>
          </w:p>
          <w:p>
            <w:pPr>
              <w:tabs>
                <w:tab w:val="left" w:pos="426"/>
              </w:tabs>
              <w:spacing w:after="0"/>
              <w:rPr>
                <w:rFonts w:ascii="Times New Roman" w:hAnsi="Times New Roman" w:cs="Times New Roman"/>
                <w:sz w:val="18"/>
                <w:szCs w:val="18"/>
                <w:lang w:val="sk-SK"/>
              </w:rPr>
            </w:pPr>
            <w:r>
              <w:rPr>
                <w:rFonts w:ascii="Times New Roman" w:hAnsi="Times New Roman" w:cs="Times New Roman"/>
                <w:sz w:val="18"/>
                <w:szCs w:val="18"/>
                <w:lang w:val="sk-SK"/>
              </w:rPr>
              <w:t>(ii)</w:t>
              <w:tab/>
              <w:t>až do ďalšej harmonizácie sektorových predpisov povinná kapitálová primeranosť pre každý odlišný finančný sektor reprezentovaný vo finančnom konglomeráte sa musí pokryť prvkami vlastných zdrojov v súlade so zodpovedajúcimi sektorovými predpismi; ak na úrovni finančného konglomerátu je deficit vlastných zdrojov, pri overovaní dodržania dodatočných požiadaviek na kapitálovú primeranosť sa kvalifikujú len tie prvky vlastných zdrojov, ktoré sú oprávnené podľa každého zo sektorových predpisov (transsektorový kapitál);</w:t>
            </w:r>
          </w:p>
          <w:p>
            <w:pPr>
              <w:tabs>
                <w:tab w:val="left" w:pos="426"/>
                <w:tab w:val="left" w:pos="851"/>
              </w:tabs>
              <w:spacing w:after="0"/>
              <w:rPr>
                <w:rFonts w:ascii="Times New Roman" w:hAnsi="Times New Roman" w:cs="Times New Roman"/>
                <w:sz w:val="18"/>
                <w:szCs w:val="18"/>
                <w:lang w:val="sk-SK"/>
              </w:rPr>
            </w:pPr>
            <w:r>
              <w:rPr>
                <w:rFonts w:ascii="Times New Roman" w:hAnsi="Times New Roman" w:cs="Times New Roman"/>
                <w:sz w:val="18"/>
                <w:szCs w:val="18"/>
                <w:lang w:val="sk-SK"/>
              </w:rPr>
              <w:t>ak sektorové predpisy ustanovujú limity na oprávnenosť určitých nástrojov vlastných zdrojov, ktoré sú oprávnené ako transsektorový kapitál, tieto limity budú platiť, s nutnými zmenami, pri výpočte vlastných zdrojov na úrovni finančného konglomerátu;</w:t>
            </w:r>
          </w:p>
          <w:p>
            <w:pPr>
              <w:tabs>
                <w:tab w:val="left" w:pos="426"/>
                <w:tab w:val="left" w:pos="851"/>
              </w:tabs>
              <w:spacing w:after="0"/>
              <w:rPr>
                <w:rFonts w:ascii="Times New Roman" w:hAnsi="Times New Roman" w:cs="Times New Roman"/>
                <w:sz w:val="18"/>
                <w:szCs w:val="18"/>
                <w:lang w:val="sk-SK"/>
              </w:rPr>
            </w:pPr>
          </w:p>
          <w:p>
            <w:pPr>
              <w:tabs>
                <w:tab w:val="left" w:pos="426"/>
                <w:tab w:val="left" w:pos="851"/>
              </w:tabs>
              <w:spacing w:after="0"/>
              <w:rPr>
                <w:rFonts w:ascii="Times New Roman" w:hAnsi="Times New Roman" w:cs="Times New Roman"/>
                <w:sz w:val="18"/>
                <w:szCs w:val="18"/>
                <w:lang w:val="sk-SK"/>
              </w:rPr>
            </w:pPr>
            <w:r>
              <w:rPr>
                <w:rFonts w:ascii="Times New Roman" w:hAnsi="Times New Roman" w:cs="Times New Roman"/>
                <w:sz w:val="18"/>
                <w:szCs w:val="18"/>
                <w:lang w:val="sk-SK"/>
              </w:rPr>
              <w:t>príslušné orgány pri výpočte vlastných zdrojov na úrovni finančného konglomerátu vezmú do úvahy tiež účinnosť prevoditeľnosti a dostupnosti vlastných zdrojov v rámci rôznych právnických osôb v skupine vzhľadom na ciele predpisov o kapitálovej primeranosti;</w:t>
            </w:r>
          </w:p>
          <w:p>
            <w:pPr>
              <w:tabs>
                <w:tab w:val="left" w:pos="426"/>
                <w:tab w:val="left" w:pos="851"/>
              </w:tabs>
              <w:spacing w:after="0"/>
              <w:rPr>
                <w:rFonts w:ascii="Times New Roman" w:hAnsi="Times New Roman" w:cs="Times New Roman"/>
                <w:sz w:val="18"/>
                <w:szCs w:val="18"/>
                <w:lang w:val="sk-SK"/>
              </w:rPr>
            </w:pPr>
          </w:p>
          <w:p>
            <w:pPr>
              <w:tabs>
                <w:tab w:val="left" w:pos="426"/>
                <w:tab w:val="left" w:pos="851"/>
              </w:tabs>
              <w:spacing w:after="0"/>
              <w:rPr>
                <w:rFonts w:ascii="Times New Roman" w:hAnsi="Times New Roman" w:cs="Times New Roman"/>
                <w:sz w:val="18"/>
                <w:szCs w:val="18"/>
                <w:lang w:val="sk-SK"/>
              </w:rPr>
            </w:pPr>
          </w:p>
          <w:p>
            <w:pPr>
              <w:tabs>
                <w:tab w:val="left" w:pos="922"/>
              </w:tabs>
              <w:spacing w:after="0"/>
              <w:rPr>
                <w:rFonts w:ascii="Times New Roman" w:hAnsi="Times New Roman" w:cs="Times New Roman"/>
                <w:sz w:val="18"/>
                <w:szCs w:val="18"/>
                <w:lang w:val="sk-SK"/>
              </w:rPr>
            </w:pPr>
            <w:r>
              <w:rPr>
                <w:rFonts w:ascii="Times New Roman" w:hAnsi="Times New Roman" w:cs="Times New Roman"/>
                <w:sz w:val="18"/>
                <w:szCs w:val="18"/>
                <w:lang w:val="sk-SK"/>
              </w:rPr>
              <w:t>ak sa v prípade neregulovaného subjektu finančného sektora pomyselná kapitálová požiadavka počíta podľa časti II tejto prílohy, pomyselná kapitálová požiadavka znamená kapitálovú primeranosť, s ktorou by tento subjekt spĺňal príslušné sektorové predpisy, ako keby bol regulovaným subjektom tohto konkrétneho finančného sektora; v prípade spoločnosti zaoberajúcej sa správou investičného majetku kapitálová požiadavka znamená kapitálovú primeranosť, ktorá sa ustanovuje v článku 5a ods. (1) písm. a  smernice 85/611/EHS; pomyselná kapitálová požiadavka zmiešanej finančnej holdingovej spoločnosti sa vypočíta podľa sektorových predpisov najdôležitejšieho finančného sektora vo finančnom konglomeráte.</w:t>
            </w:r>
          </w:p>
          <w:p>
            <w:pPr>
              <w:spacing w:after="0"/>
              <w:rPr>
                <w:rFonts w:ascii="Times New Roman" w:hAnsi="Times New Roman" w:cs="Times New Roman"/>
                <w:sz w:val="18"/>
                <w:szCs w:val="18"/>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52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109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6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7"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tabs>
                <w:tab w:val="left" w:pos="426"/>
              </w:tabs>
              <w:spacing w:after="0"/>
              <w:rPr>
                <w:rFonts w:ascii="Times New Roman" w:hAnsi="Times New Roman" w:cs="Times New Roman"/>
                <w:b/>
                <w:bCs/>
                <w:sz w:val="18"/>
                <w:szCs w:val="18"/>
                <w:lang w:val="sk-SK"/>
              </w:rPr>
            </w:pPr>
            <w:r>
              <w:rPr>
                <w:rFonts w:ascii="Times New Roman" w:hAnsi="Times New Roman" w:cs="Times New Roman"/>
                <w:b/>
                <w:sz w:val="18"/>
                <w:szCs w:val="18"/>
                <w:lang w:val="sk-SK"/>
              </w:rPr>
              <w:t>II.</w:t>
              <w:tab/>
            </w:r>
            <w:r>
              <w:rPr>
                <w:rFonts w:ascii="Times New Roman" w:hAnsi="Times New Roman" w:cs="Times New Roman"/>
                <w:b/>
                <w:bCs/>
                <w:sz w:val="18"/>
                <w:szCs w:val="18"/>
                <w:lang w:val="sk-SK"/>
              </w:rPr>
              <w:t>Technické metódy výpočtu</w:t>
            </w:r>
          </w:p>
          <w:p>
            <w:pPr>
              <w:tabs>
                <w:tab w:val="left" w:pos="426"/>
              </w:tabs>
              <w:spacing w:after="0"/>
              <w:rPr>
                <w:rFonts w:ascii="Times New Roman" w:hAnsi="Times New Roman" w:cs="Times New Roman"/>
                <w:b/>
                <w:sz w:val="18"/>
                <w:szCs w:val="18"/>
                <w:lang w:val="sk-SK"/>
              </w:rPr>
            </w:pPr>
          </w:p>
          <w:p>
            <w:pPr>
              <w:tabs>
                <w:tab w:val="left" w:pos="426"/>
              </w:tabs>
              <w:spacing w:after="0"/>
              <w:rPr>
                <w:rFonts w:ascii="Times New Roman" w:hAnsi="Times New Roman" w:cs="Times New Roman"/>
                <w:b/>
                <w:sz w:val="18"/>
                <w:szCs w:val="18"/>
                <w:lang w:val="sk-SK"/>
              </w:rPr>
            </w:pPr>
          </w:p>
          <w:p>
            <w:pPr>
              <w:tabs>
                <w:tab w:val="left" w:pos="426"/>
                <w:tab w:val="left" w:pos="851"/>
              </w:tabs>
              <w:spacing w:after="0"/>
              <w:rPr>
                <w:rFonts w:ascii="Times New Roman" w:hAnsi="Times New Roman" w:cs="Times New Roman"/>
                <w:sz w:val="18"/>
                <w:szCs w:val="18"/>
                <w:lang w:val="sk-SK"/>
              </w:rPr>
            </w:pPr>
            <w:r>
              <w:rPr>
                <w:rFonts w:ascii="Times New Roman" w:hAnsi="Times New Roman" w:cs="Times New Roman"/>
                <w:sz w:val="18"/>
                <w:szCs w:val="18"/>
                <w:lang w:val="sk-SK"/>
              </w:rPr>
              <w:t>Metóda 1: metóda „účtovnej konsolidácie“</w:t>
            </w:r>
          </w:p>
          <w:p>
            <w:pPr>
              <w:tabs>
                <w:tab w:val="left" w:pos="426"/>
                <w:tab w:val="left" w:pos="851"/>
              </w:tabs>
              <w:spacing w:after="0"/>
              <w:rPr>
                <w:rFonts w:ascii="Times New Roman" w:hAnsi="Times New Roman" w:cs="Times New Roman"/>
                <w:sz w:val="18"/>
                <w:szCs w:val="18"/>
                <w:lang w:val="sk-SK"/>
              </w:rPr>
            </w:pPr>
          </w:p>
          <w:p>
            <w:pPr>
              <w:tabs>
                <w:tab w:val="left" w:pos="426"/>
                <w:tab w:val="left" w:pos="851"/>
              </w:tabs>
              <w:spacing w:after="0"/>
              <w:rPr>
                <w:rFonts w:ascii="Times New Roman" w:hAnsi="Times New Roman" w:cs="Times New Roman"/>
                <w:sz w:val="18"/>
                <w:szCs w:val="18"/>
                <w:lang w:val="sk-SK"/>
              </w:rPr>
            </w:pPr>
            <w:r>
              <w:rPr>
                <w:rFonts w:ascii="Times New Roman" w:hAnsi="Times New Roman" w:cs="Times New Roman"/>
                <w:sz w:val="18"/>
                <w:szCs w:val="18"/>
                <w:lang w:val="sk-SK"/>
              </w:rPr>
              <w:t>Výpočet doplňujúcej kapitálovej primeranosti regulovaných subjektov vo finančnom konglomeráte sa robí na základe konsolidovaných účtov.</w:t>
            </w:r>
          </w:p>
          <w:p>
            <w:pPr>
              <w:tabs>
                <w:tab w:val="left" w:pos="426"/>
                <w:tab w:val="left" w:pos="851"/>
              </w:tabs>
              <w:spacing w:after="0"/>
              <w:rPr>
                <w:rFonts w:ascii="Times New Roman" w:hAnsi="Times New Roman" w:cs="Times New Roman"/>
                <w:sz w:val="18"/>
                <w:szCs w:val="18"/>
                <w:lang w:val="sk-SK"/>
              </w:rPr>
            </w:pPr>
          </w:p>
          <w:p>
            <w:pPr>
              <w:tabs>
                <w:tab w:val="left" w:pos="426"/>
                <w:tab w:val="left" w:pos="851"/>
              </w:tabs>
              <w:spacing w:after="0"/>
              <w:rPr>
                <w:rFonts w:ascii="Times New Roman" w:hAnsi="Times New Roman" w:cs="Times New Roman"/>
                <w:sz w:val="18"/>
                <w:szCs w:val="18"/>
                <w:lang w:val="sk-SK"/>
              </w:rPr>
            </w:pPr>
            <w:r>
              <w:rPr>
                <w:rFonts w:ascii="Times New Roman" w:hAnsi="Times New Roman" w:cs="Times New Roman"/>
                <w:sz w:val="18"/>
                <w:szCs w:val="18"/>
                <w:lang w:val="sk-SK"/>
              </w:rPr>
              <w:t>Doplňujúca kapitálová primeranosť sa vypočíta ako rozdiel medzi:</w:t>
            </w:r>
          </w:p>
          <w:p>
            <w:pPr>
              <w:tabs>
                <w:tab w:val="left" w:pos="426"/>
                <w:tab w:val="left" w:pos="851"/>
              </w:tabs>
              <w:spacing w:after="0"/>
              <w:rPr>
                <w:rFonts w:ascii="Times New Roman" w:hAnsi="Times New Roman" w:cs="Times New Roman"/>
                <w:sz w:val="18"/>
                <w:szCs w:val="18"/>
                <w:lang w:val="sk-SK"/>
              </w:rPr>
            </w:pPr>
          </w:p>
          <w:p>
            <w:pPr>
              <w:tabs>
                <w:tab w:val="left" w:pos="426"/>
                <w:tab w:val="left" w:pos="851"/>
              </w:tabs>
              <w:spacing w:after="0"/>
              <w:rPr>
                <w:rFonts w:ascii="Times New Roman" w:hAnsi="Times New Roman" w:cs="Times New Roman"/>
                <w:sz w:val="18"/>
                <w:szCs w:val="18"/>
                <w:lang w:val="sk-SK"/>
              </w:rPr>
            </w:pPr>
            <w:r>
              <w:rPr>
                <w:rFonts w:ascii="Times New Roman" w:hAnsi="Times New Roman" w:cs="Times New Roman"/>
                <w:sz w:val="18"/>
                <w:szCs w:val="18"/>
                <w:lang w:val="sk-SK"/>
              </w:rPr>
              <w:t>(i)</w:t>
              <w:tab/>
              <w:t xml:space="preserve"> vlastnými zdrojmi finančného konglomerátu vypočítanými na základe konsolidovanej pozície skupiny; oprávnené prvky sú tie, ktoré sú oprávnené podľa príslušných sektorových predpisov</w:t>
            </w:r>
          </w:p>
          <w:p>
            <w:pPr>
              <w:tabs>
                <w:tab w:val="left" w:pos="426"/>
                <w:tab w:val="left" w:pos="851"/>
              </w:tabs>
              <w:spacing w:after="0"/>
              <w:rPr>
                <w:rFonts w:ascii="Times New Roman" w:hAnsi="Times New Roman" w:cs="Times New Roman"/>
                <w:sz w:val="18"/>
                <w:szCs w:val="18"/>
                <w:lang w:val="sk-SK"/>
              </w:rPr>
            </w:pPr>
            <w:r>
              <w:rPr>
                <w:rFonts w:ascii="Times New Roman" w:hAnsi="Times New Roman" w:cs="Times New Roman"/>
                <w:sz w:val="18"/>
                <w:szCs w:val="18"/>
                <w:lang w:val="sk-SK"/>
              </w:rPr>
              <w:t>a</w:t>
            </w:r>
          </w:p>
          <w:p>
            <w:pPr>
              <w:tabs>
                <w:tab w:val="left" w:pos="426"/>
                <w:tab w:val="left" w:pos="851"/>
              </w:tabs>
              <w:spacing w:after="0"/>
              <w:rPr>
                <w:rFonts w:ascii="Times New Roman" w:hAnsi="Times New Roman" w:cs="Times New Roman"/>
                <w:sz w:val="18"/>
                <w:szCs w:val="18"/>
                <w:lang w:val="sk-SK"/>
              </w:rPr>
            </w:pPr>
          </w:p>
          <w:p>
            <w:pPr>
              <w:tabs>
                <w:tab w:val="left" w:pos="426"/>
                <w:tab w:val="left" w:pos="851"/>
              </w:tabs>
              <w:spacing w:after="0"/>
              <w:rPr>
                <w:rFonts w:ascii="Times New Roman" w:hAnsi="Times New Roman" w:cs="Times New Roman"/>
                <w:sz w:val="18"/>
                <w:szCs w:val="18"/>
                <w:lang w:val="sk-SK"/>
              </w:rPr>
            </w:pPr>
            <w:r>
              <w:rPr>
                <w:rFonts w:ascii="Times New Roman" w:hAnsi="Times New Roman" w:cs="Times New Roman"/>
                <w:sz w:val="18"/>
                <w:szCs w:val="18"/>
                <w:lang w:val="sk-SK"/>
              </w:rPr>
              <w:t xml:space="preserve">  (ii)</w:t>
              <w:tab/>
              <w:t xml:space="preserve">  súčtom kapitálových požiadaviek za každý osobitný finančný sektor zastúpený v skupine; kapitálové požiadavky za každý osobitný finančný sektor sa vypočítajú na zákl</w:t>
            </w:r>
            <w:r>
              <w:rPr>
                <w:rFonts w:ascii="Times New Roman" w:hAnsi="Times New Roman" w:cs="Times New Roman"/>
                <w:sz w:val="18"/>
                <w:szCs w:val="18"/>
                <w:lang w:val="sk-SK"/>
              </w:rPr>
              <w:t>ade zodpovedajúcich sektorových predpisov.</w:t>
            </w:r>
          </w:p>
          <w:p>
            <w:pPr>
              <w:tabs>
                <w:tab w:val="left" w:pos="426"/>
                <w:tab w:val="left" w:pos="851"/>
              </w:tabs>
              <w:spacing w:after="0"/>
              <w:rPr>
                <w:rFonts w:ascii="Times New Roman" w:hAnsi="Times New Roman" w:cs="Times New Roman"/>
                <w:sz w:val="18"/>
                <w:szCs w:val="18"/>
                <w:lang w:val="sk-SK"/>
              </w:rPr>
            </w:pPr>
          </w:p>
          <w:p>
            <w:pPr>
              <w:tabs>
                <w:tab w:val="left" w:pos="355"/>
              </w:tabs>
              <w:spacing w:after="0"/>
              <w:rPr>
                <w:rFonts w:ascii="Times New Roman" w:hAnsi="Times New Roman" w:cs="Times New Roman"/>
                <w:sz w:val="18"/>
                <w:szCs w:val="18"/>
                <w:lang w:val="sk-SK"/>
              </w:rPr>
            </w:pPr>
            <w:r>
              <w:rPr>
                <w:rFonts w:ascii="Times New Roman" w:hAnsi="Times New Roman" w:cs="Times New Roman"/>
                <w:sz w:val="18"/>
                <w:szCs w:val="18"/>
                <w:lang w:val="sk-SK"/>
              </w:rPr>
              <w:t>Medzi ustanovené sektorové predpisy patria najmä smernice 2000/12/ES, hlava V kapitola 3 vo vzťahu k úverovým ústavom, 98/78/ES vo vzťahu k poisťovniam a 93/6/EHS vo vzťahu k úverovým ústavom a investičným firmám</w:t>
            </w:r>
            <w:r>
              <w:rPr>
                <w:rFonts w:ascii="Times New Roman" w:hAnsi="Times New Roman" w:cs="Times New Roman"/>
                <w:sz w:val="18"/>
                <w:szCs w:val="18"/>
                <w:lang w:val="sk-SK"/>
              </w:rPr>
              <w:t>.</w:t>
            </w:r>
          </w:p>
          <w:p>
            <w:pPr>
              <w:tabs>
                <w:tab w:val="left" w:pos="426"/>
                <w:tab w:val="left" w:pos="851"/>
              </w:tabs>
              <w:spacing w:after="0"/>
              <w:rPr>
                <w:rFonts w:ascii="Times New Roman" w:hAnsi="Times New Roman" w:cs="Times New Roman"/>
                <w:sz w:val="18"/>
                <w:szCs w:val="18"/>
                <w:lang w:val="sk-SK"/>
              </w:rPr>
            </w:pPr>
            <w:r>
              <w:rPr>
                <w:rFonts w:ascii="Times New Roman" w:hAnsi="Times New Roman" w:cs="Times New Roman"/>
                <w:sz w:val="18"/>
                <w:szCs w:val="18"/>
                <w:lang w:val="sk-SK"/>
              </w:rPr>
              <w:t>V prípade neregulovaných subjektov finančného sektora, ktoré nie sú zahrnuté do uvedených výpočtov sektorových kapitálových požiadaviek, sa počíta pomyselná kapitálová požiadavka.</w:t>
            </w:r>
          </w:p>
          <w:p>
            <w:pPr>
              <w:tabs>
                <w:tab w:val="left" w:pos="426"/>
                <w:tab w:val="left" w:pos="851"/>
              </w:tabs>
              <w:spacing w:after="0"/>
              <w:rPr>
                <w:rFonts w:ascii="Times New Roman" w:hAnsi="Times New Roman" w:cs="Times New Roman"/>
                <w:sz w:val="18"/>
                <w:szCs w:val="18"/>
                <w:lang w:val="sk-SK"/>
              </w:rPr>
            </w:pPr>
            <w:r>
              <w:rPr>
                <w:rFonts w:ascii="Times New Roman" w:hAnsi="Times New Roman" w:cs="Times New Roman"/>
                <w:sz w:val="18"/>
                <w:szCs w:val="18"/>
                <w:lang w:val="sk-SK"/>
              </w:rPr>
              <w:t>Rozdiel nesmie byť záporný.</w:t>
            </w:r>
          </w:p>
          <w:p>
            <w:pPr>
              <w:tabs>
                <w:tab w:val="left" w:pos="426"/>
                <w:tab w:val="left" w:pos="851"/>
              </w:tabs>
              <w:spacing w:after="0"/>
              <w:rPr>
                <w:rFonts w:ascii="Times New Roman" w:hAnsi="Times New Roman" w:cs="Times New Roman"/>
                <w:sz w:val="18"/>
                <w:szCs w:val="18"/>
                <w:lang w:val="sk-SK"/>
              </w:rPr>
            </w:pPr>
          </w:p>
          <w:p>
            <w:pPr>
              <w:tabs>
                <w:tab w:val="left" w:pos="426"/>
                <w:tab w:val="left" w:pos="851"/>
              </w:tabs>
              <w:spacing w:after="0"/>
              <w:rPr>
                <w:rFonts w:ascii="Times New Roman" w:hAnsi="Times New Roman" w:cs="Times New Roman"/>
                <w:sz w:val="18"/>
                <w:szCs w:val="18"/>
                <w:lang w:val="sk-SK"/>
              </w:rPr>
            </w:pPr>
          </w:p>
          <w:p>
            <w:pPr>
              <w:tabs>
                <w:tab w:val="left" w:pos="426"/>
                <w:tab w:val="left" w:pos="851"/>
              </w:tabs>
              <w:spacing w:after="0"/>
              <w:rPr>
                <w:rFonts w:ascii="Times New Roman" w:hAnsi="Times New Roman" w:cs="Times New Roman"/>
                <w:sz w:val="18"/>
                <w:szCs w:val="18"/>
                <w:lang w:val="sk-SK"/>
              </w:rPr>
            </w:pPr>
            <w:r>
              <w:rPr>
                <w:rFonts w:ascii="Times New Roman" w:hAnsi="Times New Roman" w:cs="Times New Roman"/>
                <w:sz w:val="18"/>
                <w:szCs w:val="18"/>
                <w:lang w:val="sk-SK"/>
              </w:rPr>
              <w:t>Metóda 2: metóda „odpočítavania a agregácie“</w:t>
            </w:r>
          </w:p>
          <w:p>
            <w:pPr>
              <w:tabs>
                <w:tab w:val="left" w:pos="426"/>
                <w:tab w:val="left" w:pos="851"/>
              </w:tabs>
              <w:spacing w:after="0"/>
              <w:rPr>
                <w:rFonts w:ascii="Times New Roman" w:hAnsi="Times New Roman" w:cs="Times New Roman"/>
                <w:sz w:val="18"/>
                <w:szCs w:val="18"/>
                <w:lang w:val="sk-SK"/>
              </w:rPr>
            </w:pPr>
          </w:p>
          <w:p>
            <w:pPr>
              <w:tabs>
                <w:tab w:val="left" w:pos="426"/>
                <w:tab w:val="left" w:pos="851"/>
              </w:tabs>
              <w:spacing w:after="0"/>
              <w:rPr>
                <w:rFonts w:ascii="Times New Roman" w:hAnsi="Times New Roman" w:cs="Times New Roman"/>
                <w:sz w:val="18"/>
                <w:szCs w:val="18"/>
                <w:lang w:val="sk-SK"/>
              </w:rPr>
            </w:pPr>
            <w:r>
              <w:rPr>
                <w:rFonts w:ascii="Times New Roman" w:hAnsi="Times New Roman" w:cs="Times New Roman"/>
                <w:sz w:val="18"/>
                <w:szCs w:val="18"/>
                <w:lang w:val="sk-SK"/>
              </w:rPr>
              <w:t>Výpočet doplňujúcej kapitálovej primeranosti regulovaných subjektov vo finančnom konglomeráte sa robí na základe účtov každého zo subjektov v skupine.</w:t>
            </w:r>
          </w:p>
          <w:p>
            <w:pPr>
              <w:tabs>
                <w:tab w:val="left" w:pos="426"/>
                <w:tab w:val="left" w:pos="851"/>
              </w:tabs>
              <w:spacing w:after="0"/>
              <w:rPr>
                <w:rFonts w:ascii="Times New Roman" w:hAnsi="Times New Roman" w:cs="Times New Roman"/>
                <w:sz w:val="18"/>
                <w:szCs w:val="18"/>
                <w:lang w:val="sk-SK"/>
              </w:rPr>
            </w:pPr>
          </w:p>
          <w:p>
            <w:pPr>
              <w:tabs>
                <w:tab w:val="left" w:pos="426"/>
                <w:tab w:val="left" w:pos="851"/>
              </w:tabs>
              <w:spacing w:after="0"/>
              <w:rPr>
                <w:rFonts w:ascii="Times New Roman" w:hAnsi="Times New Roman" w:cs="Times New Roman"/>
                <w:sz w:val="18"/>
                <w:szCs w:val="18"/>
                <w:lang w:val="sk-SK"/>
              </w:rPr>
            </w:pPr>
          </w:p>
          <w:p>
            <w:pPr>
              <w:tabs>
                <w:tab w:val="left" w:pos="426"/>
                <w:tab w:val="left" w:pos="851"/>
              </w:tabs>
              <w:spacing w:after="0"/>
              <w:rPr>
                <w:rFonts w:ascii="Times New Roman" w:hAnsi="Times New Roman" w:cs="Times New Roman"/>
                <w:sz w:val="18"/>
                <w:szCs w:val="18"/>
                <w:lang w:val="sk-SK"/>
              </w:rPr>
            </w:pPr>
            <w:r>
              <w:rPr>
                <w:rFonts w:ascii="Times New Roman" w:hAnsi="Times New Roman" w:cs="Times New Roman"/>
                <w:sz w:val="18"/>
                <w:szCs w:val="18"/>
                <w:lang w:val="sk-SK"/>
              </w:rPr>
              <w:t>Doplňujúca kapitálová primeranosť sa vypočíta ako rozdiel medzi:</w:t>
            </w:r>
          </w:p>
          <w:p>
            <w:pPr>
              <w:tabs>
                <w:tab w:val="left" w:pos="426"/>
                <w:tab w:val="left" w:pos="851"/>
              </w:tabs>
              <w:spacing w:after="0"/>
              <w:rPr>
                <w:rFonts w:ascii="Times New Roman" w:hAnsi="Times New Roman" w:cs="Times New Roman"/>
                <w:sz w:val="18"/>
                <w:szCs w:val="18"/>
                <w:lang w:val="sk-SK"/>
              </w:rPr>
            </w:pPr>
          </w:p>
          <w:p>
            <w:pPr>
              <w:tabs>
                <w:tab w:val="left" w:pos="426"/>
                <w:tab w:val="left" w:pos="851"/>
              </w:tabs>
              <w:spacing w:after="0"/>
              <w:rPr>
                <w:rFonts w:ascii="Times New Roman" w:hAnsi="Times New Roman" w:cs="Times New Roman"/>
                <w:sz w:val="18"/>
                <w:szCs w:val="18"/>
                <w:lang w:val="sk-SK"/>
              </w:rPr>
            </w:pPr>
            <w:r>
              <w:rPr>
                <w:rFonts w:ascii="Times New Roman" w:hAnsi="Times New Roman" w:cs="Times New Roman"/>
                <w:sz w:val="18"/>
                <w:szCs w:val="18"/>
                <w:lang w:val="sk-SK"/>
              </w:rPr>
              <w:t>(i)</w:t>
              <w:tab/>
              <w:t>súčtom vlastných zdrojov každého regulovaného a neregulovaného subjektu finančného sektora vo finančnom konglomeráte; oprávnené prvky sú tie, ktoré sú oprávnené podľa príslušných sektorových predpisov</w:t>
            </w:r>
          </w:p>
          <w:p>
            <w:pPr>
              <w:tabs>
                <w:tab w:val="left" w:pos="426"/>
                <w:tab w:val="left" w:pos="851"/>
              </w:tabs>
              <w:spacing w:after="0"/>
              <w:rPr>
                <w:rFonts w:ascii="Times New Roman" w:hAnsi="Times New Roman" w:cs="Times New Roman"/>
                <w:sz w:val="18"/>
                <w:szCs w:val="18"/>
                <w:lang w:val="sk-SK"/>
              </w:rPr>
            </w:pPr>
            <w:r>
              <w:rPr>
                <w:rFonts w:ascii="Times New Roman" w:hAnsi="Times New Roman" w:cs="Times New Roman"/>
                <w:sz w:val="18"/>
                <w:szCs w:val="18"/>
                <w:lang w:val="sk-SK"/>
              </w:rPr>
              <w:t>a</w:t>
            </w:r>
          </w:p>
          <w:p>
            <w:pPr>
              <w:tabs>
                <w:tab w:val="left" w:pos="426"/>
                <w:tab w:val="left" w:pos="851"/>
              </w:tabs>
              <w:spacing w:after="0"/>
              <w:rPr>
                <w:rFonts w:ascii="Times New Roman" w:hAnsi="Times New Roman" w:cs="Times New Roman"/>
                <w:sz w:val="18"/>
                <w:szCs w:val="18"/>
                <w:lang w:val="sk-SK"/>
              </w:rPr>
            </w:pPr>
          </w:p>
          <w:p>
            <w:pPr>
              <w:tabs>
                <w:tab w:val="left" w:pos="426"/>
                <w:tab w:val="left" w:pos="851"/>
              </w:tabs>
              <w:spacing w:after="0"/>
              <w:rPr>
                <w:rFonts w:ascii="Times New Roman" w:hAnsi="Times New Roman" w:cs="Times New Roman"/>
                <w:sz w:val="18"/>
                <w:szCs w:val="18"/>
                <w:lang w:val="sk-SK"/>
              </w:rPr>
            </w:pPr>
            <w:r>
              <w:rPr>
                <w:rFonts w:ascii="Times New Roman" w:hAnsi="Times New Roman" w:cs="Times New Roman"/>
                <w:sz w:val="18"/>
                <w:szCs w:val="18"/>
                <w:lang w:val="sk-SK"/>
              </w:rPr>
              <w:t>(ii)</w:t>
              <w:tab/>
              <w:t>súčtom</w:t>
            </w:r>
          </w:p>
          <w:p>
            <w:pPr>
              <w:numPr>
                <w:ilvl w:val="0"/>
                <w:numId w:val="43"/>
              </w:numPr>
              <w:tabs>
                <w:tab w:val="left" w:pos="426"/>
                <w:tab w:val="left" w:pos="823"/>
                <w:tab w:val="left" w:pos="851"/>
                <w:tab w:val="left" w:pos="1248"/>
              </w:tabs>
              <w:spacing w:after="0"/>
              <w:ind w:left="0" w:firstLine="0"/>
              <w:jc w:val="left"/>
              <w:rPr>
                <w:rFonts w:ascii="Times New Roman" w:hAnsi="Times New Roman" w:cs="Times New Roman"/>
                <w:sz w:val="18"/>
                <w:szCs w:val="18"/>
                <w:lang w:val="sk-SK"/>
              </w:rPr>
            </w:pPr>
            <w:r>
              <w:rPr>
                <w:rFonts w:ascii="Times New Roman" w:hAnsi="Times New Roman" w:cs="Times New Roman"/>
                <w:sz w:val="18"/>
                <w:szCs w:val="18"/>
                <w:lang w:val="sk-SK"/>
              </w:rPr>
              <w:t>kapitálových požiadaviek za každý regulovaný a neregulovaný subjekt finančného sektora v skupine; kapitálové požiadavky sa počítajú podľa príslušných sektorových predpisov a</w:t>
            </w:r>
          </w:p>
          <w:p>
            <w:pPr>
              <w:tabs>
                <w:tab w:val="left" w:pos="426"/>
                <w:tab w:val="left" w:pos="851"/>
                <w:tab w:val="left" w:pos="1248"/>
              </w:tabs>
              <w:spacing w:after="0"/>
              <w:rPr>
                <w:rFonts w:ascii="Times New Roman" w:hAnsi="Times New Roman" w:cs="Times New Roman"/>
                <w:sz w:val="18"/>
                <w:szCs w:val="18"/>
                <w:lang w:val="sk-SK"/>
              </w:rPr>
            </w:pPr>
          </w:p>
          <w:p>
            <w:pPr>
              <w:numPr>
                <w:ilvl w:val="0"/>
                <w:numId w:val="43"/>
              </w:numPr>
              <w:tabs>
                <w:tab w:val="left" w:pos="426"/>
                <w:tab w:val="left" w:pos="823"/>
                <w:tab w:val="left" w:pos="851"/>
                <w:tab w:val="left" w:pos="1248"/>
              </w:tabs>
              <w:spacing w:after="0"/>
              <w:ind w:left="0" w:firstLine="0"/>
              <w:jc w:val="left"/>
              <w:rPr>
                <w:rFonts w:ascii="Times New Roman" w:hAnsi="Times New Roman" w:cs="Times New Roman"/>
                <w:sz w:val="18"/>
                <w:szCs w:val="18"/>
                <w:lang w:val="sk-SK"/>
              </w:rPr>
            </w:pPr>
            <w:r>
              <w:rPr>
                <w:rFonts w:ascii="Times New Roman" w:hAnsi="Times New Roman" w:cs="Times New Roman"/>
                <w:sz w:val="18"/>
                <w:szCs w:val="18"/>
                <w:lang w:val="sk-SK"/>
              </w:rPr>
              <w:t>účtovnej hodnoty majetkových      účastí v iných subjektoch skupiny.</w:t>
            </w:r>
          </w:p>
          <w:p>
            <w:pPr>
              <w:tabs>
                <w:tab w:val="left" w:pos="426"/>
                <w:tab w:val="left" w:pos="851"/>
                <w:tab w:val="left" w:pos="1248"/>
              </w:tabs>
              <w:spacing w:after="0"/>
              <w:rPr>
                <w:rFonts w:ascii="Times New Roman" w:hAnsi="Times New Roman" w:cs="Times New Roman"/>
                <w:sz w:val="18"/>
                <w:szCs w:val="18"/>
                <w:lang w:val="sk-SK"/>
              </w:rPr>
            </w:pPr>
          </w:p>
          <w:p>
            <w:pPr>
              <w:tabs>
                <w:tab w:val="left" w:pos="426"/>
                <w:tab w:val="left" w:pos="851"/>
              </w:tabs>
              <w:spacing w:after="0"/>
              <w:rPr>
                <w:rFonts w:ascii="Times New Roman" w:hAnsi="Times New Roman" w:cs="Times New Roman"/>
                <w:sz w:val="18"/>
                <w:szCs w:val="18"/>
                <w:lang w:val="sk-SK"/>
              </w:rPr>
            </w:pPr>
            <w:r>
              <w:rPr>
                <w:rFonts w:ascii="Times New Roman" w:hAnsi="Times New Roman" w:cs="Times New Roman"/>
                <w:sz w:val="18"/>
                <w:szCs w:val="18"/>
                <w:lang w:val="sk-SK"/>
              </w:rPr>
              <w:t>V prípade neregulovaných subjektov finančného sektora sa počíta pomyselná kapitálová požiadavka. Vlastné zdroje a kapitálové požiadavky sa berú do úvahy v ich proporcionálnom podiele, ktorý sa ustanovuje v článku 6 ods. (4) a v súlade s časťou 1 tejto prílohy.</w:t>
            </w:r>
          </w:p>
          <w:p>
            <w:pPr>
              <w:tabs>
                <w:tab w:val="left" w:pos="426"/>
                <w:tab w:val="left" w:pos="851"/>
              </w:tabs>
              <w:spacing w:after="0"/>
              <w:rPr>
                <w:rFonts w:ascii="Times New Roman" w:hAnsi="Times New Roman" w:cs="Times New Roman"/>
                <w:sz w:val="18"/>
                <w:szCs w:val="18"/>
                <w:lang w:val="sk-SK"/>
              </w:rPr>
            </w:pPr>
            <w:r>
              <w:rPr>
                <w:rFonts w:ascii="Times New Roman" w:hAnsi="Times New Roman" w:cs="Times New Roman"/>
                <w:sz w:val="18"/>
                <w:szCs w:val="18"/>
                <w:lang w:val="sk-SK"/>
              </w:rPr>
              <w:t>Rozdiel nesmie byť záporný.</w:t>
            </w:r>
          </w:p>
          <w:p>
            <w:pPr>
              <w:tabs>
                <w:tab w:val="left" w:pos="426"/>
                <w:tab w:val="left" w:pos="851"/>
              </w:tabs>
              <w:spacing w:after="0"/>
              <w:rPr>
                <w:rFonts w:ascii="Times New Roman" w:hAnsi="Times New Roman" w:cs="Times New Roman"/>
                <w:sz w:val="18"/>
                <w:szCs w:val="18"/>
                <w:lang w:val="sk-SK"/>
              </w:rPr>
            </w:pPr>
          </w:p>
          <w:p>
            <w:pPr>
              <w:tabs>
                <w:tab w:val="left" w:pos="426"/>
                <w:tab w:val="left" w:pos="851"/>
              </w:tabs>
              <w:spacing w:after="0"/>
              <w:rPr>
                <w:rFonts w:ascii="Times New Roman" w:hAnsi="Times New Roman" w:cs="Times New Roman"/>
                <w:sz w:val="18"/>
                <w:szCs w:val="18"/>
                <w:lang w:val="sk-SK"/>
              </w:rPr>
            </w:pPr>
          </w:p>
          <w:p>
            <w:pPr>
              <w:tabs>
                <w:tab w:val="left" w:pos="426"/>
                <w:tab w:val="left" w:pos="851"/>
              </w:tabs>
              <w:spacing w:after="0"/>
              <w:rPr>
                <w:rFonts w:ascii="Times New Roman" w:hAnsi="Times New Roman" w:cs="Times New Roman"/>
                <w:sz w:val="18"/>
                <w:szCs w:val="18"/>
                <w:lang w:val="sk-SK"/>
              </w:rPr>
            </w:pPr>
            <w:r>
              <w:rPr>
                <w:rFonts w:ascii="Times New Roman" w:hAnsi="Times New Roman" w:cs="Times New Roman"/>
                <w:sz w:val="18"/>
                <w:szCs w:val="18"/>
                <w:lang w:val="sk-SK"/>
              </w:rPr>
              <w:t>Metóda 3: metóda „účtovnej hodnoty/odpočítavania požiadaviek“</w:t>
            </w:r>
          </w:p>
          <w:p>
            <w:pPr>
              <w:tabs>
                <w:tab w:val="left" w:pos="426"/>
                <w:tab w:val="left" w:pos="851"/>
              </w:tabs>
              <w:spacing w:after="0"/>
              <w:rPr>
                <w:rFonts w:ascii="Times New Roman" w:hAnsi="Times New Roman" w:cs="Times New Roman"/>
                <w:sz w:val="18"/>
                <w:szCs w:val="18"/>
                <w:lang w:val="sk-SK"/>
              </w:rPr>
            </w:pPr>
          </w:p>
          <w:p>
            <w:pPr>
              <w:tabs>
                <w:tab w:val="left" w:pos="426"/>
                <w:tab w:val="left" w:pos="851"/>
              </w:tabs>
              <w:spacing w:after="0"/>
              <w:rPr>
                <w:rFonts w:ascii="Times New Roman" w:hAnsi="Times New Roman" w:cs="Times New Roman"/>
                <w:sz w:val="18"/>
                <w:szCs w:val="18"/>
                <w:lang w:val="sk-SK"/>
              </w:rPr>
            </w:pPr>
          </w:p>
          <w:p>
            <w:pPr>
              <w:tabs>
                <w:tab w:val="left" w:pos="426"/>
                <w:tab w:val="left" w:pos="851"/>
              </w:tabs>
              <w:spacing w:after="0"/>
              <w:rPr>
                <w:rFonts w:ascii="Times New Roman" w:hAnsi="Times New Roman" w:cs="Times New Roman"/>
                <w:sz w:val="18"/>
                <w:szCs w:val="18"/>
                <w:lang w:val="sk-SK"/>
              </w:rPr>
            </w:pPr>
            <w:r>
              <w:rPr>
                <w:rFonts w:ascii="Times New Roman" w:hAnsi="Times New Roman" w:cs="Times New Roman"/>
                <w:sz w:val="18"/>
                <w:szCs w:val="18"/>
                <w:lang w:val="sk-SK"/>
              </w:rPr>
              <w:t>Výpočet doplňujúcej kapitálovej primeranosti regulovaných subjektov vo finančnom konglomeráte sa robí na základe účtov každého zo subjektov v skupine.</w:t>
            </w:r>
          </w:p>
          <w:p>
            <w:pPr>
              <w:tabs>
                <w:tab w:val="left" w:pos="426"/>
                <w:tab w:val="left" w:pos="851"/>
              </w:tabs>
              <w:spacing w:after="0"/>
              <w:rPr>
                <w:rFonts w:ascii="Times New Roman" w:hAnsi="Times New Roman" w:cs="Times New Roman"/>
                <w:sz w:val="18"/>
                <w:szCs w:val="18"/>
                <w:lang w:val="sk-SK"/>
              </w:rPr>
            </w:pPr>
          </w:p>
          <w:p>
            <w:pPr>
              <w:tabs>
                <w:tab w:val="left" w:pos="426"/>
                <w:tab w:val="left" w:pos="851"/>
              </w:tabs>
              <w:spacing w:after="0"/>
              <w:rPr>
                <w:rFonts w:ascii="Times New Roman" w:hAnsi="Times New Roman" w:cs="Times New Roman"/>
                <w:sz w:val="18"/>
                <w:szCs w:val="18"/>
                <w:lang w:val="sk-SK"/>
              </w:rPr>
            </w:pPr>
            <w:r>
              <w:rPr>
                <w:rFonts w:ascii="Times New Roman" w:hAnsi="Times New Roman" w:cs="Times New Roman"/>
                <w:sz w:val="18"/>
                <w:szCs w:val="18"/>
                <w:lang w:val="sk-SK"/>
              </w:rPr>
              <w:t>Doplňujúca kapitálová primeranosť sa vypočíta ako rozdiel medzi:</w:t>
            </w:r>
          </w:p>
          <w:p>
            <w:pPr>
              <w:tabs>
                <w:tab w:val="left" w:pos="426"/>
                <w:tab w:val="left" w:pos="851"/>
              </w:tabs>
              <w:spacing w:after="0"/>
              <w:rPr>
                <w:rFonts w:ascii="Times New Roman" w:hAnsi="Times New Roman" w:cs="Times New Roman"/>
                <w:sz w:val="18"/>
                <w:szCs w:val="18"/>
                <w:lang w:val="sk-SK"/>
              </w:rPr>
            </w:pPr>
          </w:p>
          <w:p>
            <w:pPr>
              <w:tabs>
                <w:tab w:val="left" w:pos="426"/>
                <w:tab w:val="left" w:pos="851"/>
              </w:tabs>
              <w:spacing w:after="0"/>
              <w:rPr>
                <w:rFonts w:ascii="Times New Roman" w:hAnsi="Times New Roman" w:cs="Times New Roman"/>
                <w:sz w:val="18"/>
                <w:szCs w:val="18"/>
                <w:lang w:val="sk-SK"/>
              </w:rPr>
            </w:pPr>
            <w:r>
              <w:rPr>
                <w:rFonts w:ascii="Times New Roman" w:hAnsi="Times New Roman" w:cs="Times New Roman"/>
                <w:sz w:val="18"/>
                <w:szCs w:val="18"/>
                <w:lang w:val="sk-SK"/>
              </w:rPr>
              <w:t>(i)</w:t>
              <w:tab/>
              <w:t>vlastnými zdrojmi materskej spoločnosti alebo subjektu na vrchole finančného konglomerátu; oprávnené prvky sú tie, ktoré spĺňajú požiadavky príslušných sektorových predpisov</w:t>
            </w:r>
          </w:p>
          <w:p>
            <w:pPr>
              <w:tabs>
                <w:tab w:val="left" w:pos="426"/>
                <w:tab w:val="left" w:pos="851"/>
              </w:tabs>
              <w:spacing w:after="0"/>
              <w:rPr>
                <w:rFonts w:ascii="Times New Roman" w:hAnsi="Times New Roman" w:cs="Times New Roman"/>
                <w:sz w:val="18"/>
                <w:szCs w:val="18"/>
                <w:lang w:val="sk-SK"/>
              </w:rPr>
            </w:pPr>
            <w:r>
              <w:rPr>
                <w:rFonts w:ascii="Times New Roman" w:hAnsi="Times New Roman" w:cs="Times New Roman"/>
                <w:sz w:val="18"/>
                <w:szCs w:val="18"/>
                <w:lang w:val="sk-SK"/>
              </w:rPr>
              <w:t>a</w:t>
            </w:r>
          </w:p>
          <w:p>
            <w:pPr>
              <w:tabs>
                <w:tab w:val="left" w:pos="426"/>
                <w:tab w:val="left" w:pos="851"/>
              </w:tabs>
              <w:spacing w:after="0"/>
              <w:rPr>
                <w:rFonts w:ascii="Times New Roman" w:hAnsi="Times New Roman" w:cs="Times New Roman"/>
                <w:sz w:val="18"/>
                <w:szCs w:val="18"/>
                <w:lang w:val="sk-SK"/>
              </w:rPr>
            </w:pPr>
            <w:r>
              <w:rPr>
                <w:rFonts w:ascii="Times New Roman" w:hAnsi="Times New Roman" w:cs="Times New Roman"/>
                <w:sz w:val="18"/>
                <w:szCs w:val="18"/>
                <w:lang w:val="sk-SK"/>
              </w:rPr>
              <w:t>(ii)</w:t>
              <w:tab/>
              <w:t>súčtom</w:t>
            </w:r>
          </w:p>
          <w:p>
            <w:pPr>
              <w:numPr>
                <w:ilvl w:val="0"/>
                <w:numId w:val="43"/>
              </w:numPr>
              <w:tabs>
                <w:tab w:val="left" w:pos="426"/>
                <w:tab w:val="left" w:pos="823"/>
                <w:tab w:val="left" w:pos="851"/>
                <w:tab w:val="left" w:pos="1248"/>
              </w:tabs>
              <w:spacing w:after="0"/>
              <w:ind w:left="0" w:firstLine="0"/>
              <w:jc w:val="left"/>
              <w:rPr>
                <w:rFonts w:ascii="Times New Roman" w:hAnsi="Times New Roman" w:cs="Times New Roman"/>
                <w:sz w:val="18"/>
                <w:szCs w:val="18"/>
                <w:lang w:val="sk-SK"/>
              </w:rPr>
            </w:pPr>
            <w:r>
              <w:rPr>
                <w:rFonts w:ascii="Times New Roman" w:hAnsi="Times New Roman" w:cs="Times New Roman"/>
                <w:sz w:val="18"/>
                <w:szCs w:val="18"/>
                <w:lang w:val="sk-SK"/>
              </w:rPr>
              <w:t>požadovanej kapitálovej primeranosti materskej spoločnosti alebo vrcholového subjektu</w:t>
            </w:r>
            <w:r>
              <w:rPr>
                <w:rFonts w:ascii="Times New Roman" w:hAnsi="Times New Roman" w:cs="Times New Roman"/>
                <w:sz w:val="18"/>
                <w:szCs w:val="18"/>
                <w:lang w:val="sk-SK"/>
              </w:rPr>
              <w:t xml:space="preserve"> ustanoveného v bode (i) a</w:t>
            </w:r>
          </w:p>
          <w:p>
            <w:pPr>
              <w:numPr>
                <w:ilvl w:val="0"/>
                <w:numId w:val="43"/>
              </w:numPr>
              <w:tabs>
                <w:tab w:val="left" w:pos="426"/>
                <w:tab w:val="left" w:pos="823"/>
                <w:tab w:val="left" w:pos="851"/>
                <w:tab w:val="left" w:pos="1248"/>
              </w:tabs>
              <w:spacing w:after="0"/>
              <w:ind w:left="0" w:firstLine="0"/>
              <w:jc w:val="left"/>
              <w:rPr>
                <w:rFonts w:ascii="Times New Roman" w:hAnsi="Times New Roman" w:cs="Times New Roman"/>
                <w:sz w:val="18"/>
                <w:szCs w:val="18"/>
                <w:lang w:val="sk-SK"/>
              </w:rPr>
            </w:pPr>
            <w:r>
              <w:rPr>
                <w:rFonts w:ascii="Times New Roman" w:hAnsi="Times New Roman" w:cs="Times New Roman"/>
                <w:sz w:val="18"/>
                <w:szCs w:val="18"/>
                <w:lang w:val="sk-SK"/>
              </w:rPr>
              <w:t>vyššej hodnoty z účtovnej hodnoty majetkovej účasti vyššie uvedených spoločností v iných subjektoch v skupine a z kapitálových požiadaviek týchto subjektov; kapitálové požiadavky vrcholového subjektu sa berú do úvahy v ich proporcionálnom podiele, ktorý sa ustanovuje v článku 6 ods. (4) a v súlade s časťou 1 tejto prílohy.</w:t>
            </w:r>
          </w:p>
          <w:p>
            <w:pPr>
              <w:tabs>
                <w:tab w:val="left" w:pos="426"/>
                <w:tab w:val="left" w:pos="851"/>
                <w:tab w:val="left" w:pos="1248"/>
              </w:tabs>
              <w:spacing w:after="0"/>
              <w:rPr>
                <w:rFonts w:ascii="Times New Roman" w:hAnsi="Times New Roman" w:cs="Times New Roman"/>
                <w:sz w:val="18"/>
                <w:szCs w:val="18"/>
                <w:lang w:val="sk-SK"/>
              </w:rPr>
            </w:pPr>
          </w:p>
          <w:p>
            <w:pPr>
              <w:tabs>
                <w:tab w:val="left" w:pos="426"/>
                <w:tab w:val="left" w:pos="851"/>
              </w:tabs>
              <w:spacing w:after="0"/>
              <w:rPr>
                <w:rFonts w:ascii="Times New Roman" w:hAnsi="Times New Roman" w:cs="Times New Roman"/>
                <w:sz w:val="18"/>
                <w:szCs w:val="18"/>
                <w:lang w:val="sk-SK"/>
              </w:rPr>
            </w:pPr>
            <w:r>
              <w:rPr>
                <w:rFonts w:ascii="Times New Roman" w:hAnsi="Times New Roman" w:cs="Times New Roman"/>
                <w:sz w:val="18"/>
                <w:szCs w:val="18"/>
                <w:lang w:val="sk-SK"/>
              </w:rPr>
              <w:t>V prípade neregulovaných subjektov finančného sektora sa počíta pomyselná kapitálová požiadavka. Pri oceňovaní prvkov oprávnených na výpočet doplňujúcej kapitálovej primeranosti sa majetkové účasti môžu oceňovať na základe majetkovej metódy v súlade s možnosťou ustanovenou v článku 59 ods. (2) písm. b smernice 78/660/EHS.</w:t>
            </w:r>
          </w:p>
          <w:p>
            <w:pPr>
              <w:tabs>
                <w:tab w:val="left" w:pos="426"/>
                <w:tab w:val="left" w:pos="851"/>
              </w:tabs>
              <w:spacing w:after="0"/>
              <w:rPr>
                <w:rFonts w:ascii="Times New Roman" w:hAnsi="Times New Roman" w:cs="Times New Roman"/>
                <w:sz w:val="18"/>
                <w:szCs w:val="18"/>
                <w:lang w:val="sk-SK"/>
              </w:rPr>
            </w:pPr>
            <w:r>
              <w:rPr>
                <w:rFonts w:ascii="Times New Roman" w:hAnsi="Times New Roman" w:cs="Times New Roman"/>
                <w:sz w:val="18"/>
                <w:szCs w:val="18"/>
                <w:lang w:val="sk-SK"/>
              </w:rPr>
              <w:t>Rozdiel nesmie byť záporný.</w:t>
            </w:r>
          </w:p>
          <w:p>
            <w:pPr>
              <w:tabs>
                <w:tab w:val="left" w:pos="426"/>
                <w:tab w:val="left" w:pos="851"/>
              </w:tabs>
              <w:spacing w:after="0"/>
              <w:rPr>
                <w:rFonts w:ascii="Times New Roman" w:hAnsi="Times New Roman" w:cs="Times New Roman"/>
                <w:sz w:val="18"/>
                <w:szCs w:val="18"/>
                <w:lang w:val="sk-SK"/>
              </w:rPr>
            </w:pPr>
          </w:p>
          <w:p>
            <w:pPr>
              <w:tabs>
                <w:tab w:val="left" w:pos="426"/>
                <w:tab w:val="left" w:pos="851"/>
              </w:tabs>
              <w:spacing w:after="0"/>
              <w:rPr>
                <w:rFonts w:ascii="Times New Roman" w:hAnsi="Times New Roman" w:cs="Times New Roman"/>
                <w:sz w:val="18"/>
                <w:szCs w:val="18"/>
                <w:lang w:val="sk-SK"/>
              </w:rPr>
            </w:pPr>
          </w:p>
          <w:p>
            <w:pPr>
              <w:tabs>
                <w:tab w:val="left" w:pos="426"/>
                <w:tab w:val="left" w:pos="851"/>
              </w:tabs>
              <w:spacing w:after="0"/>
              <w:rPr>
                <w:rFonts w:ascii="Times New Roman" w:hAnsi="Times New Roman" w:cs="Times New Roman"/>
                <w:sz w:val="18"/>
                <w:szCs w:val="18"/>
                <w:lang w:val="sk-SK"/>
              </w:rPr>
            </w:pPr>
            <w:r>
              <w:rPr>
                <w:rFonts w:ascii="Times New Roman" w:hAnsi="Times New Roman" w:cs="Times New Roman"/>
                <w:sz w:val="18"/>
                <w:szCs w:val="18"/>
                <w:lang w:val="sk-SK"/>
              </w:rPr>
              <w:t>Metóda 4: kombinácia metód 1, 2 a 3.</w:t>
            </w:r>
          </w:p>
          <w:p>
            <w:pPr>
              <w:tabs>
                <w:tab w:val="left" w:pos="426"/>
                <w:tab w:val="left" w:pos="851"/>
              </w:tabs>
              <w:spacing w:after="0"/>
              <w:rPr>
                <w:rFonts w:ascii="Times New Roman" w:hAnsi="Times New Roman" w:cs="Times New Roman"/>
                <w:sz w:val="18"/>
                <w:szCs w:val="18"/>
                <w:lang w:val="sk-SK"/>
              </w:rPr>
            </w:pPr>
          </w:p>
          <w:p>
            <w:pPr>
              <w:tabs>
                <w:tab w:val="left" w:pos="426"/>
                <w:tab w:val="left" w:pos="851"/>
              </w:tabs>
              <w:spacing w:after="0"/>
              <w:rPr>
                <w:rFonts w:ascii="Times New Roman" w:hAnsi="Times New Roman" w:cs="Times New Roman"/>
                <w:sz w:val="18"/>
                <w:szCs w:val="18"/>
                <w:lang w:val="sk-SK"/>
              </w:rPr>
            </w:pPr>
            <w:r>
              <w:rPr>
                <w:rFonts w:ascii="Times New Roman" w:hAnsi="Times New Roman" w:cs="Times New Roman"/>
                <w:sz w:val="18"/>
                <w:szCs w:val="18"/>
                <w:lang w:val="sk-SK"/>
              </w:rPr>
              <w:t>Príslušné orgány môžu povoliť kombináciu metód 1, 2 a 3 alebo kombináciu dvoch z týchto metód.</w:t>
            </w:r>
          </w:p>
          <w:p>
            <w:pPr>
              <w:spacing w:after="0"/>
              <w:rPr>
                <w:rFonts w:ascii="Times New Roman" w:hAnsi="Times New Roman" w:cs="Times New Roman"/>
                <w:sz w:val="18"/>
                <w:szCs w:val="18"/>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52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109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6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r>
        <w:tblPrEx>
          <w:tblW w:w="15737"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 xml:space="preserve">Príloha </w:t>
            </w:r>
          </w:p>
          <w:p>
            <w:pPr>
              <w:pStyle w:val="TABUKA-textsmernice"/>
              <w:rPr>
                <w:rFonts w:ascii="Times New Roman" w:hAnsi="Times New Roman" w:cs="Times New Roman"/>
                <w:sz w:val="18"/>
                <w:szCs w:val="18"/>
              </w:rPr>
            </w:pPr>
            <w:r>
              <w:rPr>
                <w:rFonts w:ascii="Times New Roman" w:hAnsi="Times New Roman" w:cs="Times New Roman"/>
                <w:sz w:val="18"/>
                <w:szCs w:val="18"/>
              </w:rPr>
              <w:t>č. II</w:t>
            </w:r>
          </w:p>
        </w:tc>
        <w:tc>
          <w:tcPr>
            <w:tcW w:w="51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tabs>
                <w:tab w:val="left" w:pos="922"/>
              </w:tabs>
              <w:spacing w:after="0"/>
              <w:rPr>
                <w:rFonts w:ascii="Times New Roman" w:hAnsi="Times New Roman" w:cs="Times New Roman"/>
                <w:b/>
                <w:bCs/>
                <w:sz w:val="18"/>
                <w:szCs w:val="18"/>
                <w:lang w:val="sk-SK"/>
              </w:rPr>
            </w:pPr>
            <w:r>
              <w:rPr>
                <w:rFonts w:ascii="Times New Roman" w:hAnsi="Times New Roman" w:cs="Times New Roman"/>
                <w:b/>
                <w:bCs/>
                <w:sz w:val="18"/>
                <w:szCs w:val="18"/>
                <w:lang w:val="sk-SK"/>
              </w:rPr>
              <w:t>TECHNICKÉ UPLATŇOVANIE USTANOVENÍ O VNÚTROSKUPINOVÝCH TRANSAKCIÁCH A KONCENTRÁCII RIZÍK</w:t>
            </w:r>
          </w:p>
          <w:p>
            <w:pPr>
              <w:spacing w:after="0"/>
              <w:ind w:left="355"/>
              <w:rPr>
                <w:rFonts w:ascii="Times New Roman" w:hAnsi="Times New Roman" w:cs="Times New Roman"/>
                <w:sz w:val="18"/>
                <w:szCs w:val="18"/>
                <w:lang w:val="sk-SK"/>
              </w:rPr>
            </w:pPr>
            <w:r>
              <w:rPr>
                <w:rFonts w:ascii="Times New Roman" w:hAnsi="Times New Roman" w:cs="Times New Roman"/>
                <w:sz w:val="18"/>
                <w:szCs w:val="18"/>
                <w:lang w:val="sk-SK"/>
              </w:rPr>
              <w:t>Koordinátor po konzultácii s ostatnými príslušnými kompetentnými orgánmi identifikuje druh transakcií a rizík, ktoré regulované subjekty v konkrétnom finančnom konglomeráte musia hlásiť v súlade s ustanoveniami článku 7 ods. (2) a článku 8 ods. (2) o oznamovaní vnútroskupinových transakcií a koncentrácie rizík. Koordinátor a príslušné kompetentné orgány pri určovaní alebo podávaní svojho stanoviska o type transakcií a rizík berú do úvahy špecifickú štruktúru skupiny a štruktúru riadenia rizík finančného konglomerátu. Koordinátor na identifikáciu významných vnútroskupinových transakcií a významnej koncentrácie rizík, ktoré treba oznamovať podľa ustanovení článkov 7 a 8, po konzultácii s ostatnými príslušnými kompetentnými orgánmi a s konglomerátom samotným definuje príslušné limity na základe vlastných zdrojoch, resp. poistných rezerv určených regulátorom.</w:t>
            </w:r>
          </w:p>
          <w:p>
            <w:pPr>
              <w:spacing w:after="0"/>
              <w:ind w:left="355"/>
              <w:rPr>
                <w:rFonts w:ascii="Times New Roman" w:hAnsi="Times New Roman" w:cs="Times New Roman"/>
                <w:sz w:val="18"/>
                <w:szCs w:val="18"/>
                <w:lang w:val="sk-SK"/>
              </w:rPr>
            </w:pPr>
          </w:p>
          <w:p>
            <w:pPr>
              <w:spacing w:after="0"/>
              <w:ind w:left="355"/>
              <w:rPr>
                <w:rFonts w:ascii="Times New Roman" w:hAnsi="Times New Roman" w:cs="Times New Roman"/>
                <w:sz w:val="18"/>
                <w:szCs w:val="18"/>
                <w:lang w:val="sk-SK"/>
              </w:rPr>
            </w:pPr>
            <w:r>
              <w:rPr>
                <w:rFonts w:ascii="Times New Roman" w:hAnsi="Times New Roman" w:cs="Times New Roman"/>
                <w:sz w:val="18"/>
                <w:szCs w:val="18"/>
                <w:lang w:val="sk-SK"/>
              </w:rPr>
              <w:t>Koordinátor pri skúmaní vnútroskupinových transakcií a koncentrácie rizík predovšetkým monitoruje možné riziko nákazy vo finančnom konglomeráte, riziko konfliktu záujmov, riziko obchádzania sektorových predpisov a úroveň alebo</w:t>
            </w:r>
            <w:r>
              <w:rPr>
                <w:rFonts w:ascii="Times New Roman" w:hAnsi="Times New Roman" w:cs="Times New Roman"/>
                <w:sz w:val="18"/>
                <w:szCs w:val="18"/>
                <w:lang w:val="sk-SK"/>
              </w:rPr>
              <w:t xml:space="preserve"> rozsah rizík.</w:t>
            </w:r>
          </w:p>
          <w:p>
            <w:pPr>
              <w:spacing w:after="0"/>
              <w:ind w:left="355"/>
              <w:rPr>
                <w:rFonts w:ascii="Times New Roman" w:hAnsi="Times New Roman" w:cs="Times New Roman"/>
                <w:sz w:val="18"/>
                <w:szCs w:val="18"/>
                <w:lang w:val="sk-SK"/>
              </w:rPr>
            </w:pPr>
          </w:p>
          <w:p>
            <w:pPr>
              <w:tabs>
                <w:tab w:val="left" w:pos="922"/>
              </w:tabs>
              <w:spacing w:after="0"/>
              <w:ind w:left="355"/>
              <w:rPr>
                <w:rFonts w:ascii="Times New Roman" w:hAnsi="Times New Roman" w:cs="Times New Roman"/>
                <w:sz w:val="18"/>
                <w:szCs w:val="18"/>
                <w:lang w:val="sk-SK"/>
              </w:rPr>
            </w:pPr>
            <w:r>
              <w:rPr>
                <w:rFonts w:ascii="Times New Roman" w:hAnsi="Times New Roman" w:cs="Times New Roman"/>
                <w:sz w:val="18"/>
                <w:szCs w:val="18"/>
                <w:lang w:val="sk-SK"/>
              </w:rPr>
              <w:t>Členské štáty môžu povoliť, aby ich príslušné orgány uplatňovali na úrovni finančného konglomerátu ustanovenia sektorových predpisov o vnútroskupinových transakciách a koncentrácii rizík, najmä aby zabránili obchádzaniu sektorových predpiso</w:t>
            </w:r>
            <w:r>
              <w:rPr>
                <w:rFonts w:ascii="Times New Roman" w:hAnsi="Times New Roman" w:cs="Times New Roman"/>
                <w:sz w:val="18"/>
                <w:szCs w:val="18"/>
                <w:lang w:val="sk-SK"/>
              </w:rPr>
              <w:t>v.</w:t>
            </w:r>
          </w:p>
          <w:p>
            <w:pPr>
              <w:spacing w:after="0"/>
              <w:rPr>
                <w:rFonts w:ascii="Times New Roman" w:hAnsi="Times New Roman" w:cs="Times New Roman"/>
                <w:sz w:val="18"/>
                <w:szCs w:val="18"/>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N</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X/2004 Z.z.</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p>
          <w:p>
            <w:pPr>
              <w:pStyle w:val="TABUKA-textsmernice"/>
              <w:rPr>
                <w:rFonts w:ascii="Times New Roman" w:hAnsi="Times New Roman" w:cs="Times New Roman"/>
                <w:sz w:val="18"/>
                <w:szCs w:val="18"/>
              </w:rPr>
            </w:pPr>
            <w:r>
              <w:rPr>
                <w:rFonts w:ascii="Times New Roman" w:hAnsi="Times New Roman" w:cs="Times New Roman"/>
                <w:sz w:val="18"/>
                <w:szCs w:val="18"/>
              </w:rPr>
              <w:t>§ 48g</w:t>
            </w:r>
          </w:p>
          <w:p>
            <w:pPr>
              <w:pStyle w:val="TABUKA-textsmernice"/>
              <w:rPr>
                <w:rFonts w:ascii="Times New Roman" w:hAnsi="Times New Roman" w:cs="Times New Roman"/>
                <w:sz w:val="18"/>
                <w:szCs w:val="18"/>
              </w:rPr>
            </w:pPr>
            <w:r>
              <w:rPr>
                <w:rFonts w:ascii="Times New Roman" w:hAnsi="Times New Roman" w:cs="Times New Roman"/>
                <w:sz w:val="18"/>
                <w:szCs w:val="18"/>
              </w:rPr>
              <w:t>ods. 9</w:t>
            </w:r>
          </w:p>
        </w:tc>
        <w:tc>
          <w:tcPr>
            <w:tcW w:w="52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rPr>
                <w:rFonts w:ascii="Times New Roman" w:hAnsi="Times New Roman" w:cs="Times New Roman"/>
                <w:sz w:val="18"/>
                <w:szCs w:val="18"/>
              </w:rPr>
            </w:pPr>
          </w:p>
          <w:p>
            <w:pPr>
              <w:pStyle w:val="BodyText"/>
              <w:rPr>
                <w:rFonts w:ascii="Times New Roman" w:hAnsi="Times New Roman" w:cs="Times New Roman"/>
                <w:sz w:val="18"/>
                <w:szCs w:val="18"/>
              </w:rPr>
            </w:pPr>
          </w:p>
          <w:p>
            <w:pPr>
              <w:pStyle w:val="BodyText"/>
              <w:rPr>
                <w:rFonts w:ascii="Times New Roman" w:hAnsi="Times New Roman" w:cs="Times New Roman"/>
                <w:sz w:val="18"/>
                <w:szCs w:val="18"/>
              </w:rPr>
            </w:pPr>
          </w:p>
          <w:p>
            <w:pPr>
              <w:pStyle w:val="BodyText"/>
              <w:spacing w:line="240" w:lineRule="atLeast"/>
              <w:rPr>
                <w:rFonts w:ascii="Times New Roman" w:hAnsi="Times New Roman" w:cs="Times New Roman"/>
                <w:sz w:val="18"/>
              </w:rPr>
            </w:pPr>
            <w:r>
              <w:rPr>
                <w:rFonts w:ascii="Times New Roman" w:hAnsi="Times New Roman" w:cs="Times New Roman"/>
                <w:sz w:val="18"/>
                <w:szCs w:val="18"/>
              </w:rPr>
              <w:t xml:space="preserve">(9) </w:t>
            </w:r>
            <w:r>
              <w:rPr>
                <w:rFonts w:ascii="Times New Roman" w:hAnsi="Times New Roman" w:cs="Times New Roman"/>
                <w:sz w:val="18"/>
              </w:rPr>
              <w:t>Všeobecne záväzný právny predpis, ktorý vydá ministerstvo, ustanoví na účely výpočtu dostatočnej výšky vlastných zdrojov na úrovni finančného konglomerátu</w:t>
            </w:r>
          </w:p>
          <w:p>
            <w:pPr>
              <w:pStyle w:val="BodyText"/>
              <w:spacing w:line="240" w:lineRule="atLeast"/>
              <w:rPr>
                <w:rFonts w:ascii="Times New Roman" w:hAnsi="Times New Roman" w:cs="Times New Roman"/>
                <w:sz w:val="18"/>
              </w:rPr>
            </w:pPr>
            <w:r>
              <w:rPr>
                <w:rFonts w:ascii="Times New Roman" w:hAnsi="Times New Roman" w:cs="Times New Roman"/>
                <w:sz w:val="18"/>
              </w:rPr>
              <w:t>a) čo tvorí vlastné zdroje na úrovni finančného konglomerátu a spôsob ich výpočtu, vrátane vlastných zdrojov zmiešanej finančnej holdingovej spoločnosti,</w:t>
            </w:r>
          </w:p>
          <w:p>
            <w:pPr>
              <w:pStyle w:val="BodyText"/>
              <w:spacing w:line="240" w:lineRule="atLeast"/>
              <w:rPr>
                <w:rFonts w:ascii="Times New Roman" w:hAnsi="Times New Roman" w:cs="Times New Roman"/>
                <w:sz w:val="18"/>
              </w:rPr>
            </w:pPr>
            <w:r>
              <w:rPr>
                <w:rFonts w:ascii="Times New Roman" w:hAnsi="Times New Roman" w:cs="Times New Roman"/>
                <w:sz w:val="18"/>
              </w:rPr>
              <w:t>b) čo sa rozumie minimálnou výškou vlastných zdrojov osôb v skupine a spôsob ich výpočtu,</w:t>
            </w:r>
          </w:p>
          <w:p>
            <w:pPr>
              <w:pStyle w:val="BodyText"/>
              <w:rPr>
                <w:rFonts w:ascii="Times New Roman" w:hAnsi="Times New Roman" w:cs="Times New Roman"/>
                <w:sz w:val="18"/>
                <w:szCs w:val="18"/>
              </w:rPr>
            </w:pPr>
            <w:r>
              <w:rPr>
                <w:rFonts w:ascii="Times New Roman" w:hAnsi="Times New Roman" w:cs="Times New Roman"/>
                <w:sz w:val="18"/>
              </w:rPr>
              <w:t>c) metódy  výpočtu  dostatočnej výšky vlastných zdrojov na úrovni finančného konglomerátu.</w:t>
            </w:r>
          </w:p>
          <w:p>
            <w:pPr>
              <w:pStyle w:val="TABUKA-textsmernice"/>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r>
              <w:rPr>
                <w:rFonts w:ascii="Times New Roman" w:hAnsi="Times New Roman" w:cs="Times New Roman"/>
                <w:sz w:val="18"/>
                <w:szCs w:val="18"/>
              </w:rPr>
              <w:t>Č</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c>
          <w:tcPr>
            <w:tcW w:w="1097"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jc w:val="left"/>
              <w:rPr>
                <w:rFonts w:ascii="Times New Roman" w:hAnsi="Times New Roman" w:cs="Times New Roman"/>
                <w:sz w:val="18"/>
                <w:szCs w:val="18"/>
              </w:rPr>
            </w:pPr>
            <w:r>
              <w:rPr>
                <w:rFonts w:ascii="Times New Roman" w:hAnsi="Times New Roman" w:cs="Times New Roman"/>
                <w:sz w:val="18"/>
                <w:szCs w:val="18"/>
              </w:rPr>
              <w:t>Návrh vyhl. č. .../2004 o doplnkovom dozore vo finančných konglomerátoch</w:t>
            </w:r>
          </w:p>
        </w:tc>
        <w:tc>
          <w:tcPr>
            <w:tcW w:w="6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ABUKA-textsmernice"/>
              <w:rPr>
                <w:rFonts w:ascii="Times New Roman" w:hAnsi="Times New Roman" w:cs="Times New Roman"/>
                <w:sz w:val="18"/>
                <w:szCs w:val="18"/>
              </w:rPr>
            </w:pPr>
          </w:p>
        </w:tc>
      </w:tr>
    </w:tbl>
    <w:p>
      <w:pPr>
        <w:pStyle w:val="TABUKA-textsmernice"/>
        <w:rPr>
          <w:rFonts w:ascii="Times New Roman" w:hAnsi="Times New Roman" w:cs="Times New Roman"/>
          <w:sz w:val="18"/>
          <w:szCs w:val="18"/>
        </w:rPr>
      </w:pPr>
    </w:p>
    <w:sectPr>
      <w:footerReference w:type="even" r:id="rId4"/>
      <w:footerReference w:type="default" r:id="rId5"/>
      <w:pgSz w:w="16840" w:h="11907" w:orient="landscape" w:code="9"/>
      <w:pgMar w:top="851" w:right="851" w:bottom="851" w:left="851" w:header="397" w:footer="397"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Helv">
    <w:altName w:val="Arial"/>
    <w:panose1 w:val="00000000000000000000"/>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w:t>
    </w:r>
    <w:r>
      <w:rPr>
        <w:rStyle w:val="PageNumber"/>
        <w:rFonts w:ascii="Times New Roman" w:hAnsi="Times New Roman" w:cs="Times New Roman"/>
      </w:rPr>
      <w:fldChar w:fldCharType="end"/>
    </w:r>
  </w:p>
  <w:p>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3611"/>
    <w:multiLevelType w:val="singleLevel"/>
    <w:tmpl w:val="B2701478"/>
    <w:lvl w:ilvl="0">
      <w:start w:val="1"/>
      <w:numFmt w:val="lowerRoman"/>
      <w:lvlText w:val="(%1)"/>
      <w:lvlJc w:val="left"/>
      <w:pPr>
        <w:tabs>
          <w:tab w:val="num" w:pos="720"/>
        </w:tabs>
        <w:ind w:left="720" w:hanging="720"/>
      </w:pPr>
    </w:lvl>
  </w:abstractNum>
  <w:abstractNum w:abstractNumId="1">
    <w:nsid w:val="02E4019F"/>
    <w:multiLevelType w:val="hybridMultilevel"/>
    <w:tmpl w:val="B1C8F9E6"/>
    <w:lvl w:ilvl="0">
      <w:start w:val="2"/>
      <w:numFmt w:val="lowerLetter"/>
      <w:lvlText w:val="(%1)"/>
      <w:lvlJc w:val="left"/>
      <w:pPr>
        <w:tabs>
          <w:tab w:val="num" w:pos="710"/>
        </w:tabs>
        <w:ind w:left="710" w:hanging="360"/>
      </w:pPr>
    </w:lvl>
    <w:lvl w:ilvl="1">
      <w:start w:val="1"/>
      <w:numFmt w:val="lowerLetter"/>
      <w:lvlText w:val="%2."/>
      <w:lvlJc w:val="left"/>
      <w:pPr>
        <w:tabs>
          <w:tab w:val="num" w:pos="1430"/>
        </w:tabs>
        <w:ind w:left="1430" w:hanging="360"/>
      </w:pPr>
    </w:lvl>
    <w:lvl w:ilvl="2">
      <w:start w:val="1"/>
      <w:numFmt w:val="lowerRoman"/>
      <w:lvlText w:val="%3."/>
      <w:lvlJc w:val="right"/>
      <w:pPr>
        <w:tabs>
          <w:tab w:val="num" w:pos="2150"/>
        </w:tabs>
        <w:ind w:left="2150" w:hanging="180"/>
      </w:pPr>
    </w:lvl>
    <w:lvl w:ilvl="3">
      <w:start w:val="1"/>
      <w:numFmt w:val="decimal"/>
      <w:lvlText w:val="%4."/>
      <w:lvlJc w:val="left"/>
      <w:pPr>
        <w:tabs>
          <w:tab w:val="num" w:pos="2870"/>
        </w:tabs>
        <w:ind w:left="2870" w:hanging="360"/>
      </w:pPr>
    </w:lvl>
    <w:lvl w:ilvl="4">
      <w:start w:val="1"/>
      <w:numFmt w:val="lowerLetter"/>
      <w:lvlText w:val="%5."/>
      <w:lvlJc w:val="left"/>
      <w:pPr>
        <w:tabs>
          <w:tab w:val="num" w:pos="3590"/>
        </w:tabs>
        <w:ind w:left="3590" w:hanging="360"/>
      </w:pPr>
    </w:lvl>
    <w:lvl w:ilvl="5">
      <w:start w:val="1"/>
      <w:numFmt w:val="lowerRoman"/>
      <w:lvlText w:val="%6."/>
      <w:lvlJc w:val="right"/>
      <w:pPr>
        <w:tabs>
          <w:tab w:val="num" w:pos="4310"/>
        </w:tabs>
        <w:ind w:left="4310" w:hanging="180"/>
      </w:pPr>
    </w:lvl>
    <w:lvl w:ilvl="6">
      <w:start w:val="1"/>
      <w:numFmt w:val="decimal"/>
      <w:lvlText w:val="%7."/>
      <w:lvlJc w:val="left"/>
      <w:pPr>
        <w:tabs>
          <w:tab w:val="num" w:pos="5030"/>
        </w:tabs>
        <w:ind w:left="5030" w:hanging="360"/>
      </w:pPr>
    </w:lvl>
    <w:lvl w:ilvl="7">
      <w:start w:val="1"/>
      <w:numFmt w:val="lowerLetter"/>
      <w:lvlText w:val="%8."/>
      <w:lvlJc w:val="left"/>
      <w:pPr>
        <w:tabs>
          <w:tab w:val="num" w:pos="5750"/>
        </w:tabs>
        <w:ind w:left="5750" w:hanging="360"/>
      </w:pPr>
    </w:lvl>
    <w:lvl w:ilvl="8">
      <w:start w:val="1"/>
      <w:numFmt w:val="lowerRoman"/>
      <w:lvlText w:val="%9."/>
      <w:lvlJc w:val="right"/>
      <w:pPr>
        <w:tabs>
          <w:tab w:val="num" w:pos="6470"/>
        </w:tabs>
        <w:ind w:left="6470" w:hanging="180"/>
      </w:pPr>
    </w:lvl>
  </w:abstractNum>
  <w:abstractNum w:abstractNumId="2">
    <w:nsid w:val="06B91B7C"/>
    <w:multiLevelType w:val="hybridMultilevel"/>
    <w:tmpl w:val="49B0439A"/>
    <w:lvl w:ilvl="0">
      <w:start w:val="1"/>
      <w:numFmt w:val="decimal"/>
      <w:lvlText w:val="%1."/>
      <w:lvlJc w:val="left"/>
      <w:pPr>
        <w:tabs>
          <w:tab w:val="num" w:pos="560"/>
        </w:tabs>
        <w:ind w:left="560" w:hanging="630"/>
      </w:pPr>
    </w:lvl>
    <w:lvl w:ilvl="1">
      <w:start w:val="1"/>
      <w:numFmt w:val="lowerLetter"/>
      <w:lvlText w:val="%2."/>
      <w:lvlJc w:val="left"/>
      <w:pPr>
        <w:tabs>
          <w:tab w:val="num" w:pos="1010"/>
        </w:tabs>
        <w:ind w:left="1010" w:hanging="360"/>
      </w:pPr>
    </w:lvl>
    <w:lvl w:ilvl="2">
      <w:start w:val="1"/>
      <w:numFmt w:val="lowerRoman"/>
      <w:lvlText w:val="%3."/>
      <w:lvlJc w:val="right"/>
      <w:pPr>
        <w:tabs>
          <w:tab w:val="num" w:pos="1730"/>
        </w:tabs>
        <w:ind w:left="1730" w:hanging="180"/>
      </w:pPr>
    </w:lvl>
    <w:lvl w:ilvl="3">
      <w:start w:val="1"/>
      <w:numFmt w:val="decimal"/>
      <w:lvlText w:val="%4."/>
      <w:lvlJc w:val="left"/>
      <w:pPr>
        <w:tabs>
          <w:tab w:val="num" w:pos="2450"/>
        </w:tabs>
        <w:ind w:left="2450" w:hanging="360"/>
      </w:pPr>
    </w:lvl>
    <w:lvl w:ilvl="4">
      <w:start w:val="1"/>
      <w:numFmt w:val="lowerLetter"/>
      <w:lvlText w:val="%5."/>
      <w:lvlJc w:val="left"/>
      <w:pPr>
        <w:tabs>
          <w:tab w:val="num" w:pos="3170"/>
        </w:tabs>
        <w:ind w:left="3170" w:hanging="360"/>
      </w:pPr>
    </w:lvl>
    <w:lvl w:ilvl="5">
      <w:start w:val="1"/>
      <w:numFmt w:val="lowerRoman"/>
      <w:lvlText w:val="%6."/>
      <w:lvlJc w:val="right"/>
      <w:pPr>
        <w:tabs>
          <w:tab w:val="num" w:pos="3890"/>
        </w:tabs>
        <w:ind w:left="3890" w:hanging="180"/>
      </w:pPr>
    </w:lvl>
    <w:lvl w:ilvl="6">
      <w:start w:val="1"/>
      <w:numFmt w:val="decimal"/>
      <w:lvlText w:val="%7."/>
      <w:lvlJc w:val="left"/>
      <w:pPr>
        <w:tabs>
          <w:tab w:val="num" w:pos="4610"/>
        </w:tabs>
        <w:ind w:left="4610" w:hanging="360"/>
      </w:pPr>
    </w:lvl>
    <w:lvl w:ilvl="7">
      <w:start w:val="1"/>
      <w:numFmt w:val="lowerLetter"/>
      <w:lvlText w:val="%8."/>
      <w:lvlJc w:val="left"/>
      <w:pPr>
        <w:tabs>
          <w:tab w:val="num" w:pos="5330"/>
        </w:tabs>
        <w:ind w:left="5330" w:hanging="360"/>
      </w:pPr>
    </w:lvl>
    <w:lvl w:ilvl="8">
      <w:start w:val="1"/>
      <w:numFmt w:val="lowerRoman"/>
      <w:lvlText w:val="%9."/>
      <w:lvlJc w:val="right"/>
      <w:pPr>
        <w:tabs>
          <w:tab w:val="num" w:pos="6050"/>
        </w:tabs>
        <w:ind w:left="6050" w:hanging="180"/>
      </w:pPr>
    </w:lvl>
  </w:abstractNum>
  <w:abstractNum w:abstractNumId="3">
    <w:nsid w:val="09E7214B"/>
    <w:multiLevelType w:val="singleLevel"/>
    <w:tmpl w:val="48A0A206"/>
    <w:lvl w:ilvl="0">
      <w:start w:val="1"/>
      <w:numFmt w:val="decimal"/>
      <w:lvlText w:val="%1."/>
      <w:lvlJc w:val="left"/>
      <w:pPr>
        <w:tabs>
          <w:tab w:val="num" w:pos="360"/>
        </w:tabs>
        <w:ind w:left="360" w:hanging="360"/>
      </w:pPr>
    </w:lvl>
  </w:abstractNum>
  <w:abstractNum w:abstractNumId="4">
    <w:nsid w:val="0BBE2AF4"/>
    <w:multiLevelType w:val="hybridMultilevel"/>
    <w:tmpl w:val="0104748E"/>
    <w:lvl w:ilvl="0">
      <w:start w:val="1"/>
      <w:numFmt w:val="decimal"/>
      <w:lvlText w:val="%1."/>
      <w:lvlJc w:val="left"/>
      <w:pPr>
        <w:tabs>
          <w:tab w:val="num" w:pos="290"/>
        </w:tabs>
        <w:ind w:left="290" w:hanging="360"/>
      </w:pPr>
    </w:lvl>
    <w:lvl w:ilvl="1">
      <w:start w:val="1"/>
      <w:numFmt w:val="lowerLetter"/>
      <w:lvlText w:val="%2."/>
      <w:lvlJc w:val="left"/>
      <w:pPr>
        <w:tabs>
          <w:tab w:val="num" w:pos="1010"/>
        </w:tabs>
        <w:ind w:left="1010" w:hanging="360"/>
      </w:pPr>
    </w:lvl>
    <w:lvl w:ilvl="2">
      <w:start w:val="1"/>
      <w:numFmt w:val="lowerRoman"/>
      <w:lvlText w:val="%3."/>
      <w:lvlJc w:val="right"/>
      <w:pPr>
        <w:tabs>
          <w:tab w:val="num" w:pos="1730"/>
        </w:tabs>
        <w:ind w:left="1730" w:hanging="180"/>
      </w:pPr>
    </w:lvl>
    <w:lvl w:ilvl="3">
      <w:start w:val="1"/>
      <w:numFmt w:val="decimal"/>
      <w:lvlText w:val="%4."/>
      <w:lvlJc w:val="left"/>
      <w:pPr>
        <w:tabs>
          <w:tab w:val="num" w:pos="2450"/>
        </w:tabs>
        <w:ind w:left="2450" w:hanging="360"/>
      </w:pPr>
    </w:lvl>
    <w:lvl w:ilvl="4">
      <w:start w:val="1"/>
      <w:numFmt w:val="lowerLetter"/>
      <w:lvlText w:val="%5."/>
      <w:lvlJc w:val="left"/>
      <w:pPr>
        <w:tabs>
          <w:tab w:val="num" w:pos="3170"/>
        </w:tabs>
        <w:ind w:left="3170" w:hanging="360"/>
      </w:pPr>
    </w:lvl>
    <w:lvl w:ilvl="5">
      <w:start w:val="1"/>
      <w:numFmt w:val="lowerRoman"/>
      <w:lvlText w:val="%6."/>
      <w:lvlJc w:val="right"/>
      <w:pPr>
        <w:tabs>
          <w:tab w:val="num" w:pos="3890"/>
        </w:tabs>
        <w:ind w:left="3890" w:hanging="180"/>
      </w:pPr>
    </w:lvl>
    <w:lvl w:ilvl="6">
      <w:start w:val="1"/>
      <w:numFmt w:val="decimal"/>
      <w:lvlText w:val="%7."/>
      <w:lvlJc w:val="left"/>
      <w:pPr>
        <w:tabs>
          <w:tab w:val="num" w:pos="4610"/>
        </w:tabs>
        <w:ind w:left="4610" w:hanging="360"/>
      </w:pPr>
    </w:lvl>
    <w:lvl w:ilvl="7">
      <w:start w:val="1"/>
      <w:numFmt w:val="lowerLetter"/>
      <w:lvlText w:val="%8."/>
      <w:lvlJc w:val="left"/>
      <w:pPr>
        <w:tabs>
          <w:tab w:val="num" w:pos="5330"/>
        </w:tabs>
        <w:ind w:left="5330" w:hanging="360"/>
      </w:pPr>
    </w:lvl>
    <w:lvl w:ilvl="8">
      <w:start w:val="1"/>
      <w:numFmt w:val="lowerRoman"/>
      <w:lvlText w:val="%9."/>
      <w:lvlJc w:val="right"/>
      <w:pPr>
        <w:tabs>
          <w:tab w:val="num" w:pos="6050"/>
        </w:tabs>
        <w:ind w:left="6050" w:hanging="180"/>
      </w:pPr>
    </w:lvl>
  </w:abstractNum>
  <w:abstractNum w:abstractNumId="5">
    <w:nsid w:val="0C584AAB"/>
    <w:multiLevelType w:val="hybridMultilevel"/>
    <w:tmpl w:val="0114B282"/>
    <w:lvl w:ilvl="0">
      <w:start w:val="10"/>
      <w:numFmt w:val="decimal"/>
      <w:lvlText w:val="%1."/>
      <w:lvlJc w:val="left"/>
      <w:pPr>
        <w:tabs>
          <w:tab w:val="num" w:pos="290"/>
        </w:tabs>
        <w:ind w:left="290" w:hanging="360"/>
      </w:pPr>
    </w:lvl>
    <w:lvl w:ilvl="1">
      <w:start w:val="1"/>
      <w:numFmt w:val="lowerLetter"/>
      <w:lvlText w:val="%2."/>
      <w:lvlJc w:val="left"/>
      <w:pPr>
        <w:tabs>
          <w:tab w:val="num" w:pos="1010"/>
        </w:tabs>
        <w:ind w:left="1010" w:hanging="360"/>
      </w:pPr>
    </w:lvl>
    <w:lvl w:ilvl="2">
      <w:start w:val="1"/>
      <w:numFmt w:val="lowerRoman"/>
      <w:lvlText w:val="%3."/>
      <w:lvlJc w:val="right"/>
      <w:pPr>
        <w:tabs>
          <w:tab w:val="num" w:pos="1730"/>
        </w:tabs>
        <w:ind w:left="1730" w:hanging="180"/>
      </w:pPr>
    </w:lvl>
    <w:lvl w:ilvl="3">
      <w:start w:val="1"/>
      <w:numFmt w:val="decimal"/>
      <w:lvlText w:val="%4."/>
      <w:lvlJc w:val="left"/>
      <w:pPr>
        <w:tabs>
          <w:tab w:val="num" w:pos="2450"/>
        </w:tabs>
        <w:ind w:left="2450" w:hanging="360"/>
      </w:pPr>
    </w:lvl>
    <w:lvl w:ilvl="4">
      <w:start w:val="1"/>
      <w:numFmt w:val="lowerLetter"/>
      <w:lvlText w:val="%5."/>
      <w:lvlJc w:val="left"/>
      <w:pPr>
        <w:tabs>
          <w:tab w:val="num" w:pos="3170"/>
        </w:tabs>
        <w:ind w:left="3170" w:hanging="360"/>
      </w:pPr>
    </w:lvl>
    <w:lvl w:ilvl="5">
      <w:start w:val="1"/>
      <w:numFmt w:val="lowerRoman"/>
      <w:lvlText w:val="%6."/>
      <w:lvlJc w:val="right"/>
      <w:pPr>
        <w:tabs>
          <w:tab w:val="num" w:pos="3890"/>
        </w:tabs>
        <w:ind w:left="3890" w:hanging="180"/>
      </w:pPr>
    </w:lvl>
    <w:lvl w:ilvl="6">
      <w:start w:val="1"/>
      <w:numFmt w:val="decimal"/>
      <w:lvlText w:val="%7."/>
      <w:lvlJc w:val="left"/>
      <w:pPr>
        <w:tabs>
          <w:tab w:val="num" w:pos="4610"/>
        </w:tabs>
        <w:ind w:left="4610" w:hanging="360"/>
      </w:pPr>
    </w:lvl>
    <w:lvl w:ilvl="7">
      <w:start w:val="1"/>
      <w:numFmt w:val="lowerLetter"/>
      <w:lvlText w:val="%8."/>
      <w:lvlJc w:val="left"/>
      <w:pPr>
        <w:tabs>
          <w:tab w:val="num" w:pos="5330"/>
        </w:tabs>
        <w:ind w:left="5330" w:hanging="360"/>
      </w:pPr>
    </w:lvl>
    <w:lvl w:ilvl="8">
      <w:start w:val="1"/>
      <w:numFmt w:val="lowerRoman"/>
      <w:lvlText w:val="%9."/>
      <w:lvlJc w:val="right"/>
      <w:pPr>
        <w:tabs>
          <w:tab w:val="num" w:pos="6050"/>
        </w:tabs>
        <w:ind w:left="6050" w:hanging="180"/>
      </w:pPr>
    </w:lvl>
  </w:abstractNum>
  <w:abstractNum w:abstractNumId="6">
    <w:nsid w:val="11255E89"/>
    <w:multiLevelType w:val="singleLevel"/>
    <w:tmpl w:val="DD4C6EEE"/>
    <w:lvl w:ilvl="0">
      <w:start w:val="811"/>
      <w:numFmt w:val="bullet"/>
      <w:lvlText w:val="-"/>
      <w:lvlJc w:val="left"/>
      <w:pPr>
        <w:tabs>
          <w:tab w:val="num" w:pos="360"/>
        </w:tabs>
        <w:ind w:left="360" w:hanging="360"/>
      </w:pPr>
    </w:lvl>
  </w:abstractNum>
  <w:abstractNum w:abstractNumId="7">
    <w:nsid w:val="1263252C"/>
    <w:multiLevelType w:val="singleLevel"/>
    <w:tmpl w:val="6D62AB58"/>
    <w:lvl w:ilvl="0">
      <w:start w:val="1"/>
      <w:numFmt w:val="upperLetter"/>
      <w:lvlText w:val="%1."/>
      <w:lvlJc w:val="left"/>
      <w:pPr>
        <w:tabs>
          <w:tab w:val="num" w:pos="360"/>
        </w:tabs>
        <w:ind w:left="360" w:hanging="360"/>
      </w:pPr>
    </w:lvl>
  </w:abstractNum>
  <w:abstractNum w:abstractNumId="8">
    <w:nsid w:val="16712BF4"/>
    <w:multiLevelType w:val="hybridMultilevel"/>
    <w:tmpl w:val="578E625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BB22AC2"/>
    <w:multiLevelType w:val="hybridMultilevel"/>
    <w:tmpl w:val="87CE89F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C2A31E6"/>
    <w:multiLevelType w:val="singleLevel"/>
    <w:tmpl w:val="20362B9A"/>
    <w:lvl w:ilvl="0">
      <w:start w:val="1"/>
      <w:numFmt w:val="lowerLetter"/>
      <w:lvlText w:val="(%1)"/>
      <w:lvlJc w:val="left"/>
      <w:pPr>
        <w:tabs>
          <w:tab w:val="num" w:pos="405"/>
        </w:tabs>
        <w:ind w:left="405" w:hanging="405"/>
      </w:pPr>
    </w:lvl>
  </w:abstractNum>
  <w:abstractNum w:abstractNumId="11">
    <w:nsid w:val="1C6C11AE"/>
    <w:multiLevelType w:val="singleLevel"/>
    <w:tmpl w:val="C9F8D9D0"/>
    <w:lvl w:ilvl="0">
      <w:start w:val="1"/>
      <w:numFmt w:val="upperLetter"/>
      <w:lvlText w:val="%1."/>
      <w:lvlJc w:val="left"/>
      <w:pPr>
        <w:tabs>
          <w:tab w:val="num" w:pos="810"/>
        </w:tabs>
        <w:ind w:left="810" w:hanging="450"/>
      </w:pPr>
    </w:lvl>
  </w:abstractNum>
  <w:abstractNum w:abstractNumId="12">
    <w:nsid w:val="1CB75A6D"/>
    <w:multiLevelType w:val="hybridMultilevel"/>
    <w:tmpl w:val="C0C25362"/>
    <w:lvl w:ilvl="0">
      <w:start w:val="1"/>
      <w:numFmt w:val="lowerLetter"/>
      <w:lvlText w:val="%1)"/>
      <w:lvlJc w:val="left"/>
      <w:pPr>
        <w:tabs>
          <w:tab w:val="num" w:pos="720"/>
        </w:tabs>
        <w:ind w:left="720" w:hanging="360"/>
      </w:pPr>
    </w:lvl>
    <w:lvl w:ilvl="1">
      <w:start w:val="1"/>
      <w:numFmt w:val="lowerLetter"/>
      <w:lvlText w:val="%2)"/>
      <w:lvlJc w:val="left"/>
      <w:pPr>
        <w:tabs>
          <w:tab w:val="num" w:pos="1455"/>
        </w:tabs>
        <w:ind w:left="1455" w:hanging="37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FA772BB"/>
    <w:multiLevelType w:val="multilevel"/>
    <w:tmpl w:val="A636F90E"/>
    <w:lvl w:ilvl="0">
      <w:start w:val="1"/>
      <w:numFmt w:val="decimal"/>
      <w:lvlText w:val="%1."/>
      <w:lvlJc w:val="left"/>
      <w:pPr>
        <w:tabs>
          <w:tab w:val="num" w:pos="360"/>
        </w:tabs>
        <w:ind w:left="360" w:hanging="360"/>
      </w:pPr>
    </w:lvl>
    <w:lvl w:ilvl="1">
      <w:start w:val="4"/>
      <w:numFmt w:val="decimal"/>
      <w:isLgl/>
      <w:lvlText w:val="%1.%2"/>
      <w:lvlJc w:val="left"/>
      <w:pPr>
        <w:tabs>
          <w:tab w:val="num" w:pos="555"/>
        </w:tabs>
        <w:ind w:left="555" w:hanging="55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4">
    <w:nsid w:val="2301063D"/>
    <w:multiLevelType w:val="hybridMultilevel"/>
    <w:tmpl w:val="DED654BA"/>
    <w:lvl w:ilvl="0">
      <w:start w:val="1"/>
      <w:numFmt w:val="bullet"/>
      <w:lvlText w:val=""/>
      <w:lvlJc w:val="left"/>
      <w:pPr>
        <w:tabs>
          <w:tab w:val="num" w:pos="823"/>
        </w:tabs>
        <w:ind w:left="823" w:hanging="397"/>
      </w:pPr>
      <w:rPr>
        <w:rFonts w:ascii="Symbol" w:hAnsi="Symbol"/>
        <w:rtl w:val="0"/>
      </w:rPr>
    </w:lvl>
    <w:lvl w:ilvl="1">
      <w:start w:val="1"/>
      <w:numFmt w:val="bullet"/>
      <w:lvlText w:val="o"/>
      <w:lvlJc w:val="left"/>
      <w:pPr>
        <w:tabs>
          <w:tab w:val="num" w:pos="1866"/>
        </w:tabs>
        <w:ind w:left="1866" w:hanging="360"/>
      </w:pPr>
      <w:rPr>
        <w:rFonts w:ascii="Courier New" w:hAnsi="Courier New"/>
        <w:rtl w:val="0"/>
      </w:rPr>
    </w:lvl>
    <w:lvl w:ilvl="2">
      <w:start w:val="1"/>
      <w:numFmt w:val="bullet"/>
      <w:lvlText w:val=""/>
      <w:lvlJc w:val="left"/>
      <w:pPr>
        <w:tabs>
          <w:tab w:val="num" w:pos="2586"/>
        </w:tabs>
        <w:ind w:left="2586" w:hanging="360"/>
      </w:pPr>
      <w:rPr>
        <w:rFonts w:ascii="Wingdings" w:hAnsi="Wingdings"/>
        <w:rtl w:val="0"/>
      </w:rPr>
    </w:lvl>
    <w:lvl w:ilvl="3">
      <w:start w:val="1"/>
      <w:numFmt w:val="bullet"/>
      <w:lvlText w:val=""/>
      <w:lvlJc w:val="left"/>
      <w:pPr>
        <w:tabs>
          <w:tab w:val="num" w:pos="3306"/>
        </w:tabs>
        <w:ind w:left="3306" w:hanging="360"/>
      </w:pPr>
      <w:rPr>
        <w:rFonts w:ascii="Symbol" w:hAnsi="Symbol"/>
        <w:rtl w:val="0"/>
      </w:rPr>
    </w:lvl>
    <w:lvl w:ilvl="4">
      <w:start w:val="1"/>
      <w:numFmt w:val="bullet"/>
      <w:lvlText w:val="o"/>
      <w:lvlJc w:val="left"/>
      <w:pPr>
        <w:tabs>
          <w:tab w:val="num" w:pos="4026"/>
        </w:tabs>
        <w:ind w:left="4026" w:hanging="360"/>
      </w:pPr>
      <w:rPr>
        <w:rFonts w:ascii="Courier New" w:hAnsi="Courier New"/>
        <w:rtl w:val="0"/>
      </w:rPr>
    </w:lvl>
    <w:lvl w:ilvl="5">
      <w:start w:val="1"/>
      <w:numFmt w:val="bullet"/>
      <w:lvlText w:val=""/>
      <w:lvlJc w:val="left"/>
      <w:pPr>
        <w:tabs>
          <w:tab w:val="num" w:pos="4746"/>
        </w:tabs>
        <w:ind w:left="4746" w:hanging="360"/>
      </w:pPr>
      <w:rPr>
        <w:rFonts w:ascii="Wingdings" w:hAnsi="Wingdings"/>
        <w:rtl w:val="0"/>
      </w:rPr>
    </w:lvl>
    <w:lvl w:ilvl="6">
      <w:start w:val="1"/>
      <w:numFmt w:val="bullet"/>
      <w:lvlText w:val=""/>
      <w:lvlJc w:val="left"/>
      <w:pPr>
        <w:tabs>
          <w:tab w:val="num" w:pos="5466"/>
        </w:tabs>
        <w:ind w:left="5466" w:hanging="360"/>
      </w:pPr>
      <w:rPr>
        <w:rFonts w:ascii="Symbol" w:hAnsi="Symbol"/>
        <w:rtl w:val="0"/>
      </w:rPr>
    </w:lvl>
    <w:lvl w:ilvl="7">
      <w:start w:val="1"/>
      <w:numFmt w:val="bullet"/>
      <w:lvlText w:val="o"/>
      <w:lvlJc w:val="left"/>
      <w:pPr>
        <w:tabs>
          <w:tab w:val="num" w:pos="6186"/>
        </w:tabs>
        <w:ind w:left="6186" w:hanging="360"/>
      </w:pPr>
      <w:rPr>
        <w:rFonts w:ascii="Courier New" w:hAnsi="Courier New"/>
        <w:rtl w:val="0"/>
      </w:rPr>
    </w:lvl>
    <w:lvl w:ilvl="8">
      <w:start w:val="1"/>
      <w:numFmt w:val="bullet"/>
      <w:lvlText w:val=""/>
      <w:lvlJc w:val="left"/>
      <w:pPr>
        <w:tabs>
          <w:tab w:val="num" w:pos="6906"/>
        </w:tabs>
        <w:ind w:left="6906" w:hanging="360"/>
      </w:pPr>
      <w:rPr>
        <w:rFonts w:ascii="Wingdings" w:hAnsi="Wingdings"/>
        <w:rtl w:val="0"/>
      </w:rPr>
    </w:lvl>
  </w:abstractNum>
  <w:abstractNum w:abstractNumId="15">
    <w:nsid w:val="235F398E"/>
    <w:multiLevelType w:val="hybridMultilevel"/>
    <w:tmpl w:val="65C00984"/>
    <w:lvl w:ilvl="0">
      <w:start w:val="1"/>
      <w:numFmt w:val="bullet"/>
      <w:lvlText w:val=""/>
      <w:lvlJc w:val="left"/>
      <w:pPr>
        <w:tabs>
          <w:tab w:val="num" w:pos="397"/>
        </w:tabs>
        <w:ind w:left="397" w:hanging="397"/>
      </w:pPr>
      <w:rPr>
        <w:rFonts w:ascii="Symbol" w:hAnsi="Symbol"/>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6">
    <w:nsid w:val="26D32DE2"/>
    <w:multiLevelType w:val="singleLevel"/>
    <w:tmpl w:val="03C4B2FC"/>
    <w:lvl w:ilvl="0">
      <w:start w:val="1"/>
      <w:numFmt w:val="decimal"/>
      <w:lvlText w:val="%1."/>
      <w:lvlJc w:val="left"/>
      <w:pPr>
        <w:tabs>
          <w:tab w:val="num" w:pos="405"/>
        </w:tabs>
        <w:ind w:left="405" w:hanging="405"/>
      </w:pPr>
    </w:lvl>
  </w:abstractNum>
  <w:abstractNum w:abstractNumId="17">
    <w:nsid w:val="270829FF"/>
    <w:multiLevelType w:val="singleLevel"/>
    <w:tmpl w:val="48A0A206"/>
    <w:lvl w:ilvl="0">
      <w:start w:val="1"/>
      <w:numFmt w:val="decimal"/>
      <w:lvlText w:val="%1."/>
      <w:lvlJc w:val="left"/>
      <w:pPr>
        <w:tabs>
          <w:tab w:val="num" w:pos="360"/>
        </w:tabs>
        <w:ind w:left="360" w:hanging="360"/>
      </w:pPr>
    </w:lvl>
  </w:abstractNum>
  <w:abstractNum w:abstractNumId="18">
    <w:nsid w:val="274A7778"/>
    <w:multiLevelType w:val="hybridMultilevel"/>
    <w:tmpl w:val="75B4FC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C0F7897"/>
    <w:multiLevelType w:val="multilevel"/>
    <w:tmpl w:val="4F40C138"/>
    <w:lvl w:ilvl="0">
      <w:start w:val="1"/>
      <w:numFmt w:val="decimal"/>
      <w:lvlText w:val="%1."/>
      <w:lvlJc w:val="left"/>
      <w:pPr>
        <w:tabs>
          <w:tab w:val="num" w:pos="360"/>
        </w:tabs>
        <w:ind w:left="360" w:hanging="360"/>
      </w:pPr>
    </w:lvl>
    <w:lvl w:ilvl="1">
      <w:start w:val="1"/>
      <w:numFmt w:val="decimal"/>
      <w:isLgl/>
      <w:lvlText w:val="%1.%2"/>
      <w:lvlJc w:val="left"/>
      <w:pPr>
        <w:tabs>
          <w:tab w:val="num" w:pos="435"/>
        </w:tabs>
        <w:ind w:left="435" w:hanging="43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20">
    <w:nsid w:val="2C9D48DC"/>
    <w:multiLevelType w:val="hybridMultilevel"/>
    <w:tmpl w:val="12860CD2"/>
    <w:lvl w:ilvl="0">
      <w:start w:val="1"/>
      <w:numFmt w:val="decimal"/>
      <w:lvlText w:val="%1."/>
      <w:lvlJc w:val="left"/>
      <w:pPr>
        <w:tabs>
          <w:tab w:val="num" w:pos="1845"/>
        </w:tabs>
        <w:ind w:left="1845" w:hanging="360"/>
      </w:pPr>
    </w:lvl>
    <w:lvl w:ilvl="1">
      <w:start w:val="1"/>
      <w:numFmt w:val="lowerLetter"/>
      <w:lvlText w:val="%2."/>
      <w:lvlJc w:val="left"/>
      <w:pPr>
        <w:tabs>
          <w:tab w:val="num" w:pos="2565"/>
        </w:tabs>
        <w:ind w:left="2565" w:hanging="360"/>
      </w:pPr>
    </w:lvl>
    <w:lvl w:ilvl="2">
      <w:start w:val="1"/>
      <w:numFmt w:val="lowerRoman"/>
      <w:lvlText w:val="%3."/>
      <w:lvlJc w:val="right"/>
      <w:pPr>
        <w:tabs>
          <w:tab w:val="num" w:pos="3285"/>
        </w:tabs>
        <w:ind w:left="3285" w:hanging="180"/>
      </w:pPr>
    </w:lvl>
    <w:lvl w:ilvl="3">
      <w:start w:val="1"/>
      <w:numFmt w:val="decimal"/>
      <w:lvlText w:val="%4."/>
      <w:lvlJc w:val="left"/>
      <w:pPr>
        <w:tabs>
          <w:tab w:val="num" w:pos="4005"/>
        </w:tabs>
        <w:ind w:left="4005" w:hanging="360"/>
      </w:pPr>
    </w:lvl>
    <w:lvl w:ilvl="4">
      <w:start w:val="1"/>
      <w:numFmt w:val="lowerLetter"/>
      <w:lvlText w:val="%5."/>
      <w:lvlJc w:val="left"/>
      <w:pPr>
        <w:tabs>
          <w:tab w:val="num" w:pos="4725"/>
        </w:tabs>
        <w:ind w:left="4725" w:hanging="360"/>
      </w:pPr>
    </w:lvl>
    <w:lvl w:ilvl="5">
      <w:start w:val="1"/>
      <w:numFmt w:val="lowerRoman"/>
      <w:lvlText w:val="%6."/>
      <w:lvlJc w:val="right"/>
      <w:pPr>
        <w:tabs>
          <w:tab w:val="num" w:pos="5445"/>
        </w:tabs>
        <w:ind w:left="5445" w:hanging="180"/>
      </w:pPr>
    </w:lvl>
    <w:lvl w:ilvl="6">
      <w:start w:val="1"/>
      <w:numFmt w:val="decimal"/>
      <w:lvlText w:val="%7."/>
      <w:lvlJc w:val="left"/>
      <w:pPr>
        <w:tabs>
          <w:tab w:val="num" w:pos="6165"/>
        </w:tabs>
        <w:ind w:left="6165" w:hanging="360"/>
      </w:pPr>
    </w:lvl>
    <w:lvl w:ilvl="7">
      <w:start w:val="1"/>
      <w:numFmt w:val="lowerLetter"/>
      <w:lvlText w:val="%8."/>
      <w:lvlJc w:val="left"/>
      <w:pPr>
        <w:tabs>
          <w:tab w:val="num" w:pos="6885"/>
        </w:tabs>
        <w:ind w:left="6885" w:hanging="360"/>
      </w:pPr>
    </w:lvl>
    <w:lvl w:ilvl="8">
      <w:start w:val="1"/>
      <w:numFmt w:val="lowerRoman"/>
      <w:lvlText w:val="%9."/>
      <w:lvlJc w:val="right"/>
      <w:pPr>
        <w:tabs>
          <w:tab w:val="num" w:pos="7605"/>
        </w:tabs>
        <w:ind w:left="7605" w:hanging="180"/>
      </w:pPr>
    </w:lvl>
  </w:abstractNum>
  <w:abstractNum w:abstractNumId="21">
    <w:nsid w:val="31525716"/>
    <w:multiLevelType w:val="singleLevel"/>
    <w:tmpl w:val="833658C4"/>
    <w:lvl w:ilvl="0">
      <w:start w:val="1"/>
      <w:numFmt w:val="decimal"/>
      <w:lvlText w:val="%1."/>
      <w:lvlJc w:val="left"/>
      <w:pPr>
        <w:tabs>
          <w:tab w:val="num" w:pos="435"/>
        </w:tabs>
        <w:ind w:left="435" w:hanging="360"/>
      </w:pPr>
    </w:lvl>
  </w:abstractNum>
  <w:abstractNum w:abstractNumId="22">
    <w:nsid w:val="315E1AC4"/>
    <w:multiLevelType w:val="hybridMultilevel"/>
    <w:tmpl w:val="F87661DE"/>
    <w:lvl w:ilvl="0">
      <w:start w:val="1"/>
      <w:numFmt w:val="bullet"/>
      <w:lvlText w:val=""/>
      <w:lvlJc w:val="left"/>
      <w:pPr>
        <w:tabs>
          <w:tab w:val="num" w:pos="823"/>
        </w:tabs>
        <w:ind w:left="823" w:hanging="397"/>
      </w:pPr>
      <w:rPr>
        <w:rFonts w:ascii="Symbol" w:hAnsi="Symbol"/>
        <w:rtl w:val="0"/>
      </w:rPr>
    </w:lvl>
    <w:lvl w:ilvl="1">
      <w:start w:val="1"/>
      <w:numFmt w:val="bullet"/>
      <w:lvlText w:val="o"/>
      <w:lvlJc w:val="left"/>
      <w:pPr>
        <w:tabs>
          <w:tab w:val="num" w:pos="1866"/>
        </w:tabs>
        <w:ind w:left="1866" w:hanging="360"/>
      </w:pPr>
      <w:rPr>
        <w:rFonts w:ascii="Courier New" w:hAnsi="Courier New"/>
        <w:rtl w:val="0"/>
      </w:rPr>
    </w:lvl>
    <w:lvl w:ilvl="2">
      <w:start w:val="1"/>
      <w:numFmt w:val="bullet"/>
      <w:lvlText w:val=""/>
      <w:lvlJc w:val="left"/>
      <w:pPr>
        <w:tabs>
          <w:tab w:val="num" w:pos="2586"/>
        </w:tabs>
        <w:ind w:left="2586" w:hanging="360"/>
      </w:pPr>
      <w:rPr>
        <w:rFonts w:ascii="Wingdings" w:hAnsi="Wingdings"/>
        <w:rtl w:val="0"/>
      </w:rPr>
    </w:lvl>
    <w:lvl w:ilvl="3">
      <w:start w:val="1"/>
      <w:numFmt w:val="bullet"/>
      <w:lvlText w:val=""/>
      <w:lvlJc w:val="left"/>
      <w:pPr>
        <w:tabs>
          <w:tab w:val="num" w:pos="3306"/>
        </w:tabs>
        <w:ind w:left="3306" w:hanging="360"/>
      </w:pPr>
      <w:rPr>
        <w:rFonts w:ascii="Symbol" w:hAnsi="Symbol"/>
        <w:rtl w:val="0"/>
      </w:rPr>
    </w:lvl>
    <w:lvl w:ilvl="4">
      <w:start w:val="1"/>
      <w:numFmt w:val="bullet"/>
      <w:lvlText w:val="o"/>
      <w:lvlJc w:val="left"/>
      <w:pPr>
        <w:tabs>
          <w:tab w:val="num" w:pos="4026"/>
        </w:tabs>
        <w:ind w:left="4026" w:hanging="360"/>
      </w:pPr>
      <w:rPr>
        <w:rFonts w:ascii="Courier New" w:hAnsi="Courier New"/>
        <w:rtl w:val="0"/>
      </w:rPr>
    </w:lvl>
    <w:lvl w:ilvl="5">
      <w:start w:val="1"/>
      <w:numFmt w:val="bullet"/>
      <w:lvlText w:val=""/>
      <w:lvlJc w:val="left"/>
      <w:pPr>
        <w:tabs>
          <w:tab w:val="num" w:pos="4746"/>
        </w:tabs>
        <w:ind w:left="4746" w:hanging="360"/>
      </w:pPr>
      <w:rPr>
        <w:rFonts w:ascii="Wingdings" w:hAnsi="Wingdings"/>
        <w:rtl w:val="0"/>
      </w:rPr>
    </w:lvl>
    <w:lvl w:ilvl="6">
      <w:start w:val="1"/>
      <w:numFmt w:val="bullet"/>
      <w:lvlText w:val=""/>
      <w:lvlJc w:val="left"/>
      <w:pPr>
        <w:tabs>
          <w:tab w:val="num" w:pos="5466"/>
        </w:tabs>
        <w:ind w:left="5466" w:hanging="360"/>
      </w:pPr>
      <w:rPr>
        <w:rFonts w:ascii="Symbol" w:hAnsi="Symbol"/>
        <w:rtl w:val="0"/>
      </w:rPr>
    </w:lvl>
    <w:lvl w:ilvl="7">
      <w:start w:val="1"/>
      <w:numFmt w:val="bullet"/>
      <w:lvlText w:val="o"/>
      <w:lvlJc w:val="left"/>
      <w:pPr>
        <w:tabs>
          <w:tab w:val="num" w:pos="6186"/>
        </w:tabs>
        <w:ind w:left="6186" w:hanging="360"/>
      </w:pPr>
      <w:rPr>
        <w:rFonts w:ascii="Courier New" w:hAnsi="Courier New"/>
        <w:rtl w:val="0"/>
      </w:rPr>
    </w:lvl>
    <w:lvl w:ilvl="8">
      <w:start w:val="1"/>
      <w:numFmt w:val="bullet"/>
      <w:lvlText w:val=""/>
      <w:lvlJc w:val="left"/>
      <w:pPr>
        <w:tabs>
          <w:tab w:val="num" w:pos="6906"/>
        </w:tabs>
        <w:ind w:left="6906" w:hanging="360"/>
      </w:pPr>
      <w:rPr>
        <w:rFonts w:ascii="Wingdings" w:hAnsi="Wingdings"/>
        <w:rtl w:val="0"/>
      </w:rPr>
    </w:lvl>
  </w:abstractNum>
  <w:abstractNum w:abstractNumId="23">
    <w:nsid w:val="358A402F"/>
    <w:multiLevelType w:val="singleLevel"/>
    <w:tmpl w:val="48A0A206"/>
    <w:lvl w:ilvl="0">
      <w:start w:val="1"/>
      <w:numFmt w:val="decimal"/>
      <w:lvlText w:val="%1."/>
      <w:lvlJc w:val="left"/>
      <w:pPr>
        <w:tabs>
          <w:tab w:val="num" w:pos="360"/>
        </w:tabs>
        <w:ind w:left="360" w:hanging="360"/>
      </w:pPr>
    </w:lvl>
  </w:abstractNum>
  <w:abstractNum w:abstractNumId="24">
    <w:nsid w:val="397C1365"/>
    <w:multiLevelType w:val="singleLevel"/>
    <w:tmpl w:val="8CA86D90"/>
    <w:lvl w:ilvl="0">
      <w:start w:val="1"/>
      <w:numFmt w:val="lowerLetter"/>
      <w:lvlText w:val="%1)"/>
      <w:legacy w:legacy="1" w:legacySpace="0" w:legacyIndent="360"/>
      <w:lvlJc w:val="left"/>
      <w:pPr>
        <w:ind w:left="360" w:hanging="360"/>
      </w:pPr>
    </w:lvl>
  </w:abstractNum>
  <w:abstractNum w:abstractNumId="25">
    <w:nsid w:val="3BE87A5E"/>
    <w:multiLevelType w:val="hybridMultilevel"/>
    <w:tmpl w:val="CE320F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CA3776C"/>
    <w:multiLevelType w:val="singleLevel"/>
    <w:tmpl w:val="9312860E"/>
    <w:lvl w:ilvl="0">
      <w:start w:val="1"/>
      <w:numFmt w:val="lowerLetter"/>
      <w:lvlText w:val="(%1)"/>
      <w:lvlJc w:val="left"/>
      <w:pPr>
        <w:tabs>
          <w:tab w:val="num" w:pos="510"/>
        </w:tabs>
        <w:ind w:left="510" w:hanging="510"/>
      </w:pPr>
    </w:lvl>
  </w:abstractNum>
  <w:abstractNum w:abstractNumId="27">
    <w:nsid w:val="3E503124"/>
    <w:multiLevelType w:val="singleLevel"/>
    <w:tmpl w:val="CBF4E936"/>
    <w:lvl w:ilvl="0">
      <w:start w:val="1"/>
      <w:numFmt w:val="decimal"/>
      <w:lvlText w:val="(%1)"/>
      <w:lvlJc w:val="left"/>
      <w:pPr>
        <w:tabs>
          <w:tab w:val="num" w:pos="360"/>
        </w:tabs>
        <w:ind w:left="360" w:hanging="360"/>
      </w:pPr>
    </w:lvl>
  </w:abstractNum>
  <w:abstractNum w:abstractNumId="28">
    <w:nsid w:val="3FB304B4"/>
    <w:multiLevelType w:val="singleLevel"/>
    <w:tmpl w:val="52BC4958"/>
    <w:lvl w:ilvl="0">
      <w:start w:val="1"/>
      <w:numFmt w:val="lowerLetter"/>
      <w:lvlText w:val="(%1)"/>
      <w:lvlJc w:val="left"/>
      <w:pPr>
        <w:tabs>
          <w:tab w:val="num" w:pos="735"/>
        </w:tabs>
        <w:ind w:left="735" w:hanging="375"/>
      </w:pPr>
    </w:lvl>
  </w:abstractNum>
  <w:abstractNum w:abstractNumId="29">
    <w:nsid w:val="476B26AB"/>
    <w:multiLevelType w:val="multilevel"/>
    <w:tmpl w:val="8B360168"/>
    <w:lvl w:ilvl="0">
      <w:start w:val="1"/>
      <w:numFmt w:val="lowerLetter"/>
      <w:lvlText w:val="%1)"/>
      <w:lvlJc w:val="left"/>
      <w:pPr>
        <w:tabs>
          <w:tab w:val="num" w:pos="360"/>
        </w:tabs>
        <w:ind w:left="360" w:hanging="360"/>
      </w:pPr>
    </w:lvl>
    <w:lvl w:ilvl="1">
      <w:start w:val="1"/>
      <w:numFmt w:val="lowerLetter"/>
      <w:lvlText w:val="%2)"/>
      <w:lvlJc w:val="left"/>
      <w:pPr>
        <w:tabs>
          <w:tab w:val="num" w:pos="1320"/>
        </w:tabs>
        <w:ind w:left="1320" w:hanging="360"/>
      </w:pPr>
    </w:lvl>
    <w:lvl w:ilvl="2">
      <w:start w:val="1"/>
      <w:numFmt w:val="bullet"/>
      <w:lvlText w:val=""/>
      <w:lvlJc w:val="left"/>
      <w:pPr>
        <w:tabs>
          <w:tab w:val="num" w:pos="2220"/>
        </w:tabs>
        <w:ind w:left="2220" w:hanging="360"/>
      </w:pPr>
      <w:rPr>
        <w:rFonts w:ascii="Symbol" w:hAnsi="Symbol" w:cs="Times New Roman"/>
        <w:rtl w:val="0"/>
      </w:r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30">
    <w:nsid w:val="47927542"/>
    <w:multiLevelType w:val="singleLevel"/>
    <w:tmpl w:val="8A58B532"/>
    <w:lvl w:ilvl="0">
      <w:start w:val="1"/>
      <w:numFmt w:val="lowerRoman"/>
      <w:lvlText w:val="(%1)"/>
      <w:lvlJc w:val="left"/>
      <w:pPr>
        <w:tabs>
          <w:tab w:val="num" w:pos="1428"/>
        </w:tabs>
        <w:ind w:left="1428" w:hanging="720"/>
      </w:pPr>
    </w:lvl>
  </w:abstractNum>
  <w:abstractNum w:abstractNumId="31">
    <w:nsid w:val="4CBB6E74"/>
    <w:multiLevelType w:val="singleLevel"/>
    <w:tmpl w:val="6EFAFBF0"/>
    <w:lvl w:ilvl="0">
      <w:start w:val="1"/>
      <w:numFmt w:val="lowerLetter"/>
      <w:lvlText w:val="(%1)"/>
      <w:lvlJc w:val="left"/>
      <w:pPr>
        <w:tabs>
          <w:tab w:val="num" w:pos="795"/>
        </w:tabs>
        <w:ind w:left="795" w:hanging="375"/>
      </w:pPr>
    </w:lvl>
  </w:abstractNum>
  <w:abstractNum w:abstractNumId="32">
    <w:nsid w:val="4CEB0DF7"/>
    <w:multiLevelType w:val="hybridMultilevel"/>
    <w:tmpl w:val="764E09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5670FAC"/>
    <w:multiLevelType w:val="hybridMultilevel"/>
    <w:tmpl w:val="E4C2AB18"/>
    <w:lvl w:ilvl="0">
      <w:start w:val="1"/>
      <w:numFmt w:val="decimal"/>
      <w:lvlText w:val="%1."/>
      <w:lvlJc w:val="left"/>
      <w:pPr>
        <w:tabs>
          <w:tab w:val="num" w:pos="365"/>
        </w:tabs>
        <w:ind w:left="365" w:hanging="435"/>
      </w:pPr>
    </w:lvl>
    <w:lvl w:ilvl="1">
      <w:start w:val="1"/>
      <w:numFmt w:val="lowerLetter"/>
      <w:lvlText w:val="%2."/>
      <w:lvlJc w:val="left"/>
      <w:pPr>
        <w:tabs>
          <w:tab w:val="num" w:pos="1010"/>
        </w:tabs>
        <w:ind w:left="1010" w:hanging="360"/>
      </w:pPr>
    </w:lvl>
    <w:lvl w:ilvl="2">
      <w:start w:val="1"/>
      <w:numFmt w:val="lowerRoman"/>
      <w:lvlText w:val="%3."/>
      <w:lvlJc w:val="right"/>
      <w:pPr>
        <w:tabs>
          <w:tab w:val="num" w:pos="1730"/>
        </w:tabs>
        <w:ind w:left="1730" w:hanging="180"/>
      </w:pPr>
    </w:lvl>
    <w:lvl w:ilvl="3">
      <w:start w:val="1"/>
      <w:numFmt w:val="decimal"/>
      <w:lvlText w:val="%4."/>
      <w:lvlJc w:val="left"/>
      <w:pPr>
        <w:tabs>
          <w:tab w:val="num" w:pos="2450"/>
        </w:tabs>
        <w:ind w:left="2450" w:hanging="360"/>
      </w:pPr>
    </w:lvl>
    <w:lvl w:ilvl="4">
      <w:start w:val="1"/>
      <w:numFmt w:val="lowerLetter"/>
      <w:lvlText w:val="%5."/>
      <w:lvlJc w:val="left"/>
      <w:pPr>
        <w:tabs>
          <w:tab w:val="num" w:pos="3170"/>
        </w:tabs>
        <w:ind w:left="3170" w:hanging="360"/>
      </w:pPr>
    </w:lvl>
    <w:lvl w:ilvl="5">
      <w:start w:val="1"/>
      <w:numFmt w:val="lowerRoman"/>
      <w:lvlText w:val="%6."/>
      <w:lvlJc w:val="right"/>
      <w:pPr>
        <w:tabs>
          <w:tab w:val="num" w:pos="3890"/>
        </w:tabs>
        <w:ind w:left="3890" w:hanging="180"/>
      </w:pPr>
    </w:lvl>
    <w:lvl w:ilvl="6">
      <w:start w:val="1"/>
      <w:numFmt w:val="decimal"/>
      <w:lvlText w:val="%7."/>
      <w:lvlJc w:val="left"/>
      <w:pPr>
        <w:tabs>
          <w:tab w:val="num" w:pos="4610"/>
        </w:tabs>
        <w:ind w:left="4610" w:hanging="360"/>
      </w:pPr>
    </w:lvl>
    <w:lvl w:ilvl="7">
      <w:start w:val="1"/>
      <w:numFmt w:val="lowerLetter"/>
      <w:lvlText w:val="%8."/>
      <w:lvlJc w:val="left"/>
      <w:pPr>
        <w:tabs>
          <w:tab w:val="num" w:pos="5330"/>
        </w:tabs>
        <w:ind w:left="5330" w:hanging="360"/>
      </w:pPr>
    </w:lvl>
    <w:lvl w:ilvl="8">
      <w:start w:val="1"/>
      <w:numFmt w:val="lowerRoman"/>
      <w:lvlText w:val="%9."/>
      <w:lvlJc w:val="right"/>
      <w:pPr>
        <w:tabs>
          <w:tab w:val="num" w:pos="6050"/>
        </w:tabs>
        <w:ind w:left="6050" w:hanging="180"/>
      </w:pPr>
    </w:lvl>
  </w:abstractNum>
  <w:abstractNum w:abstractNumId="34">
    <w:nsid w:val="56BF208A"/>
    <w:multiLevelType w:val="singleLevel"/>
    <w:tmpl w:val="072C747A"/>
    <w:lvl w:ilvl="0">
      <w:start w:val="1"/>
      <w:numFmt w:val="lowerLetter"/>
      <w:lvlText w:val="(%1)"/>
      <w:lvlJc w:val="left"/>
      <w:pPr>
        <w:tabs>
          <w:tab w:val="num" w:pos="1080"/>
        </w:tabs>
        <w:ind w:left="1080" w:hanging="720"/>
      </w:pPr>
    </w:lvl>
  </w:abstractNum>
  <w:abstractNum w:abstractNumId="35">
    <w:nsid w:val="57DC60A8"/>
    <w:multiLevelType w:val="multilevel"/>
    <w:tmpl w:val="F4807D7C"/>
    <w:lvl w:ilvl="0">
      <w:start w:val="1"/>
      <w:numFmt w:val="decimal"/>
      <w:lvlText w:val="%1."/>
      <w:lvlJc w:val="left"/>
      <w:pPr>
        <w:tabs>
          <w:tab w:val="num" w:pos="360"/>
        </w:tabs>
        <w:ind w:left="360" w:hanging="360"/>
      </w:pPr>
    </w:lvl>
    <w:lvl w:ilvl="1">
      <w:start w:val="0"/>
      <w:numFmt w:val="bullet"/>
      <w:lvlText w:val="-"/>
      <w:lvlJc w:val="left"/>
      <w:pPr>
        <w:tabs>
          <w:tab w:val="num" w:pos="1080"/>
        </w:tabs>
        <w:ind w:left="1080" w:hanging="360"/>
      </w:pPr>
      <w:rPr>
        <w:rFonts w:ascii="Times New Roman" w:hAnsi="Times New Roman" w:cs="Times New Roman"/>
        <w:rtl w:val="0"/>
      </w:rPr>
    </w:lvl>
    <w:lvl w:ilvl="2">
      <w:start w:val="5"/>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5A831FD8"/>
    <w:multiLevelType w:val="singleLevel"/>
    <w:tmpl w:val="934684D4"/>
    <w:lvl w:ilvl="0">
      <w:start w:val="1"/>
      <w:numFmt w:val="lowerLetter"/>
      <w:lvlText w:val="(%1)"/>
      <w:lvlJc w:val="left"/>
      <w:pPr>
        <w:tabs>
          <w:tab w:val="num" w:pos="375"/>
        </w:tabs>
        <w:ind w:left="375" w:hanging="375"/>
      </w:pPr>
    </w:lvl>
  </w:abstractNum>
  <w:abstractNum w:abstractNumId="37">
    <w:nsid w:val="5B104882"/>
    <w:multiLevelType w:val="singleLevel"/>
    <w:tmpl w:val="DD905844"/>
    <w:lvl w:ilvl="0">
      <w:start w:val="1"/>
      <w:numFmt w:val="lowerRoman"/>
      <w:lvlText w:val="(%1)"/>
      <w:lvlJc w:val="left"/>
      <w:pPr>
        <w:tabs>
          <w:tab w:val="num" w:pos="1428"/>
        </w:tabs>
        <w:ind w:left="1428" w:hanging="720"/>
      </w:pPr>
    </w:lvl>
  </w:abstractNum>
  <w:abstractNum w:abstractNumId="38">
    <w:nsid w:val="5B49494D"/>
    <w:multiLevelType w:val="hybridMultilevel"/>
    <w:tmpl w:val="A5C63818"/>
    <w:lvl w:ilvl="0">
      <w:start w:val="1"/>
      <w:numFmt w:val="bullet"/>
      <w:lvlText w:val=""/>
      <w:lvlJc w:val="left"/>
      <w:pPr>
        <w:tabs>
          <w:tab w:val="num" w:pos="1248"/>
        </w:tabs>
        <w:ind w:left="1248" w:hanging="397"/>
      </w:pPr>
      <w:rPr>
        <w:rFonts w:ascii="Symbol" w:hAnsi="Symbol"/>
        <w:rtl w:val="0"/>
      </w:rPr>
    </w:lvl>
    <w:lvl w:ilvl="1">
      <w:start w:val="1"/>
      <w:numFmt w:val="bullet"/>
      <w:lvlText w:val="o"/>
      <w:lvlJc w:val="left"/>
      <w:pPr>
        <w:tabs>
          <w:tab w:val="num" w:pos="2291"/>
        </w:tabs>
        <w:ind w:left="2291" w:hanging="360"/>
      </w:pPr>
      <w:rPr>
        <w:rFonts w:ascii="Courier New" w:hAnsi="Courier New"/>
        <w:rtl w:val="0"/>
      </w:rPr>
    </w:lvl>
    <w:lvl w:ilvl="2">
      <w:start w:val="1"/>
      <w:numFmt w:val="bullet"/>
      <w:lvlText w:val=""/>
      <w:lvlJc w:val="left"/>
      <w:pPr>
        <w:tabs>
          <w:tab w:val="num" w:pos="3011"/>
        </w:tabs>
        <w:ind w:left="3011" w:hanging="360"/>
      </w:pPr>
      <w:rPr>
        <w:rFonts w:ascii="Wingdings" w:hAnsi="Wingdings"/>
        <w:rtl w:val="0"/>
      </w:rPr>
    </w:lvl>
    <w:lvl w:ilvl="3">
      <w:start w:val="1"/>
      <w:numFmt w:val="bullet"/>
      <w:lvlText w:val=""/>
      <w:lvlJc w:val="left"/>
      <w:pPr>
        <w:tabs>
          <w:tab w:val="num" w:pos="3731"/>
        </w:tabs>
        <w:ind w:left="3731" w:hanging="360"/>
      </w:pPr>
      <w:rPr>
        <w:rFonts w:ascii="Symbol" w:hAnsi="Symbol"/>
        <w:rtl w:val="0"/>
      </w:rPr>
    </w:lvl>
    <w:lvl w:ilvl="4">
      <w:start w:val="1"/>
      <w:numFmt w:val="bullet"/>
      <w:lvlText w:val="o"/>
      <w:lvlJc w:val="left"/>
      <w:pPr>
        <w:tabs>
          <w:tab w:val="num" w:pos="4451"/>
        </w:tabs>
        <w:ind w:left="4451" w:hanging="360"/>
      </w:pPr>
      <w:rPr>
        <w:rFonts w:ascii="Courier New" w:hAnsi="Courier New"/>
        <w:rtl w:val="0"/>
      </w:rPr>
    </w:lvl>
    <w:lvl w:ilvl="5">
      <w:start w:val="1"/>
      <w:numFmt w:val="bullet"/>
      <w:lvlText w:val=""/>
      <w:lvlJc w:val="left"/>
      <w:pPr>
        <w:tabs>
          <w:tab w:val="num" w:pos="5171"/>
        </w:tabs>
        <w:ind w:left="5171" w:hanging="360"/>
      </w:pPr>
      <w:rPr>
        <w:rFonts w:ascii="Wingdings" w:hAnsi="Wingdings"/>
        <w:rtl w:val="0"/>
      </w:rPr>
    </w:lvl>
    <w:lvl w:ilvl="6">
      <w:start w:val="1"/>
      <w:numFmt w:val="bullet"/>
      <w:lvlText w:val=""/>
      <w:lvlJc w:val="left"/>
      <w:pPr>
        <w:tabs>
          <w:tab w:val="num" w:pos="5891"/>
        </w:tabs>
        <w:ind w:left="5891" w:hanging="360"/>
      </w:pPr>
      <w:rPr>
        <w:rFonts w:ascii="Symbol" w:hAnsi="Symbol"/>
        <w:rtl w:val="0"/>
      </w:rPr>
    </w:lvl>
    <w:lvl w:ilvl="7">
      <w:start w:val="1"/>
      <w:numFmt w:val="bullet"/>
      <w:lvlText w:val="o"/>
      <w:lvlJc w:val="left"/>
      <w:pPr>
        <w:tabs>
          <w:tab w:val="num" w:pos="6611"/>
        </w:tabs>
        <w:ind w:left="6611" w:hanging="360"/>
      </w:pPr>
      <w:rPr>
        <w:rFonts w:ascii="Courier New" w:hAnsi="Courier New"/>
        <w:rtl w:val="0"/>
      </w:rPr>
    </w:lvl>
    <w:lvl w:ilvl="8">
      <w:start w:val="1"/>
      <w:numFmt w:val="bullet"/>
      <w:lvlText w:val=""/>
      <w:lvlJc w:val="left"/>
      <w:pPr>
        <w:tabs>
          <w:tab w:val="num" w:pos="7331"/>
        </w:tabs>
        <w:ind w:left="7331" w:hanging="360"/>
      </w:pPr>
      <w:rPr>
        <w:rFonts w:ascii="Wingdings" w:hAnsi="Wingdings"/>
        <w:rtl w:val="0"/>
      </w:rPr>
    </w:lvl>
  </w:abstractNum>
  <w:abstractNum w:abstractNumId="39">
    <w:nsid w:val="5CC837BD"/>
    <w:multiLevelType w:val="singleLevel"/>
    <w:tmpl w:val="7CC4DBB8"/>
    <w:lvl w:ilvl="0">
      <w:start w:val="0"/>
      <w:numFmt w:val="bullet"/>
      <w:lvlText w:val="-"/>
      <w:lvlJc w:val="left"/>
      <w:pPr>
        <w:tabs>
          <w:tab w:val="num" w:pos="1080"/>
        </w:tabs>
        <w:ind w:left="1080" w:hanging="360"/>
      </w:pPr>
    </w:lvl>
  </w:abstractNum>
  <w:abstractNum w:abstractNumId="40">
    <w:nsid w:val="61B81782"/>
    <w:multiLevelType w:val="hybridMultilevel"/>
    <w:tmpl w:val="F642FD60"/>
    <w:lvl w:ilvl="0">
      <w:start w:val="1"/>
      <w:numFmt w:val="decimal"/>
      <w:lvlText w:val="%1."/>
      <w:lvlJc w:val="left"/>
      <w:pPr>
        <w:tabs>
          <w:tab w:val="num" w:pos="290"/>
        </w:tabs>
        <w:ind w:left="290" w:hanging="360"/>
      </w:pPr>
    </w:lvl>
    <w:lvl w:ilvl="1">
      <w:start w:val="1"/>
      <w:numFmt w:val="lowerLetter"/>
      <w:lvlText w:val="%2."/>
      <w:lvlJc w:val="left"/>
      <w:pPr>
        <w:tabs>
          <w:tab w:val="num" w:pos="1010"/>
        </w:tabs>
        <w:ind w:left="1010" w:hanging="360"/>
      </w:pPr>
    </w:lvl>
    <w:lvl w:ilvl="2">
      <w:start w:val="1"/>
      <w:numFmt w:val="lowerRoman"/>
      <w:lvlText w:val="%3."/>
      <w:lvlJc w:val="right"/>
      <w:pPr>
        <w:tabs>
          <w:tab w:val="num" w:pos="1730"/>
        </w:tabs>
        <w:ind w:left="1730" w:hanging="180"/>
      </w:pPr>
    </w:lvl>
    <w:lvl w:ilvl="3">
      <w:start w:val="1"/>
      <w:numFmt w:val="decimal"/>
      <w:lvlText w:val="%4."/>
      <w:lvlJc w:val="left"/>
      <w:pPr>
        <w:tabs>
          <w:tab w:val="num" w:pos="2450"/>
        </w:tabs>
        <w:ind w:left="2450" w:hanging="360"/>
      </w:pPr>
    </w:lvl>
    <w:lvl w:ilvl="4">
      <w:start w:val="1"/>
      <w:numFmt w:val="lowerLetter"/>
      <w:lvlText w:val="%5."/>
      <w:lvlJc w:val="left"/>
      <w:pPr>
        <w:tabs>
          <w:tab w:val="num" w:pos="3170"/>
        </w:tabs>
        <w:ind w:left="3170" w:hanging="360"/>
      </w:pPr>
    </w:lvl>
    <w:lvl w:ilvl="5">
      <w:start w:val="1"/>
      <w:numFmt w:val="lowerRoman"/>
      <w:lvlText w:val="%6."/>
      <w:lvlJc w:val="right"/>
      <w:pPr>
        <w:tabs>
          <w:tab w:val="num" w:pos="3890"/>
        </w:tabs>
        <w:ind w:left="3890" w:hanging="180"/>
      </w:pPr>
    </w:lvl>
    <w:lvl w:ilvl="6">
      <w:start w:val="1"/>
      <w:numFmt w:val="decimal"/>
      <w:lvlText w:val="%7."/>
      <w:lvlJc w:val="left"/>
      <w:pPr>
        <w:tabs>
          <w:tab w:val="num" w:pos="4610"/>
        </w:tabs>
        <w:ind w:left="4610" w:hanging="360"/>
      </w:pPr>
    </w:lvl>
    <w:lvl w:ilvl="7">
      <w:start w:val="1"/>
      <w:numFmt w:val="lowerLetter"/>
      <w:lvlText w:val="%8."/>
      <w:lvlJc w:val="left"/>
      <w:pPr>
        <w:tabs>
          <w:tab w:val="num" w:pos="5330"/>
        </w:tabs>
        <w:ind w:left="5330" w:hanging="360"/>
      </w:pPr>
    </w:lvl>
    <w:lvl w:ilvl="8">
      <w:start w:val="1"/>
      <w:numFmt w:val="lowerRoman"/>
      <w:lvlText w:val="%9."/>
      <w:lvlJc w:val="right"/>
      <w:pPr>
        <w:tabs>
          <w:tab w:val="num" w:pos="6050"/>
        </w:tabs>
        <w:ind w:left="6050" w:hanging="180"/>
      </w:pPr>
    </w:lvl>
  </w:abstractNum>
  <w:abstractNum w:abstractNumId="41">
    <w:nsid w:val="65F530FF"/>
    <w:multiLevelType w:val="hybridMultilevel"/>
    <w:tmpl w:val="B75240C2"/>
    <w:lvl w:ilvl="0">
      <w:start w:val="1"/>
      <w:numFmt w:val="decimal"/>
      <w:lvlText w:val="%1."/>
      <w:lvlJc w:val="left"/>
      <w:pPr>
        <w:tabs>
          <w:tab w:val="num" w:pos="290"/>
        </w:tabs>
        <w:ind w:left="290" w:hanging="360"/>
      </w:pPr>
    </w:lvl>
    <w:lvl w:ilvl="1">
      <w:start w:val="1"/>
      <w:numFmt w:val="lowerLetter"/>
      <w:lvlText w:val="%2."/>
      <w:lvlJc w:val="left"/>
      <w:pPr>
        <w:tabs>
          <w:tab w:val="num" w:pos="1010"/>
        </w:tabs>
        <w:ind w:left="1010" w:hanging="360"/>
      </w:pPr>
    </w:lvl>
    <w:lvl w:ilvl="2">
      <w:start w:val="1"/>
      <w:numFmt w:val="lowerRoman"/>
      <w:lvlText w:val="%3."/>
      <w:lvlJc w:val="right"/>
      <w:pPr>
        <w:tabs>
          <w:tab w:val="num" w:pos="1730"/>
        </w:tabs>
        <w:ind w:left="1730" w:hanging="180"/>
      </w:pPr>
    </w:lvl>
    <w:lvl w:ilvl="3">
      <w:start w:val="1"/>
      <w:numFmt w:val="decimal"/>
      <w:lvlText w:val="%4."/>
      <w:lvlJc w:val="left"/>
      <w:pPr>
        <w:tabs>
          <w:tab w:val="num" w:pos="2450"/>
        </w:tabs>
        <w:ind w:left="2450" w:hanging="360"/>
      </w:pPr>
    </w:lvl>
    <w:lvl w:ilvl="4">
      <w:start w:val="1"/>
      <w:numFmt w:val="lowerLetter"/>
      <w:lvlText w:val="%5."/>
      <w:lvlJc w:val="left"/>
      <w:pPr>
        <w:tabs>
          <w:tab w:val="num" w:pos="3170"/>
        </w:tabs>
        <w:ind w:left="3170" w:hanging="360"/>
      </w:pPr>
    </w:lvl>
    <w:lvl w:ilvl="5">
      <w:start w:val="1"/>
      <w:numFmt w:val="lowerRoman"/>
      <w:lvlText w:val="%6."/>
      <w:lvlJc w:val="right"/>
      <w:pPr>
        <w:tabs>
          <w:tab w:val="num" w:pos="3890"/>
        </w:tabs>
        <w:ind w:left="3890" w:hanging="180"/>
      </w:pPr>
    </w:lvl>
    <w:lvl w:ilvl="6">
      <w:start w:val="1"/>
      <w:numFmt w:val="decimal"/>
      <w:lvlText w:val="%7."/>
      <w:lvlJc w:val="left"/>
      <w:pPr>
        <w:tabs>
          <w:tab w:val="num" w:pos="4610"/>
        </w:tabs>
        <w:ind w:left="4610" w:hanging="360"/>
      </w:pPr>
    </w:lvl>
    <w:lvl w:ilvl="7">
      <w:start w:val="1"/>
      <w:numFmt w:val="lowerLetter"/>
      <w:lvlText w:val="%8."/>
      <w:lvlJc w:val="left"/>
      <w:pPr>
        <w:tabs>
          <w:tab w:val="num" w:pos="5330"/>
        </w:tabs>
        <w:ind w:left="5330" w:hanging="360"/>
      </w:pPr>
    </w:lvl>
    <w:lvl w:ilvl="8">
      <w:start w:val="1"/>
      <w:numFmt w:val="lowerRoman"/>
      <w:lvlText w:val="%9."/>
      <w:lvlJc w:val="right"/>
      <w:pPr>
        <w:tabs>
          <w:tab w:val="num" w:pos="6050"/>
        </w:tabs>
        <w:ind w:left="6050" w:hanging="180"/>
      </w:pPr>
    </w:lvl>
  </w:abstractNum>
  <w:abstractNum w:abstractNumId="42">
    <w:nsid w:val="6781042A"/>
    <w:multiLevelType w:val="singleLevel"/>
    <w:tmpl w:val="BF12BE1A"/>
    <w:lvl w:ilvl="0">
      <w:start w:val="1"/>
      <w:numFmt w:val="decimal"/>
      <w:lvlText w:val="%1."/>
      <w:lvlJc w:val="left"/>
      <w:pPr>
        <w:tabs>
          <w:tab w:val="num" w:pos="405"/>
        </w:tabs>
        <w:ind w:left="405" w:hanging="405"/>
      </w:pPr>
    </w:lvl>
  </w:abstractNum>
  <w:abstractNum w:abstractNumId="43">
    <w:nsid w:val="68F70B65"/>
    <w:multiLevelType w:val="singleLevel"/>
    <w:tmpl w:val="A4ACFB00"/>
    <w:lvl w:ilvl="0">
      <w:start w:val="1"/>
      <w:numFmt w:val="lowerRoman"/>
      <w:lvlText w:val="(%1)"/>
      <w:lvlJc w:val="left"/>
      <w:pPr>
        <w:tabs>
          <w:tab w:val="num" w:pos="720"/>
        </w:tabs>
        <w:ind w:left="720" w:hanging="720"/>
      </w:pPr>
    </w:lvl>
  </w:abstractNum>
  <w:abstractNum w:abstractNumId="44">
    <w:nsid w:val="695948DB"/>
    <w:multiLevelType w:val="hybridMultilevel"/>
    <w:tmpl w:val="7C9266E2"/>
    <w:lvl w:ilvl="0">
      <w:start w:val="1"/>
      <w:numFmt w:val="decimal"/>
      <w:lvlText w:val="%1."/>
      <w:lvlJc w:val="left"/>
      <w:pPr>
        <w:tabs>
          <w:tab w:val="num" w:pos="431"/>
        </w:tabs>
        <w:ind w:left="431" w:hanging="360"/>
      </w:pPr>
    </w:lvl>
    <w:lvl w:ilvl="1">
      <w:start w:val="1"/>
      <w:numFmt w:val="lowerLetter"/>
      <w:lvlText w:val="%2."/>
      <w:lvlJc w:val="left"/>
      <w:pPr>
        <w:tabs>
          <w:tab w:val="num" w:pos="1151"/>
        </w:tabs>
        <w:ind w:left="1151" w:hanging="360"/>
      </w:pPr>
    </w:lvl>
    <w:lvl w:ilvl="2">
      <w:start w:val="1"/>
      <w:numFmt w:val="lowerRoman"/>
      <w:lvlText w:val="%3."/>
      <w:lvlJc w:val="right"/>
      <w:pPr>
        <w:tabs>
          <w:tab w:val="num" w:pos="1871"/>
        </w:tabs>
        <w:ind w:left="1871" w:hanging="180"/>
      </w:pPr>
    </w:lvl>
    <w:lvl w:ilvl="3">
      <w:start w:val="1"/>
      <w:numFmt w:val="decimal"/>
      <w:lvlText w:val="%4."/>
      <w:lvlJc w:val="left"/>
      <w:pPr>
        <w:tabs>
          <w:tab w:val="num" w:pos="2591"/>
        </w:tabs>
        <w:ind w:left="2591" w:hanging="360"/>
      </w:pPr>
    </w:lvl>
    <w:lvl w:ilvl="4">
      <w:start w:val="1"/>
      <w:numFmt w:val="lowerLetter"/>
      <w:lvlText w:val="%5."/>
      <w:lvlJc w:val="left"/>
      <w:pPr>
        <w:tabs>
          <w:tab w:val="num" w:pos="3311"/>
        </w:tabs>
        <w:ind w:left="3311" w:hanging="360"/>
      </w:pPr>
    </w:lvl>
    <w:lvl w:ilvl="5">
      <w:start w:val="1"/>
      <w:numFmt w:val="lowerRoman"/>
      <w:lvlText w:val="%6."/>
      <w:lvlJc w:val="right"/>
      <w:pPr>
        <w:tabs>
          <w:tab w:val="num" w:pos="4031"/>
        </w:tabs>
        <w:ind w:left="4031" w:hanging="180"/>
      </w:pPr>
    </w:lvl>
    <w:lvl w:ilvl="6">
      <w:start w:val="1"/>
      <w:numFmt w:val="decimal"/>
      <w:lvlText w:val="%7."/>
      <w:lvlJc w:val="left"/>
      <w:pPr>
        <w:tabs>
          <w:tab w:val="num" w:pos="4751"/>
        </w:tabs>
        <w:ind w:left="4751" w:hanging="360"/>
      </w:pPr>
    </w:lvl>
    <w:lvl w:ilvl="7">
      <w:start w:val="1"/>
      <w:numFmt w:val="lowerLetter"/>
      <w:lvlText w:val="%8."/>
      <w:lvlJc w:val="left"/>
      <w:pPr>
        <w:tabs>
          <w:tab w:val="num" w:pos="5471"/>
        </w:tabs>
        <w:ind w:left="5471" w:hanging="360"/>
      </w:pPr>
    </w:lvl>
    <w:lvl w:ilvl="8">
      <w:start w:val="1"/>
      <w:numFmt w:val="lowerRoman"/>
      <w:lvlText w:val="%9."/>
      <w:lvlJc w:val="right"/>
      <w:pPr>
        <w:tabs>
          <w:tab w:val="num" w:pos="6191"/>
        </w:tabs>
        <w:ind w:left="6191" w:hanging="180"/>
      </w:pPr>
    </w:lvl>
  </w:abstractNum>
  <w:abstractNum w:abstractNumId="45">
    <w:nsid w:val="6DC601FA"/>
    <w:multiLevelType w:val="hybridMultilevel"/>
    <w:tmpl w:val="B1C2EF3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45B0547"/>
    <w:multiLevelType w:val="singleLevel"/>
    <w:tmpl w:val="48A0A206"/>
    <w:lvl w:ilvl="0">
      <w:start w:val="1"/>
      <w:numFmt w:val="decimal"/>
      <w:lvlText w:val="%1."/>
      <w:lvlJc w:val="left"/>
      <w:pPr>
        <w:tabs>
          <w:tab w:val="num" w:pos="360"/>
        </w:tabs>
        <w:ind w:left="360" w:hanging="360"/>
      </w:pPr>
    </w:lvl>
  </w:abstractNum>
  <w:abstractNum w:abstractNumId="47">
    <w:nsid w:val="7A5555E2"/>
    <w:multiLevelType w:val="singleLevel"/>
    <w:tmpl w:val="48A0A206"/>
    <w:lvl w:ilvl="0">
      <w:start w:val="1"/>
      <w:numFmt w:val="decimal"/>
      <w:lvlText w:val="%1."/>
      <w:lvlJc w:val="left"/>
      <w:pPr>
        <w:tabs>
          <w:tab w:val="num" w:pos="360"/>
        </w:tabs>
        <w:ind w:left="360" w:hanging="360"/>
      </w:pPr>
    </w:lvl>
  </w:abstractNum>
  <w:abstractNum w:abstractNumId="48">
    <w:nsid w:val="7ADC2648"/>
    <w:multiLevelType w:val="hybridMultilevel"/>
    <w:tmpl w:val="0A2219D4"/>
    <w:lvl w:ilvl="0">
      <w:start w:val="1"/>
      <w:numFmt w:val="decimal"/>
      <w:lvlText w:val="%1."/>
      <w:lvlJc w:val="left"/>
      <w:pPr>
        <w:tabs>
          <w:tab w:val="num" w:pos="290"/>
        </w:tabs>
        <w:ind w:left="290" w:hanging="360"/>
      </w:pPr>
    </w:lvl>
    <w:lvl w:ilvl="1">
      <w:start w:val="1"/>
      <w:numFmt w:val="lowerLetter"/>
      <w:lvlText w:val="%2."/>
      <w:lvlJc w:val="left"/>
      <w:pPr>
        <w:tabs>
          <w:tab w:val="num" w:pos="1010"/>
        </w:tabs>
        <w:ind w:left="1010" w:hanging="360"/>
      </w:pPr>
    </w:lvl>
    <w:lvl w:ilvl="2">
      <w:start w:val="1"/>
      <w:numFmt w:val="lowerRoman"/>
      <w:lvlText w:val="%3."/>
      <w:lvlJc w:val="right"/>
      <w:pPr>
        <w:tabs>
          <w:tab w:val="num" w:pos="1730"/>
        </w:tabs>
        <w:ind w:left="1730" w:hanging="180"/>
      </w:pPr>
    </w:lvl>
    <w:lvl w:ilvl="3">
      <w:start w:val="1"/>
      <w:numFmt w:val="decimal"/>
      <w:lvlText w:val="%4."/>
      <w:lvlJc w:val="left"/>
      <w:pPr>
        <w:tabs>
          <w:tab w:val="num" w:pos="2450"/>
        </w:tabs>
        <w:ind w:left="2450" w:hanging="360"/>
      </w:pPr>
    </w:lvl>
    <w:lvl w:ilvl="4">
      <w:start w:val="1"/>
      <w:numFmt w:val="lowerLetter"/>
      <w:lvlText w:val="%5."/>
      <w:lvlJc w:val="left"/>
      <w:pPr>
        <w:tabs>
          <w:tab w:val="num" w:pos="3170"/>
        </w:tabs>
        <w:ind w:left="3170" w:hanging="360"/>
      </w:pPr>
    </w:lvl>
    <w:lvl w:ilvl="5">
      <w:start w:val="1"/>
      <w:numFmt w:val="lowerRoman"/>
      <w:lvlText w:val="%6."/>
      <w:lvlJc w:val="right"/>
      <w:pPr>
        <w:tabs>
          <w:tab w:val="num" w:pos="3890"/>
        </w:tabs>
        <w:ind w:left="3890" w:hanging="180"/>
      </w:pPr>
    </w:lvl>
    <w:lvl w:ilvl="6">
      <w:start w:val="1"/>
      <w:numFmt w:val="decimal"/>
      <w:lvlText w:val="%7."/>
      <w:lvlJc w:val="left"/>
      <w:pPr>
        <w:tabs>
          <w:tab w:val="num" w:pos="4610"/>
        </w:tabs>
        <w:ind w:left="4610" w:hanging="360"/>
      </w:pPr>
    </w:lvl>
    <w:lvl w:ilvl="7">
      <w:start w:val="1"/>
      <w:numFmt w:val="lowerLetter"/>
      <w:lvlText w:val="%8."/>
      <w:lvlJc w:val="left"/>
      <w:pPr>
        <w:tabs>
          <w:tab w:val="num" w:pos="5330"/>
        </w:tabs>
        <w:ind w:left="5330" w:hanging="360"/>
      </w:pPr>
    </w:lvl>
    <w:lvl w:ilvl="8">
      <w:start w:val="1"/>
      <w:numFmt w:val="lowerRoman"/>
      <w:lvlText w:val="%9."/>
      <w:lvlJc w:val="right"/>
      <w:pPr>
        <w:tabs>
          <w:tab w:val="num" w:pos="6050"/>
        </w:tabs>
        <w:ind w:left="6050" w:hanging="180"/>
      </w:pPr>
    </w:lvl>
  </w:abstractNum>
  <w:abstractNum w:abstractNumId="49">
    <w:nsid w:val="7F801900"/>
    <w:multiLevelType w:val="singleLevel"/>
    <w:tmpl w:val="48A0A206"/>
    <w:lvl w:ilvl="0">
      <w:start w:val="1"/>
      <w:numFmt w:val="decimal"/>
      <w:lvlText w:val="%1."/>
      <w:lvlJc w:val="left"/>
      <w:pPr>
        <w:tabs>
          <w:tab w:val="num" w:pos="360"/>
        </w:tabs>
        <w:ind w:left="360" w:hanging="360"/>
      </w:pPr>
    </w:lvl>
  </w:abstractNum>
  <w:abstractNum w:abstractNumId="50">
    <w:nsid w:val="7FE3022F"/>
    <w:multiLevelType w:val="hybridMultilevel"/>
    <w:tmpl w:val="22906546"/>
    <w:lvl w:ilvl="0">
      <w:start w:val="1"/>
      <w:numFmt w:val="decimal"/>
      <w:lvlText w:val="%1."/>
      <w:lvlJc w:val="left"/>
      <w:pPr>
        <w:tabs>
          <w:tab w:val="num" w:pos="365"/>
        </w:tabs>
        <w:ind w:left="365" w:hanging="435"/>
      </w:pPr>
    </w:lvl>
    <w:lvl w:ilvl="1">
      <w:start w:val="1"/>
      <w:numFmt w:val="lowerLetter"/>
      <w:lvlText w:val="%2."/>
      <w:lvlJc w:val="left"/>
      <w:pPr>
        <w:tabs>
          <w:tab w:val="num" w:pos="1010"/>
        </w:tabs>
        <w:ind w:left="1010" w:hanging="360"/>
      </w:pPr>
    </w:lvl>
    <w:lvl w:ilvl="2">
      <w:start w:val="1"/>
      <w:numFmt w:val="lowerRoman"/>
      <w:lvlText w:val="%3."/>
      <w:lvlJc w:val="right"/>
      <w:pPr>
        <w:tabs>
          <w:tab w:val="num" w:pos="1730"/>
        </w:tabs>
        <w:ind w:left="1730" w:hanging="180"/>
      </w:pPr>
    </w:lvl>
    <w:lvl w:ilvl="3">
      <w:start w:val="1"/>
      <w:numFmt w:val="decimal"/>
      <w:lvlText w:val="%4."/>
      <w:lvlJc w:val="left"/>
      <w:pPr>
        <w:tabs>
          <w:tab w:val="num" w:pos="2450"/>
        </w:tabs>
        <w:ind w:left="2450" w:hanging="360"/>
      </w:pPr>
    </w:lvl>
    <w:lvl w:ilvl="4">
      <w:start w:val="1"/>
      <w:numFmt w:val="lowerLetter"/>
      <w:lvlText w:val="%5."/>
      <w:lvlJc w:val="left"/>
      <w:pPr>
        <w:tabs>
          <w:tab w:val="num" w:pos="3170"/>
        </w:tabs>
        <w:ind w:left="3170" w:hanging="360"/>
      </w:pPr>
    </w:lvl>
    <w:lvl w:ilvl="5">
      <w:start w:val="1"/>
      <w:numFmt w:val="lowerRoman"/>
      <w:lvlText w:val="%6."/>
      <w:lvlJc w:val="right"/>
      <w:pPr>
        <w:tabs>
          <w:tab w:val="num" w:pos="3890"/>
        </w:tabs>
        <w:ind w:left="3890" w:hanging="180"/>
      </w:pPr>
    </w:lvl>
    <w:lvl w:ilvl="6">
      <w:start w:val="1"/>
      <w:numFmt w:val="decimal"/>
      <w:lvlText w:val="%7."/>
      <w:lvlJc w:val="left"/>
      <w:pPr>
        <w:tabs>
          <w:tab w:val="num" w:pos="4610"/>
        </w:tabs>
        <w:ind w:left="4610" w:hanging="360"/>
      </w:pPr>
    </w:lvl>
    <w:lvl w:ilvl="7">
      <w:start w:val="1"/>
      <w:numFmt w:val="lowerLetter"/>
      <w:lvlText w:val="%8."/>
      <w:lvlJc w:val="left"/>
      <w:pPr>
        <w:tabs>
          <w:tab w:val="num" w:pos="5330"/>
        </w:tabs>
        <w:ind w:left="5330" w:hanging="360"/>
      </w:pPr>
    </w:lvl>
    <w:lvl w:ilvl="8">
      <w:start w:val="1"/>
      <w:numFmt w:val="lowerRoman"/>
      <w:lvlText w:val="%9."/>
      <w:lvlJc w:val="right"/>
      <w:pPr>
        <w:tabs>
          <w:tab w:val="num" w:pos="6050"/>
        </w:tabs>
        <w:ind w:left="6050" w:hanging="180"/>
      </w:pPr>
    </w:lvl>
  </w:abstractNum>
  <w:num w:numId="1">
    <w:abstractNumId w:val="24"/>
  </w:num>
  <w:num w:numId="2">
    <w:abstractNumId w:val="26"/>
  </w:num>
  <w:num w:numId="3">
    <w:abstractNumId w:val="17"/>
  </w:num>
  <w:num w:numId="4">
    <w:abstractNumId w:val="16"/>
  </w:num>
  <w:num w:numId="5">
    <w:abstractNumId w:val="6"/>
  </w:num>
  <w:num w:numId="6">
    <w:abstractNumId w:val="27"/>
  </w:num>
  <w:num w:numId="7">
    <w:abstractNumId w:val="3"/>
  </w:num>
  <w:num w:numId="8">
    <w:abstractNumId w:val="47"/>
  </w:num>
  <w:num w:numId="9">
    <w:abstractNumId w:val="49"/>
  </w:num>
  <w:num w:numId="10">
    <w:abstractNumId w:val="23"/>
  </w:num>
  <w:num w:numId="11">
    <w:abstractNumId w:val="13"/>
  </w:num>
  <w:num w:numId="12">
    <w:abstractNumId w:val="28"/>
  </w:num>
  <w:num w:numId="13">
    <w:abstractNumId w:val="37"/>
  </w:num>
  <w:num w:numId="14">
    <w:abstractNumId w:val="30"/>
  </w:num>
  <w:num w:numId="15">
    <w:abstractNumId w:val="46"/>
  </w:num>
  <w:num w:numId="16">
    <w:abstractNumId w:val="21"/>
  </w:num>
  <w:num w:numId="17">
    <w:abstractNumId w:val="42"/>
  </w:num>
  <w:num w:numId="18">
    <w:abstractNumId w:val="19"/>
  </w:num>
  <w:num w:numId="19">
    <w:abstractNumId w:val="11"/>
  </w:num>
  <w:num w:numId="20">
    <w:abstractNumId w:val="7"/>
  </w:num>
  <w:num w:numId="21">
    <w:abstractNumId w:val="0"/>
  </w:num>
  <w:num w:numId="22">
    <w:abstractNumId w:val="31"/>
  </w:num>
  <w:num w:numId="23">
    <w:abstractNumId w:val="34"/>
  </w:num>
  <w:num w:numId="24">
    <w:abstractNumId w:val="43"/>
  </w:num>
  <w:num w:numId="25">
    <w:abstractNumId w:val="36"/>
  </w:num>
  <w:num w:numId="26">
    <w:abstractNumId w:val="10"/>
  </w:num>
  <w:num w:numId="27">
    <w:abstractNumId w:val="39"/>
  </w:num>
  <w:num w:numId="28">
    <w:abstractNumId w:val="35"/>
  </w:num>
  <w:num w:numId="29">
    <w:abstractNumId w:val="8"/>
  </w:num>
  <w:num w:numId="30">
    <w:abstractNumId w:val="44"/>
  </w:num>
  <w:num w:numId="31">
    <w:abstractNumId w:val="40"/>
  </w:num>
  <w:num w:numId="32">
    <w:abstractNumId w:val="48"/>
  </w:num>
  <w:num w:numId="33">
    <w:abstractNumId w:val="4"/>
  </w:num>
  <w:num w:numId="34">
    <w:abstractNumId w:val="2"/>
  </w:num>
  <w:num w:numId="35">
    <w:abstractNumId w:val="41"/>
  </w:num>
  <w:num w:numId="36">
    <w:abstractNumId w:val="50"/>
  </w:num>
  <w:num w:numId="37">
    <w:abstractNumId w:val="14"/>
  </w:num>
  <w:num w:numId="38">
    <w:abstractNumId w:val="33"/>
  </w:num>
  <w:num w:numId="39">
    <w:abstractNumId w:val="38"/>
  </w:num>
  <w:num w:numId="40">
    <w:abstractNumId w:val="1"/>
  </w:num>
  <w:num w:numId="41">
    <w:abstractNumId w:val="5"/>
  </w:num>
  <w:num w:numId="42">
    <w:abstractNumId w:val="15"/>
  </w:num>
  <w:num w:numId="43">
    <w:abstractNumId w:val="22"/>
  </w:num>
  <w:num w:numId="44">
    <w:abstractNumId w:val="45"/>
  </w:num>
  <w:num w:numId="45">
    <w:abstractNumId w:val="20"/>
  </w:num>
  <w:num w:numId="46">
    <w:abstractNumId w:val="25"/>
  </w:num>
  <w:num w:numId="47">
    <w:abstractNumId w:val="9"/>
  </w:num>
  <w:num w:numId="48">
    <w:abstractNumId w:val="12"/>
  </w:num>
  <w:num w:numId="49">
    <w:abstractNumId w:val="29"/>
  </w:num>
  <w:num w:numId="50">
    <w:abstractNumId w:val="18"/>
  </w:num>
  <w:num w:numId="5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Web"/>
    <w:qFormat/>
    <w:pPr>
      <w:widowControl w:val="0"/>
      <w:autoSpaceDE w:val="0"/>
      <w:autoSpaceDN w:val="0"/>
      <w:bidi w:val="0"/>
      <w:adjustRightInd w:val="0"/>
      <w:spacing w:after="120"/>
      <w:ind w:left="0" w:right="0"/>
      <w:jc w:val="both"/>
      <w:textAlignment w:val="auto"/>
    </w:pPr>
    <w:rPr>
      <w:sz w:val="24"/>
      <w:szCs w:val="24"/>
      <w:rtl w:val="0"/>
      <w:lang w:val="en-US" w:bidi="ar-SA"/>
    </w:rPr>
  </w:style>
  <w:style w:type="paragraph" w:styleId="Heading1">
    <w:name w:val="heading 1"/>
    <w:basedOn w:val="Normal"/>
    <w:next w:val="Normal"/>
    <w:uiPriority w:val="9"/>
    <w:qFormat/>
    <w:pPr>
      <w:keepNext/>
      <w:jc w:val="both"/>
      <w:outlineLvl w:val="0"/>
    </w:pPr>
    <w:rPr>
      <w:b/>
      <w:noProof/>
      <w:lang w:val="sk-SK"/>
    </w:rPr>
  </w:style>
  <w:style w:type="paragraph" w:styleId="Heading2">
    <w:name w:val="heading 2"/>
    <w:basedOn w:val="Normal"/>
    <w:next w:val="Normal"/>
    <w:uiPriority w:val="9"/>
    <w:qFormat/>
    <w:pPr>
      <w:keepNext/>
      <w:jc w:val="center"/>
      <w:outlineLvl w:val="1"/>
    </w:pPr>
    <w:rPr>
      <w:b/>
      <w:noProof/>
      <w:lang w:val="sk-SK"/>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TABUKA-nadpis">
    <w:name w:val="TABUĽKA-nadpis"/>
    <w:pPr>
      <w:widowControl w:val="0"/>
      <w:autoSpaceDE w:val="0"/>
      <w:autoSpaceDN w:val="0"/>
      <w:bidi w:val="0"/>
      <w:adjustRightInd w:val="0"/>
      <w:ind w:left="0" w:right="0"/>
      <w:jc w:val="center"/>
      <w:textAlignment w:val="auto"/>
    </w:pPr>
    <w:rPr>
      <w:b/>
      <w:sz w:val="24"/>
      <w:szCs w:val="24"/>
      <w:rtl w:val="0"/>
      <w:lang w:val="sk-SK" w:bidi="ar-SA"/>
    </w:rPr>
  </w:style>
  <w:style w:type="paragraph" w:styleId="NormalWeb">
    <w:name w:val="Normal (Web)"/>
    <w:basedOn w:val="Normal"/>
    <w:pPr>
      <w:jc w:val="both"/>
    </w:pPr>
  </w:style>
  <w:style w:type="paragraph" w:customStyle="1" w:styleId="TABUKA-nadpismal">
    <w:name w:val="TABUĽKA-nadpis malý"/>
    <w:pPr>
      <w:widowControl w:val="0"/>
      <w:autoSpaceDE w:val="0"/>
      <w:autoSpaceDN w:val="0"/>
      <w:bidi w:val="0"/>
      <w:adjustRightInd w:val="0"/>
      <w:ind w:left="0" w:right="0"/>
      <w:jc w:val="left"/>
      <w:textAlignment w:val="auto"/>
    </w:pPr>
    <w:rPr>
      <w:b/>
      <w:sz w:val="24"/>
      <w:szCs w:val="24"/>
      <w:rtl w:val="0"/>
      <w:lang w:val="sk-SK" w:bidi="ar-SA"/>
    </w:rPr>
  </w:style>
  <w:style w:type="paragraph" w:styleId="Title">
    <w:name w:val="Title"/>
    <w:basedOn w:val="Normal"/>
    <w:uiPriority w:val="10"/>
    <w:qFormat/>
    <w:pPr>
      <w:spacing w:after="0"/>
      <w:jc w:val="center"/>
    </w:pPr>
    <w:rPr>
      <w:b/>
      <w:szCs w:val="20"/>
      <w:lang w:val="sk-SK"/>
    </w:rPr>
  </w:style>
  <w:style w:type="paragraph" w:styleId="Footer">
    <w:name w:val="footer"/>
    <w:basedOn w:val="Normal"/>
    <w:pPr>
      <w:tabs>
        <w:tab w:val="center" w:pos="4536"/>
        <w:tab w:val="right" w:pos="9072"/>
      </w:tabs>
      <w:jc w:val="both"/>
    </w:pPr>
  </w:style>
  <w:style w:type="character" w:styleId="PageNumber">
    <w:name w:val="page number"/>
    <w:basedOn w:val="DefaultParagraphFont"/>
  </w:style>
  <w:style w:type="paragraph" w:customStyle="1" w:styleId="TABUKA-nadpisstpcov">
    <w:name w:val="TABUĽKA-nadpis stĺpcov"/>
    <w:pPr>
      <w:widowControl w:val="0"/>
      <w:autoSpaceDE w:val="0"/>
      <w:autoSpaceDN w:val="0"/>
      <w:bidi w:val="0"/>
      <w:adjustRightInd w:val="0"/>
      <w:ind w:left="0" w:right="0"/>
      <w:jc w:val="left"/>
      <w:textAlignment w:val="auto"/>
    </w:pPr>
    <w:rPr>
      <w:b/>
      <w:sz w:val="24"/>
      <w:szCs w:val="24"/>
      <w:rtl w:val="0"/>
      <w:lang w:val="sk-SK" w:bidi="ar-SA"/>
    </w:rPr>
  </w:style>
  <w:style w:type="paragraph" w:customStyle="1" w:styleId="TABUKA-textsmernice">
    <w:name w:val="TABUĽKA-text smernice"/>
    <w:pPr>
      <w:widowControl w:val="0"/>
      <w:autoSpaceDE w:val="0"/>
      <w:autoSpaceDN w:val="0"/>
      <w:bidi w:val="0"/>
      <w:adjustRightInd w:val="0"/>
      <w:ind w:left="0" w:right="0"/>
      <w:jc w:val="both"/>
      <w:textAlignment w:val="auto"/>
    </w:pPr>
    <w:rPr>
      <w:sz w:val="20"/>
      <w:szCs w:val="24"/>
      <w:rtl w:val="0"/>
      <w:lang w:val="sk-SK" w:bidi="ar-SA"/>
    </w:rPr>
  </w:style>
  <w:style w:type="paragraph" w:styleId="BodyText">
    <w:name w:val="Body Text"/>
    <w:basedOn w:val="Normal"/>
    <w:pPr>
      <w:spacing w:after="0"/>
      <w:jc w:val="both"/>
    </w:pPr>
    <w:rPr>
      <w:sz w:val="28"/>
      <w:szCs w:val="20"/>
      <w:lang w:val="sk-SK"/>
    </w:rPr>
  </w:style>
  <w:style w:type="paragraph" w:styleId="FootnoteText">
    <w:name w:val="footnote text"/>
    <w:basedOn w:val="Normal"/>
    <w:semiHidden/>
    <w:pPr>
      <w:spacing w:after="0"/>
      <w:jc w:val="left"/>
    </w:pPr>
    <w:rPr>
      <w:sz w:val="20"/>
      <w:szCs w:val="20"/>
      <w:lang w:val="sk-SK"/>
    </w:rPr>
  </w:style>
  <w:style w:type="character" w:styleId="FootnoteReference">
    <w:name w:val="footnote reference"/>
    <w:basedOn w:val="DefaultParagraphFont"/>
    <w:semiHidden/>
    <w:rPr>
      <w:vertAlign w:val="superscript"/>
    </w:rPr>
  </w:style>
  <w:style w:type="paragraph" w:customStyle="1" w:styleId="Textbubliny">
    <w:name w:val="Text bubliny"/>
    <w:basedOn w:val="Normal"/>
    <w:semiHidden/>
    <w:pPr>
      <w:jc w:val="both"/>
    </w:pPr>
    <w:rPr>
      <w:rFonts w:ascii="Tahoma" w:hAnsi="Tahoma" w:cs="Tahoma"/>
      <w:sz w:val="16"/>
      <w:szCs w:val="16"/>
    </w:rPr>
  </w:style>
  <w:style w:type="paragraph" w:styleId="BodyText3">
    <w:name w:val="Body Text 3"/>
    <w:basedOn w:val="Normal"/>
    <w:pPr>
      <w:spacing w:after="0"/>
      <w:jc w:val="both"/>
    </w:pPr>
    <w:rPr>
      <w:sz w:val="20"/>
      <w:szCs w:val="20"/>
    </w:rPr>
  </w:style>
  <w:style w:type="paragraph" w:styleId="BodyTextIndent">
    <w:name w:val="Body Text Indent"/>
    <w:basedOn w:val="Normal"/>
    <w:pPr>
      <w:ind w:left="283"/>
      <w:jc w:val="left"/>
    </w:pPr>
    <w:rPr>
      <w:szCs w:val="20"/>
    </w:rPr>
  </w:style>
  <w:style w:type="paragraph" w:styleId="BodyTextIndent3">
    <w:name w:val="Body Text Indent 3"/>
    <w:basedOn w:val="Normal"/>
    <w:pPr>
      <w:tabs>
        <w:tab w:val="left" w:pos="0"/>
      </w:tabs>
      <w:overflowPunct w:val="0"/>
      <w:autoSpaceDE/>
      <w:autoSpaceDN/>
      <w:spacing w:after="0" w:line="360" w:lineRule="auto"/>
      <w:ind w:left="284" w:hanging="284"/>
      <w:jc w:val="both"/>
      <w:textAlignment w:val="baseline"/>
    </w:pPr>
    <w:rPr>
      <w:szCs w:val="20"/>
      <w:lang w:val="sk-SK"/>
    </w:rPr>
  </w:style>
  <w:style w:type="paragraph" w:styleId="BodyText2">
    <w:name w:val="Body Text 2"/>
    <w:basedOn w:val="Normal"/>
    <w:pPr>
      <w:spacing w:line="480" w:lineRule="auto"/>
      <w:jc w:val="both"/>
    </w:pPr>
  </w:style>
  <w:style w:type="paragraph" w:styleId="BodyTextIndent2">
    <w:name w:val="Body Text Indent 2"/>
    <w:basedOn w:val="Normal"/>
    <w:pPr>
      <w:spacing w:line="480" w:lineRule="auto"/>
      <w:ind w:left="283"/>
      <w:jc w:val="both"/>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22501</Words>
  <Characters>128259</Characters>
  <Application>Microsoft Office Word</Application>
  <DocSecurity>0</DocSecurity>
  <Lines>0</Lines>
  <Paragraphs>0</Paragraphs>
  <ScaleCrop>false</ScaleCrop>
  <Company>Ministry of Finance</Company>
  <LinksUpToDate>false</LinksUpToDate>
  <CharactersWithSpaces>157511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TABUĹKA ZHODY</dc:title>
  <dc:creator>Novackova Daniela</dc:creator>
  <cp:lastModifiedBy>Daša Kučerová</cp:lastModifiedBy>
  <cp:revision>2</cp:revision>
  <cp:lastPrinted>2004-06-07T10:36:00Z</cp:lastPrinted>
  <dcterms:created xsi:type="dcterms:W3CDTF">2004-06-24T10:28:00Z</dcterms:created>
  <dcterms:modified xsi:type="dcterms:W3CDTF">2004-06-24T10:28:00Z</dcterms:modified>
</cp:coreProperties>
</file>