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ABUKA-nadpis"/>
        <w:spacing w:after="120"/>
        <w:rPr>
          <w:rFonts w:ascii="Times New Roman" w:hAnsi="Times New Roman" w:cs="Times New Roman"/>
        </w:rPr>
      </w:pPr>
      <w:r>
        <w:rPr>
          <w:rFonts w:ascii="Times New Roman" w:hAnsi="Times New Roman" w:cs="Times New Roman"/>
        </w:rPr>
        <w:t>TABUĽKA  ZHODY</w:t>
      </w:r>
    </w:p>
    <w:p>
      <w:pPr>
        <w:pStyle w:val="TABUKA-nadpis"/>
        <w:rPr>
          <w:rFonts w:ascii="Times New Roman" w:hAnsi="Times New Roman" w:cs="Times New Roman"/>
        </w:rPr>
      </w:pPr>
      <w:r>
        <w:rPr>
          <w:rFonts w:ascii="Times New Roman" w:hAnsi="Times New Roman" w:cs="Times New Roman"/>
        </w:rPr>
        <w:t>návrhu zákona, ktorým sa mení a dopĺňa zákon č. 95/2002 Z. z. o poisťovníctve a o zmene a doplnení niektorých zákonov v znení neskorších predpisov</w:t>
      </w:r>
    </w:p>
    <w:p>
      <w:pPr>
        <w:pStyle w:val="TABUKA-nadpis"/>
        <w:rPr>
          <w:rFonts w:ascii="Times New Roman" w:hAnsi="Times New Roman" w:cs="Times New Roman"/>
        </w:rPr>
      </w:pPr>
      <w:r>
        <w:rPr>
          <w:rFonts w:ascii="Times New Roman" w:hAnsi="Times New Roman" w:cs="Times New Roman"/>
        </w:rPr>
        <w:t>s právom Európskych spoločenstiev a právom Európskej únie</w:t>
      </w:r>
    </w:p>
    <w:p>
      <w:pPr>
        <w:pStyle w:val="TABUKA-nadpis"/>
        <w:rPr>
          <w:rFonts w:ascii="Times New Roman" w:hAnsi="Times New Roman" w:cs="Times New Roman"/>
        </w:rPr>
      </w:pPr>
    </w:p>
    <w:tbl>
      <w:tblPr>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5175"/>
        <w:gridCol w:w="425"/>
        <w:gridCol w:w="851"/>
        <w:gridCol w:w="708"/>
        <w:gridCol w:w="5244"/>
        <w:gridCol w:w="425"/>
        <w:gridCol w:w="709"/>
        <w:gridCol w:w="1135"/>
        <w:gridCol w:w="105"/>
        <w:gridCol w:w="462"/>
      </w:tblGrid>
      <w:tr>
        <w:tblPrEx>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6096"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mal"/>
              <w:rPr>
                <w:rFonts w:ascii="Times New Roman" w:hAnsi="Times New Roman" w:cs="Times New Roman"/>
              </w:rPr>
            </w:pPr>
            <w:r>
              <w:rPr>
                <w:rFonts w:ascii="Times New Roman" w:hAnsi="Times New Roman" w:cs="Times New Roman"/>
              </w:rPr>
              <w:t>Právny akt ES/EÚ</w:t>
            </w:r>
          </w:p>
          <w:p>
            <w:pPr>
              <w:pStyle w:val="TABUKA-nadpismal"/>
              <w:rPr>
                <w:rFonts w:ascii="Times New Roman" w:hAnsi="Times New Roman" w:cs="Times New Roman"/>
              </w:rPr>
            </w:pPr>
          </w:p>
          <w:p>
            <w:pPr>
              <w:pStyle w:val="TABUKA-nadpismal"/>
              <w:rPr>
                <w:rFonts w:ascii="Times New Roman" w:hAnsi="Times New Roman" w:cs="Times New Roman"/>
              </w:rPr>
            </w:pPr>
            <w:r>
              <w:rPr>
                <w:rFonts w:ascii="Times New Roman" w:hAnsi="Times New Roman" w:cs="Times New Roman"/>
              </w:rPr>
              <w:t>Smernica 98/78/ES</w:t>
            </w:r>
            <w:r>
              <w:rPr>
                <w:rFonts w:ascii="Times New Roman" w:hAnsi="Times New Roman" w:cs="Times New Roman"/>
              </w:rPr>
              <w:t xml:space="preserve"> EURÓPSKEHO PARLAMENTU A RADY z 27. októbra 1998</w:t>
            </w:r>
          </w:p>
          <w:p>
            <w:pPr>
              <w:pStyle w:val="TABUKA-nadpismal"/>
              <w:rPr>
                <w:rFonts w:ascii="Times New Roman" w:hAnsi="Times New Roman" w:cs="Times New Roman"/>
              </w:rPr>
            </w:pPr>
            <w:r>
              <w:rPr>
                <w:rFonts w:ascii="Times New Roman" w:hAnsi="Times New Roman" w:cs="Times New Roman"/>
              </w:rPr>
              <w:t>o doplnkovom dozore poisťovacích spoločností v skupine poisťovní</w:t>
            </w:r>
          </w:p>
          <w:p>
            <w:pPr>
              <w:pStyle w:val="TABUKA-nadpismal"/>
              <w:rPr>
                <w:rFonts w:ascii="Times New Roman" w:hAnsi="Times New Roman" w:cs="Times New Roman"/>
              </w:rPr>
            </w:pPr>
          </w:p>
        </w:tc>
        <w:tc>
          <w:tcPr>
            <w:tcW w:w="9639" w:type="dxa"/>
            <w:gridSpan w:val="8"/>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mal"/>
              <w:rPr>
                <w:rFonts w:ascii="Times New Roman" w:hAnsi="Times New Roman" w:cs="Times New Roman"/>
              </w:rPr>
            </w:pPr>
            <w:r>
              <w:rPr>
                <w:rFonts w:ascii="Times New Roman" w:hAnsi="Times New Roman" w:cs="Times New Roman"/>
              </w:rPr>
              <w:t>Všeobecne záväzné právne predpisy SR</w:t>
            </w:r>
          </w:p>
          <w:p>
            <w:pPr>
              <w:pStyle w:val="TABUKA-nadpismal"/>
              <w:rPr>
                <w:rFonts w:ascii="Times New Roman" w:hAnsi="Times New Roman" w:cs="Times New Roman"/>
              </w:rPr>
            </w:pPr>
          </w:p>
          <w:p>
            <w:pPr>
              <w:pStyle w:val="TABUKA-nadpismal"/>
              <w:spacing w:after="120"/>
              <w:jc w:val="both"/>
              <w:rPr>
                <w:rFonts w:ascii="Times New Roman" w:hAnsi="Times New Roman" w:cs="Times New Roman"/>
              </w:rPr>
            </w:pPr>
            <w:r>
              <w:rPr>
                <w:rFonts w:ascii="Times New Roman" w:hAnsi="Times New Roman" w:cs="Times New Roman"/>
              </w:rPr>
              <w:t>Návrh zákona, ktorým sa mení a dopĺňa zákon č. 95/2002 Z. z. o poisťovníctve a o zmene a doplnení niekt</w:t>
            </w:r>
            <w:r>
              <w:rPr>
                <w:rFonts w:ascii="Times New Roman" w:hAnsi="Times New Roman" w:cs="Times New Roman"/>
              </w:rPr>
              <w:t>orých zákonov v znení neskorších predpisov</w:t>
            </w:r>
          </w:p>
          <w:p>
            <w:pPr>
              <w:pStyle w:val="TABUKA-nadpismal"/>
              <w:spacing w:after="120"/>
              <w:jc w:val="both"/>
              <w:rPr>
                <w:rFonts w:ascii="Times New Roman" w:hAnsi="Times New Roman" w:cs="Times New Roman"/>
              </w:rPr>
            </w:pPr>
            <w:r>
              <w:rPr>
                <w:rFonts w:ascii="Times New Roman" w:hAnsi="Times New Roman" w:cs="Times New Roman"/>
              </w:rPr>
              <w:t>Zákon č. 95/2002 Z.z. o poisťovníctve a o zmene a doplnení niektorých zákonov v znení neskorších predpisov</w:t>
            </w:r>
          </w:p>
          <w:p>
            <w:pPr>
              <w:pStyle w:val="TABUKA-nadpismal"/>
              <w:spacing w:after="120"/>
              <w:jc w:val="both"/>
              <w:rPr>
                <w:rFonts w:ascii="Times New Roman" w:hAnsi="Times New Roman" w:cs="Times New Roman"/>
              </w:rPr>
            </w:pPr>
            <w:r>
              <w:rPr>
                <w:rFonts w:ascii="Times New Roman" w:hAnsi="Times New Roman" w:cs="Times New Roman"/>
              </w:rPr>
              <w:t>Zákon č. 96/2002 Z.z. o dohľade nad finančným trhom a o zmene a doplnení niektorých zákonov v znení neskor</w:t>
            </w:r>
            <w:r>
              <w:rPr>
                <w:rFonts w:ascii="Times New Roman" w:hAnsi="Times New Roman" w:cs="Times New Roman"/>
              </w:rPr>
              <w:t>ších predpisov</w:t>
            </w:r>
          </w:p>
          <w:p>
            <w:pPr>
              <w:pStyle w:val="TABUKA-nadpismal"/>
              <w:spacing w:after="120"/>
              <w:jc w:val="both"/>
              <w:rPr>
                <w:rFonts w:ascii="Times New Roman" w:hAnsi="Times New Roman" w:cs="Times New Roman"/>
              </w:rPr>
            </w:pPr>
          </w:p>
          <w:p>
            <w:pPr>
              <w:pStyle w:val="TABUKA-nadpismal"/>
              <w:rPr>
                <w:rFonts w:ascii="Times New Roman" w:hAnsi="Times New Roman" w:cs="Times New Roman"/>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Čl.</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Text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Spôsob transpozície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Číslo</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Článok</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Text</w:t>
            </w:r>
          </w:p>
          <w:p>
            <w:pPr>
              <w:pStyle w:val="TABUKA-nadpisstpcov"/>
              <w:rPr>
                <w:rFonts w:ascii="Times New Roman" w:hAnsi="Times New Roman" w:cs="Times New Roman"/>
                <w:sz w:val="20"/>
                <w:szCs w:val="20"/>
              </w:rPr>
            </w:pPr>
          </w:p>
          <w:p>
            <w:pPr>
              <w:pStyle w:val="TABUKA-nadpisstpcov"/>
              <w:rPr>
                <w:rFonts w:ascii="Times New Roman" w:hAnsi="Times New Roman" w:cs="Times New Roman"/>
                <w:sz w:val="20"/>
                <w:szCs w:val="20"/>
              </w:rPr>
            </w:pPr>
          </w:p>
          <w:p>
            <w:pPr>
              <w:pStyle w:val="TABUKA-nadpisstpcov"/>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Zhoda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Administratívna infraštruktúra</w:t>
            </w: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Pozná</w:t>
            </w:r>
          </w:p>
          <w:p>
            <w:pPr>
              <w:pStyle w:val="TABUKA-nadpisstpcov"/>
              <w:rPr>
                <w:rFonts w:ascii="Times New Roman" w:hAnsi="Times New Roman" w:cs="Times New Roman"/>
                <w:sz w:val="20"/>
                <w:szCs w:val="20"/>
              </w:rPr>
            </w:pPr>
            <w:r>
              <w:rPr>
                <w:rFonts w:ascii="Times New Roman" w:hAnsi="Times New Roman" w:cs="Times New Roman"/>
                <w:sz w:val="20"/>
                <w:szCs w:val="20"/>
              </w:rPr>
              <w:t>mky</w:t>
            </w: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Štádium legislatívneho procesu</w:t>
            </w: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Čl. 1</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left"/>
              <w:rPr>
                <w:rFonts w:ascii="Times New Roman" w:hAnsi="Times New Roman" w:cs="Times New Roman"/>
                <w:b/>
                <w:sz w:val="18"/>
                <w:szCs w:val="18"/>
              </w:rPr>
            </w:pPr>
            <w:r>
              <w:rPr>
                <w:rFonts w:ascii="Times New Roman" w:hAnsi="Times New Roman" w:cs="Times New Roman"/>
                <w:b/>
                <w:sz w:val="18"/>
                <w:szCs w:val="18"/>
              </w:rPr>
              <w:t xml:space="preserve">Definície </w:t>
            </w:r>
          </w:p>
          <w:p>
            <w:pPr>
              <w:pStyle w:val="BodyText"/>
              <w:jc w:val="left"/>
              <w:rPr>
                <w:rFonts w:ascii="Times New Roman" w:hAnsi="Times New Roman" w:cs="Times New Roman"/>
                <w:sz w:val="18"/>
                <w:szCs w:val="18"/>
              </w:rPr>
            </w:pPr>
            <w:r>
              <w:rPr>
                <w:rFonts w:ascii="Times New Roman" w:hAnsi="Times New Roman" w:cs="Times New Roman"/>
                <w:sz w:val="18"/>
                <w:szCs w:val="18"/>
              </w:rPr>
              <w:t xml:space="preserve">Pre účely tejto smernice: </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poisťovacia spoločnosť</w:t>
            </w:r>
            <w:r>
              <w:rPr>
                <w:rFonts w:ascii="Times New Roman" w:hAnsi="Times New Roman" w:cs="Times New Roman"/>
                <w:sz w:val="18"/>
                <w:szCs w:val="18"/>
              </w:rPr>
              <w:t xml:space="preserve"> je spoločnosť, ktorej bolo udelené úradné povolenie v súlade s článkom 6 smernice 73/239/EHS, alebo článkom 6 smernice 79/267/EHS,</w:t>
            </w:r>
          </w:p>
          <w:p>
            <w:pPr>
              <w:spacing w:after="0"/>
              <w:jc w:val="left"/>
              <w:rPr>
                <w:rFonts w:ascii="Times New Roman" w:hAnsi="Times New Roman" w:cs="Times New Roman"/>
                <w:sz w:val="18"/>
                <w:szCs w:val="18"/>
              </w:rPr>
            </w:pPr>
          </w:p>
          <w:p>
            <w:pPr>
              <w:spacing w:after="0"/>
              <w:jc w:val="left"/>
              <w:rPr>
                <w:rFonts w:ascii="Times New Roman" w:hAnsi="Times New Roman" w:cs="Times New Roman"/>
                <w:sz w:val="18"/>
                <w:szCs w:val="18"/>
              </w:rPr>
            </w:pPr>
          </w:p>
          <w:p>
            <w:pPr>
              <w:spacing w:after="0"/>
              <w:jc w:val="left"/>
              <w:rPr>
                <w:rFonts w:ascii="Times New Roman" w:hAnsi="Times New Roman" w:cs="Times New Roman"/>
                <w:sz w:val="18"/>
                <w:szCs w:val="18"/>
              </w:rPr>
            </w:pP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 xml:space="preserve">poisťovacia spoločnosť nečlenského štátu </w:t>
            </w:r>
            <w:r>
              <w:rPr>
                <w:rFonts w:ascii="Times New Roman" w:hAnsi="Times New Roman" w:cs="Times New Roman"/>
                <w:sz w:val="18"/>
                <w:szCs w:val="18"/>
              </w:rPr>
              <w:t xml:space="preserve">je spoločnosť, ktorá si vyžaduje povolenie v súlade s článkom 6 smernice 73/239/EHS, alebo článku 6 smernice 79/267/EHS, ak má sídlo v spoločenstve, </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zaisťovacia spoločnosť</w:t>
            </w:r>
            <w:r>
              <w:rPr>
                <w:rFonts w:ascii="Times New Roman" w:hAnsi="Times New Roman" w:cs="Times New Roman"/>
                <w:sz w:val="18"/>
                <w:szCs w:val="18"/>
              </w:rPr>
              <w:t xml:space="preserve"> je spoločnosť iná, než je poisťovacia spoločnosť, alebo poisťovacia spoločnosť nečlenského štátu, ktorej hlavnou činnosťou je prevzatie rizika, ktoré na ňu preniesla poisťovacia spoločnosť, poisťovacia spoločnosť nečlenského štátu, alebo iná zaisťovacia</w:t>
            </w:r>
            <w:r>
              <w:rPr>
                <w:rFonts w:ascii="Times New Roman" w:hAnsi="Times New Roman" w:cs="Times New Roman"/>
                <w:i/>
                <w:sz w:val="18"/>
                <w:szCs w:val="18"/>
              </w:rPr>
              <w:t xml:space="preserve"> </w:t>
            </w:r>
            <w:r>
              <w:rPr>
                <w:rFonts w:ascii="Times New Roman" w:hAnsi="Times New Roman" w:cs="Times New Roman"/>
                <w:sz w:val="18"/>
                <w:szCs w:val="18"/>
              </w:rPr>
              <w:t>spoločnosť,</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 xml:space="preserve">materská spoločnosť </w:t>
            </w:r>
            <w:r>
              <w:rPr>
                <w:rFonts w:ascii="Times New Roman" w:hAnsi="Times New Roman" w:cs="Times New Roman"/>
                <w:sz w:val="18"/>
                <w:szCs w:val="18"/>
              </w:rPr>
              <w:t>je materská spoločnosť v súlade s významom článku 1 smernice 83/349/EHS (</w:t>
            </w:r>
            <w:r>
              <w:rPr>
                <w:rFonts w:ascii="Times New Roman" w:hAnsi="Times New Roman" w:cs="Times New Roman"/>
                <w:sz w:val="18"/>
                <w:szCs w:val="18"/>
                <w:vertAlign w:val="superscript"/>
              </w:rPr>
              <w:t>1</w:t>
            </w:r>
            <w:r>
              <w:rPr>
                <w:rFonts w:ascii="Times New Roman" w:hAnsi="Times New Roman" w:cs="Times New Roman"/>
                <w:sz w:val="18"/>
                <w:szCs w:val="18"/>
              </w:rPr>
              <w:t>) a akákoľvek spoločnosť, ktorá podľa úsudku príslušných orgánov, efektívne uplatňuje dominantný vplyv na druhú spoločnosť</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 xml:space="preserve">dcérska spoločnosť </w:t>
            </w:r>
            <w:r>
              <w:rPr>
                <w:rFonts w:ascii="Times New Roman" w:hAnsi="Times New Roman" w:cs="Times New Roman"/>
                <w:sz w:val="18"/>
                <w:szCs w:val="18"/>
              </w:rPr>
              <w:t xml:space="preserve">je dcérska spoločnosť v súlade s významom článku 1 smernice 83/349/EHS a akákoľvek spoločnosť na ktorú, podľa úsudku príslušných orgánov, materská spoločnosť efektívne uplatňuje dominantný vplyv. Všetky dcérske spoločnosti dcérskej spoločnosti, by sa mali považovať za dcérske spoločnosti materskej spoločnosti,  ktorá je na čele týchto spoločností, </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 xml:space="preserve">účasť </w:t>
            </w:r>
            <w:r>
              <w:rPr>
                <w:rFonts w:ascii="Times New Roman" w:hAnsi="Times New Roman" w:cs="Times New Roman"/>
                <w:sz w:val="18"/>
                <w:szCs w:val="18"/>
              </w:rPr>
              <w:t>je účasť v  súlade s významom článku 17, prvej vety smernice 78/660/EHS (</w:t>
            </w:r>
            <w:r>
              <w:rPr>
                <w:rFonts w:ascii="Times New Roman" w:hAnsi="Times New Roman" w:cs="Times New Roman"/>
                <w:sz w:val="18"/>
                <w:szCs w:val="18"/>
                <w:vertAlign w:val="superscript"/>
              </w:rPr>
              <w:t>2</w:t>
            </w:r>
            <w:r>
              <w:rPr>
                <w:rFonts w:ascii="Times New Roman" w:hAnsi="Times New Roman" w:cs="Times New Roman"/>
                <w:sz w:val="18"/>
                <w:szCs w:val="18"/>
              </w:rPr>
              <w:t>), alebo vlastníctvo, priame alebo nepriame, 20 % a viac hlasovacích práv,  alebo kapitálu spoločnosti,</w:t>
            </w:r>
          </w:p>
          <w:p>
            <w:pPr>
              <w:spacing w:after="0"/>
              <w:jc w:val="left"/>
              <w:rPr>
                <w:rFonts w:ascii="Times New Roman" w:hAnsi="Times New Roman" w:cs="Times New Roman"/>
                <w:sz w:val="18"/>
                <w:szCs w:val="18"/>
              </w:rPr>
            </w:pP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 xml:space="preserve">podieľajúca sa spoločnosť </w:t>
            </w:r>
            <w:r>
              <w:rPr>
                <w:rFonts w:ascii="Times New Roman" w:hAnsi="Times New Roman" w:cs="Times New Roman"/>
                <w:sz w:val="18"/>
                <w:szCs w:val="18"/>
              </w:rPr>
              <w:t>je spoločnosť, ktorá je buď materskou spoločnosťou, alebo inou spoločnosťou, ktorá je držiteľom podielu,</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 xml:space="preserve">príbuzná spoločnosť </w:t>
            </w:r>
            <w:r>
              <w:rPr>
                <w:rFonts w:ascii="Times New Roman" w:hAnsi="Times New Roman" w:cs="Times New Roman"/>
                <w:sz w:val="18"/>
                <w:szCs w:val="18"/>
              </w:rPr>
              <w:t xml:space="preserve">je buď dcérska spoločnosť, alebo iná spoločnosť na ktorej sa podieľa iný subjekt, </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 xml:space="preserve">holdingová poisťovacia spoločnosť </w:t>
            </w:r>
            <w:r>
              <w:rPr>
                <w:rFonts w:ascii="Times New Roman" w:hAnsi="Times New Roman" w:cs="Times New Roman"/>
                <w:sz w:val="18"/>
                <w:szCs w:val="18"/>
              </w:rPr>
              <w:t xml:space="preserve">je materská spoločnosť, ktorej hlavnou podnikateľskou činnosťou je získať a udržať si podiel v dcérskych spoločnostiach, ak sú tieto dcérske spoločnosti výlučne alebo najmä poisťovacie spoločnosti, zaisťovacie spoločnosti, alebo poisťovacie spoločnosti v  nečlenskom štáte, kedy aspoň jedna z týchto dcérskych spoločností je poisťovacia spoločnosť, </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 xml:space="preserve">holdingová poisťovacia spoločnosť so zmiešanými  činnosťami </w:t>
            </w:r>
            <w:r>
              <w:rPr>
                <w:rFonts w:ascii="Times New Roman" w:hAnsi="Times New Roman" w:cs="Times New Roman"/>
                <w:sz w:val="18"/>
                <w:szCs w:val="18"/>
              </w:rPr>
              <w:t>je materská spoločnosť iná než poisťovacia spoločnosť, poisťovacia spoločnosť v nečlenskom štáte, zaisťovacia</w:t>
            </w:r>
            <w:r>
              <w:rPr>
                <w:rFonts w:ascii="Times New Roman" w:hAnsi="Times New Roman" w:cs="Times New Roman"/>
                <w:i/>
                <w:sz w:val="18"/>
                <w:szCs w:val="18"/>
              </w:rPr>
              <w:t xml:space="preserve"> </w:t>
            </w:r>
            <w:r>
              <w:rPr>
                <w:rFonts w:ascii="Times New Roman" w:hAnsi="Times New Roman" w:cs="Times New Roman"/>
                <w:sz w:val="18"/>
                <w:szCs w:val="18"/>
              </w:rPr>
              <w:t xml:space="preserve">spoločnosť, alebo holdingová poisťovacia spoločnosť, ktorá zahŕňa aspoň jednu poisťovaciu spoločnosť medzi svojimi dcérskymi poisťovacími spoločnosťami, </w:t>
            </w:r>
          </w:p>
          <w:p>
            <w:pPr>
              <w:spacing w:after="0"/>
              <w:jc w:val="left"/>
              <w:rPr>
                <w:rFonts w:ascii="Times New Roman" w:hAnsi="Times New Roman" w:cs="Times New Roman"/>
                <w:sz w:val="18"/>
                <w:szCs w:val="18"/>
              </w:rPr>
            </w:pPr>
          </w:p>
          <w:p>
            <w:pPr>
              <w:numPr>
                <w:ilvl w:val="0"/>
                <w:numId w:val="2"/>
              </w:numPr>
              <w:tabs>
                <w:tab w:val="left" w:pos="510"/>
              </w:tabs>
              <w:spacing w:after="0"/>
              <w:jc w:val="left"/>
              <w:rPr>
                <w:rFonts w:ascii="Times New Roman" w:hAnsi="Times New Roman" w:cs="Times New Roman"/>
                <w:sz w:val="18"/>
                <w:szCs w:val="18"/>
              </w:rPr>
            </w:pPr>
            <w:r>
              <w:rPr>
                <w:rFonts w:ascii="Times New Roman" w:hAnsi="Times New Roman" w:cs="Times New Roman"/>
                <w:i/>
                <w:sz w:val="18"/>
                <w:szCs w:val="18"/>
              </w:rPr>
              <w:t>prísluš</w:t>
            </w:r>
            <w:r>
              <w:rPr>
                <w:rFonts w:ascii="Times New Roman" w:hAnsi="Times New Roman" w:cs="Times New Roman"/>
                <w:i/>
                <w:sz w:val="18"/>
                <w:szCs w:val="18"/>
              </w:rPr>
              <w:t xml:space="preserve">ný orgán </w:t>
            </w:r>
            <w:r>
              <w:rPr>
                <w:rFonts w:ascii="Times New Roman" w:hAnsi="Times New Roman" w:cs="Times New Roman"/>
                <w:sz w:val="18"/>
                <w:szCs w:val="18"/>
              </w:rPr>
              <w:t>je štátny orgán, ktorý je splnomocnený zo zákona alebo nariadením vykonávať dozor nad poisťovacími spoločnosťami,</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w:t>
            </w:r>
            <w:r>
              <w:rPr>
                <w:rFonts w:ascii="Times New Roman" w:hAnsi="Times New Roman" w:cs="Times New Roman"/>
                <w:sz w:val="18"/>
                <w:szCs w:val="18"/>
              </w:rPr>
              <w:t>5/2002 Z.z.</w:t>
            </w:r>
          </w:p>
          <w:p>
            <w:pPr>
              <w:pStyle w:val="TABUKA-textsmernice"/>
              <w:jc w:val="left"/>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xml:space="preserve">§ 4 </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xml:space="preserve">§ 4 </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5</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11</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xml:space="preserve">§ 3 </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h)</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g)</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43 ods. 5</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m)</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42</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3</w:t>
            </w:r>
          </w:p>
          <w:p>
            <w:pPr>
              <w:pStyle w:val="TABUKA-textsmernice"/>
              <w:jc w:val="left"/>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bCs/>
                <w:sz w:val="18"/>
                <w:szCs w:val="18"/>
              </w:rPr>
              <w:t xml:space="preserve">Poisťovňa je akciovou spoločnosťou so sídlom na území Slovenskej republiky, ktorá vykonáva poisťovaciu činnosť na základe povolenia na vykonávanie poisťovacej činnosti udeleného </w:t>
            </w:r>
            <w:r>
              <w:rPr>
                <w:rFonts w:ascii="Times New Roman" w:hAnsi="Times New Roman" w:cs="Times New Roman"/>
                <w:sz w:val="18"/>
              </w:rPr>
              <w:t>Úradom pre finančný trh (ďalej len „úrad“)</w:t>
            </w:r>
            <w:r>
              <w:rPr>
                <w:rFonts w:ascii="Times New Roman" w:hAnsi="Times New Roman" w:cs="Times New Roman"/>
                <w:bCs/>
                <w:sz w:val="18"/>
                <w:szCs w:val="18"/>
              </w:rPr>
              <w:t>. Obchodné meno poisťovne musí obsahovať označenie „poisťovňa“. Iné osoby nemôžu vo svojom obchodnom mene toto označenie používať s výnimkou poisťovní založených podľa osobitných predpisov.</w:t>
            </w:r>
          </w:p>
          <w:p>
            <w:pPr>
              <w:pStyle w:val="TABUKA-textsmernice"/>
              <w:rPr>
                <w:rFonts w:ascii="Times New Roman" w:hAnsi="Times New Roman" w:cs="Times New Roman"/>
                <w:i/>
                <w:sz w:val="18"/>
                <w:szCs w:val="18"/>
              </w:rPr>
            </w:pPr>
          </w:p>
          <w:p>
            <w:pPr>
              <w:pStyle w:val="BodyText"/>
              <w:rPr>
                <w:rFonts w:ascii="Times New Roman" w:hAnsi="Times New Roman" w:cs="Times New Roman"/>
                <w:bCs/>
                <w:sz w:val="18"/>
                <w:szCs w:val="18"/>
              </w:rPr>
            </w:pPr>
            <w:r>
              <w:rPr>
                <w:rFonts w:ascii="Times New Roman" w:hAnsi="Times New Roman" w:cs="Times New Roman"/>
                <w:bCs/>
                <w:sz w:val="18"/>
                <w:szCs w:val="18"/>
              </w:rPr>
              <w:t xml:space="preserve">Zahraničnou poisťovňou je právnická osoba so sídlom na území štátu, ktorý nie je členským štátom, ktorá má oprávnenie na vykonávanie poisťovacej činnosti udelené v štáte, v ktorom </w:t>
            </w:r>
            <w:r>
              <w:rPr>
                <w:rFonts w:ascii="Times New Roman" w:hAnsi="Times New Roman" w:cs="Times New Roman"/>
                <w:bCs/>
                <w:sz w:val="18"/>
                <w:szCs w:val="18"/>
              </w:rPr>
              <w:t>má sídlo.</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BodyText"/>
              <w:rPr>
                <w:rFonts w:ascii="Times New Roman" w:hAnsi="Times New Roman" w:cs="Times New Roman"/>
                <w:iCs/>
                <w:sz w:val="18"/>
                <w:szCs w:val="18"/>
              </w:rPr>
            </w:pPr>
            <w:r>
              <w:rPr>
                <w:rFonts w:ascii="Times New Roman" w:hAnsi="Times New Roman" w:cs="Times New Roman"/>
                <w:iCs/>
                <w:sz w:val="18"/>
                <w:szCs w:val="18"/>
              </w:rPr>
              <w:t xml:space="preserve">Zaisťovňou je akciová spoločnosť so sídlom na území Slovenskej republiky, ktorá vykonáva zaisťovaciu činnosť na základe povolenia na vykonávanie zaisťovacej činnosti udeleného úradom. </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Cs/>
                <w:sz w:val="18"/>
                <w:szCs w:val="18"/>
              </w:rPr>
            </w:pPr>
          </w:p>
          <w:p>
            <w:pPr>
              <w:spacing w:after="0"/>
              <w:rPr>
                <w:rFonts w:ascii="Times New Roman" w:hAnsi="Times New Roman" w:cs="Times New Roman"/>
                <w:iCs/>
                <w:sz w:val="18"/>
                <w:szCs w:val="18"/>
                <w:lang w:val="sk-SK"/>
              </w:rPr>
            </w:pPr>
            <w:r>
              <w:rPr>
                <w:rFonts w:ascii="Times New Roman" w:hAnsi="Times New Roman" w:cs="Times New Roman"/>
                <w:iCs/>
                <w:sz w:val="18"/>
                <w:szCs w:val="18"/>
                <w:lang w:val="sk-SK"/>
              </w:rPr>
              <w:t>Na účely tohto zákona sa rozumie</w:t>
            </w:r>
          </w:p>
          <w:p>
            <w:pPr>
              <w:spacing w:after="0"/>
              <w:rPr>
                <w:rFonts w:ascii="Times New Roman" w:hAnsi="Times New Roman" w:cs="Times New Roman"/>
                <w:i/>
                <w:sz w:val="18"/>
                <w:szCs w:val="18"/>
                <w:lang w:val="sk-SK"/>
              </w:rPr>
            </w:pPr>
            <w:r>
              <w:rPr>
                <w:rFonts w:ascii="Times New Roman" w:hAnsi="Times New Roman" w:cs="Times New Roman"/>
                <w:iCs/>
                <w:sz w:val="18"/>
                <w:szCs w:val="18"/>
                <w:lang w:val="sk-SK"/>
              </w:rPr>
              <w:t>h) materskou spoločnosťou právnická osoba, ktorá vykonáva kontrolu podľa písmena f),</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overflowPunct w:val="0"/>
              <w:autoSpaceDE/>
              <w:autoSpaceDN/>
              <w:spacing w:after="0" w:line="240" w:lineRule="auto"/>
              <w:ind w:firstLine="0"/>
              <w:textAlignment w:val="baseline"/>
              <w:rPr>
                <w:rFonts w:ascii="Times New Roman" w:hAnsi="Times New Roman" w:cs="Times New Roman"/>
                <w:iCs/>
                <w:sz w:val="18"/>
                <w:szCs w:val="18"/>
                <w:lang w:val="sk-SK"/>
              </w:rPr>
            </w:pPr>
            <w:r>
              <w:rPr>
                <w:rFonts w:ascii="Times New Roman" w:hAnsi="Times New Roman" w:cs="Times New Roman"/>
                <w:iCs/>
                <w:sz w:val="18"/>
                <w:szCs w:val="18"/>
                <w:lang w:val="sk-SK"/>
              </w:rPr>
              <w:t>g) dcérskou spoločnosťou právnická osoba, nad ktorou je vykonávaná kontrola podľa písmena f), a tiež akákoľvek dcérska spoločnosť dcérskej spoločnosti,</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s) </w:t>
            </w:r>
            <w:r>
              <w:rPr>
                <w:rFonts w:ascii="Times New Roman" w:hAnsi="Times New Roman" w:cs="Times New Roman"/>
                <w:sz w:val="18"/>
              </w:rPr>
              <w:t>majetkovou účasťou priamy alebo nepriamy podiel alebo ich súčet, ktorý predstavuje najmenej 20 % na základnom imaní právnickej osoby alebo na hlasovacích právach v právnickej osobe, alebo možnosť uplatňovania vplyvu na riadení právnickej osoby porovnateľného s vplyvom zodpovedajúcim tomu</w:t>
            </w:r>
            <w:r>
              <w:rPr>
                <w:rFonts w:ascii="Times New Roman" w:hAnsi="Times New Roman" w:cs="Times New Roman"/>
                <w:sz w:val="18"/>
              </w:rPr>
              <w:t>to podielu,</w:t>
            </w:r>
          </w:p>
          <w:p>
            <w:pPr>
              <w:pStyle w:val="TABUKA-textsmernice"/>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overflowPunct w:val="0"/>
              <w:autoSpaceDE/>
              <w:autoSpaceDN/>
              <w:spacing w:after="0"/>
              <w:ind w:firstLine="0"/>
              <w:textAlignment w:val="baseline"/>
              <w:rPr>
                <w:rFonts w:ascii="Times New Roman" w:hAnsi="Times New Roman" w:cs="Times New Roman"/>
                <w:i/>
                <w:sz w:val="18"/>
                <w:szCs w:val="18"/>
                <w:lang w:val="sk-SK"/>
              </w:rPr>
            </w:pPr>
            <w:r>
              <w:rPr>
                <w:rFonts w:ascii="Times New Roman" w:hAnsi="Times New Roman" w:cs="Times New Roman"/>
                <w:i/>
                <w:sz w:val="18"/>
                <w:szCs w:val="18"/>
                <w:lang w:val="sk-SK"/>
              </w:rPr>
              <w:t xml:space="preserve">Dohľad podľa tohto zákona sa vykonáva nad činnosťou poisťovne, zaisťovne, pobočky zahraničnej poisťovne, pobočky zahraničnej zaisťovne, poisťovacieho makléra, poisťovacieho agenta, Slovenskou kanceláriou poisťovateľov; za podmienok podľa § 20 ods. 3 a 4 podlieha dohľadu podľa tohto zákona aj poisťovacia </w:t>
            </w:r>
            <w:r>
              <w:rPr>
                <w:rFonts w:ascii="Times New Roman" w:hAnsi="Times New Roman" w:cs="Times New Roman"/>
                <w:b/>
                <w:bCs/>
                <w:i/>
                <w:sz w:val="18"/>
                <w:szCs w:val="18"/>
                <w:lang w:val="sk-SK"/>
              </w:rPr>
              <w:t>činnosť poisťovne z iného členského štátu</w:t>
            </w:r>
            <w:r>
              <w:rPr>
                <w:rFonts w:ascii="Times New Roman" w:hAnsi="Times New Roman" w:cs="Times New Roman"/>
                <w:i/>
                <w:sz w:val="18"/>
                <w:szCs w:val="18"/>
                <w:lang w:val="sk-SK"/>
              </w:rPr>
              <w:t xml:space="preserve"> v rozsahu ustanovenom týmto zákonom a činnosť iných osôb súvisiaca s činnosťou alebo riadením poisťovne, zaisťovne, pobočky zahraničnej poisťovne alebo pobočky zahraničnej zaisťovne. Dohľad sa tiež vykonáva nad konsolidovanými celkami podľa § 43, ktorých súčasťou sú  poisťovne a zaisťovne.</w:t>
            </w:r>
          </w:p>
          <w:p>
            <w:pPr>
              <w:pStyle w:val="TABUKA-textsmernice"/>
              <w:rPr>
                <w:rFonts w:ascii="Times New Roman" w:hAnsi="Times New Roman" w:cs="Times New Roman"/>
                <w:i/>
                <w:sz w:val="18"/>
                <w:szCs w:val="18"/>
              </w:rPr>
            </w:pPr>
          </w:p>
          <w:p>
            <w:pPr>
              <w:tabs>
                <w:tab w:val="left" w:pos="0"/>
              </w:tabs>
              <w:overflowPunct w:val="0"/>
              <w:autoSpaceDE/>
              <w:autoSpaceDN/>
              <w:spacing w:after="0" w:line="240" w:lineRule="auto"/>
              <w:ind w:firstLine="0"/>
              <w:textAlignment w:val="baseline"/>
              <w:rPr>
                <w:rFonts w:ascii="Times New Roman" w:hAnsi="Times New Roman" w:cs="Times New Roman"/>
                <w:i/>
                <w:sz w:val="18"/>
                <w:szCs w:val="18"/>
                <w:lang w:val="sk-SK"/>
              </w:rPr>
            </w:pPr>
            <w:r>
              <w:rPr>
                <w:rFonts w:ascii="Times New Roman" w:hAnsi="Times New Roman" w:cs="Times New Roman"/>
                <w:i/>
                <w:sz w:val="18"/>
                <w:szCs w:val="18"/>
                <w:lang w:val="sk-SK"/>
              </w:rPr>
              <w:t xml:space="preserve">Dohľad podľa odseku 1 vykonáva úrad. </w:t>
            </w:r>
          </w:p>
          <w:p>
            <w:pPr>
              <w:pStyle w:val="TABUKA-textsmernice"/>
              <w:jc w:val="left"/>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Ú</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Úrad pre finančný trh</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g) – j) sú nahradené čl. 28 smer. č. 2002/87/ES.</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3(1)a) z.č. 96/2002 Z.z. o dohľade nad finančným trhom;</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 2(1)d)z.č. 566/1992 Z.z. o Národnej banke Slovenska</w:t>
            </w:r>
          </w:p>
          <w:p>
            <w:pPr>
              <w:pStyle w:val="TABUKA-textsmernice"/>
              <w:jc w:val="left"/>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2"/>
              <w:spacing w:after="0"/>
              <w:rPr>
                <w:rFonts w:ascii="Times New Roman" w:hAnsi="Times New Roman" w:cs="Times New Roman"/>
                <w:sz w:val="18"/>
                <w:szCs w:val="18"/>
              </w:rPr>
            </w:pPr>
            <w:r>
              <w:rPr>
                <w:rFonts w:ascii="Times New Roman" w:hAnsi="Times New Roman" w:cs="Times New Roman"/>
                <w:sz w:val="18"/>
                <w:szCs w:val="18"/>
              </w:rPr>
              <w:t>Prípady uplatnenia doplnkového dozoru nad poisťovacími spoločnosťami</w:t>
            </w:r>
          </w:p>
          <w:p>
            <w:pPr>
              <w:spacing w:after="0"/>
              <w:jc w:val="center"/>
              <w:rPr>
                <w:rFonts w:ascii="Times New Roman" w:hAnsi="Times New Roman" w:cs="Times New Roman"/>
                <w:sz w:val="18"/>
                <w:szCs w:val="18"/>
                <w:lang w:val="sk-SK"/>
              </w:rPr>
            </w:pPr>
          </w:p>
          <w:p>
            <w:pPr>
              <w:numPr>
                <w:ilvl w:val="0"/>
                <w:numId w:val="3"/>
              </w:numPr>
              <w:tabs>
                <w:tab w:val="left" w:pos="360"/>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Na dôvažok k ustanoveniam smernice 73/239/EHS a 79/267/EHS, ktoré ustanovujú pravidlá dozoru nad poisťovacími spoločnosťami, členské štáty zabezpečia dozor nad akoukoľvek poisťovacou spoločnosťou, ktorá sa podieľa aspoň na jednej poisťovacej spoločnosti, zaisťovacej spoločnosti, alebo poisťovacej spoločnosti nečlenskej krajiny, je potrebné doplniť  ustanovenia spôsobom opísaným v článkoch 5,6,8 a 9. </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numPr>
                <w:ilvl w:val="0"/>
                <w:numId w:val="3"/>
              </w:numPr>
              <w:tabs>
                <w:tab w:val="left" w:pos="360"/>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Každá poisťovacia spoločnosť, ktorej materská spoločnosť je holdingová poisťovacia spoločnosť, zaisťovacia spoločnosť, alebo poisťovacia spoločnosť členského štátu, podlieha doplnkovému dozoru spôsobom ktorý je opísaný v článkoch 5(2), 6, 8 a 10. </w:t>
            </w:r>
          </w:p>
          <w:p>
            <w:pPr>
              <w:spacing w:after="0"/>
              <w:rPr>
                <w:rFonts w:ascii="Times New Roman" w:hAnsi="Times New Roman" w:cs="Times New Roman"/>
                <w:sz w:val="18"/>
                <w:szCs w:val="18"/>
                <w:lang w:val="sk-SK"/>
              </w:rPr>
            </w:pPr>
          </w:p>
          <w:p>
            <w:pPr>
              <w:numPr>
                <w:ilvl w:val="0"/>
                <w:numId w:val="3"/>
              </w:numPr>
              <w:tabs>
                <w:tab w:val="left" w:pos="360"/>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Každá poisťovacia spoločnosť, ktorej materská spoločnosť je holdingová poisťovacia spoločnosť so zmiešanými činnosťami, podlieha doplnkovému dozoru spôsobom ktorý je opísaný v článkoch 5(2), 6, a 8.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43</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48a</w:t>
            </w:r>
          </w:p>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overflowPunct w:val="0"/>
              <w:autoSpaceDE/>
              <w:autoSpaceDN/>
              <w:spacing w:after="0"/>
              <w:ind w:firstLine="0"/>
              <w:textAlignment w:val="baseline"/>
              <w:rPr>
                <w:rFonts w:ascii="Times New Roman" w:hAnsi="Times New Roman" w:cs="Times New Roman"/>
                <w:i/>
                <w:sz w:val="18"/>
                <w:szCs w:val="18"/>
                <w:lang w:val="sk-SK"/>
              </w:rPr>
            </w:pPr>
            <w:r>
              <w:rPr>
                <w:rFonts w:ascii="Times New Roman" w:hAnsi="Times New Roman" w:cs="Times New Roman"/>
                <w:color w:val="000000"/>
                <w:sz w:val="18"/>
                <w:szCs w:val="20"/>
                <w:lang w:val="sk-SK"/>
              </w:rPr>
              <w:t>Dohľadom na konsolidovanom základe sa rozumie sledovanie a regulácia rizík konsolidovaných celkov a subkonsolidovaných celkov, ktorých súčasťou sú poisťovne alebo zaisťovne na účel obmedzenia rizík, ktorým je poisťovňa alebo zaisťovňa vystavená z dôvodu jej účasti v konsolidovanom celku alebo subkonsolidovanom celku.</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rPr>
              <w:t xml:space="preserve">Doplňujúcim dohľadom je sledovanie a regulácia rizík </w:t>
            </w:r>
            <w:r>
              <w:rPr>
                <w:rFonts w:ascii="Times New Roman" w:hAnsi="Times New Roman" w:cs="Times New Roman"/>
                <w:color w:val="000000"/>
                <w:sz w:val="18"/>
                <w:szCs w:val="20"/>
              </w:rPr>
              <w:t xml:space="preserve">finančných  konglomerátov, </w:t>
            </w:r>
            <w:r>
              <w:rPr>
                <w:rFonts w:ascii="Times New Roman" w:hAnsi="Times New Roman" w:cs="Times New Roman"/>
                <w:sz w:val="18"/>
              </w:rPr>
              <w:t xml:space="preserve">ktorých súčasťou sú poisťovne alebo zaisťovne, obchodníci s cennými papiermi, banky, inštitúcie elektronických peňazí, správcovské spoločnosti, na účely obmedzenia rizík, ktorým je poisťovňa, zaisťovňa alebo iná regulovaná osoba vystavená z dôvodu svojej účasti vo finančnom konglomeráte. </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3</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2"/>
              <w:spacing w:after="0"/>
              <w:rPr>
                <w:rFonts w:ascii="Times New Roman" w:hAnsi="Times New Roman" w:cs="Times New Roman"/>
                <w:sz w:val="18"/>
                <w:szCs w:val="18"/>
              </w:rPr>
            </w:pPr>
            <w:r>
              <w:rPr>
                <w:rFonts w:ascii="Times New Roman" w:hAnsi="Times New Roman" w:cs="Times New Roman"/>
                <w:sz w:val="18"/>
                <w:szCs w:val="18"/>
              </w:rPr>
              <w:t xml:space="preserve">Rozsah doplnkového dozoru </w:t>
            </w:r>
          </w:p>
          <w:p>
            <w:pPr>
              <w:spacing w:after="0"/>
              <w:rPr>
                <w:rFonts w:ascii="Times New Roman" w:hAnsi="Times New Roman" w:cs="Times New Roman"/>
                <w:sz w:val="18"/>
                <w:szCs w:val="18"/>
                <w:lang w:val="sk-SK"/>
              </w:rPr>
            </w:pPr>
          </w:p>
          <w:p>
            <w:pPr>
              <w:numPr>
                <w:ilvl w:val="0"/>
                <w:numId w:val="4"/>
              </w:numPr>
              <w:tabs>
                <w:tab w:val="left" w:pos="405"/>
              </w:tabs>
              <w:spacing w:after="0"/>
              <w:rPr>
                <w:rFonts w:ascii="Times New Roman" w:hAnsi="Times New Roman" w:cs="Times New Roman"/>
                <w:sz w:val="18"/>
                <w:szCs w:val="18"/>
                <w:lang w:val="sk-SK"/>
              </w:rPr>
            </w:pPr>
            <w:r>
              <w:rPr>
                <w:rFonts w:ascii="Times New Roman" w:hAnsi="Times New Roman" w:cs="Times New Roman"/>
                <w:sz w:val="18"/>
                <w:szCs w:val="18"/>
                <w:lang w:val="sk-SK"/>
              </w:rPr>
              <w:t>Vykonanie doplnkového dozoru v súlade s  článkom 2 v žiadnom prípade nepredpokladá, že príslušné orgány majú zohrávať dozornú funkciu vo vzťahu k poisťovacej spoločnosti v  nečlenskom štáte, holdingovej poisťovacej spoločnosti, alebo holdingovej poisťovacej spoločnosti so zmiešanými  činnosťami, alebo zaisťovacej</w:t>
            </w:r>
            <w:r>
              <w:rPr>
                <w:rFonts w:ascii="Times New Roman" w:hAnsi="Times New Roman" w:cs="Times New Roman"/>
                <w:i/>
                <w:sz w:val="18"/>
                <w:szCs w:val="18"/>
                <w:lang w:val="sk-SK"/>
              </w:rPr>
              <w:t xml:space="preserve"> </w:t>
            </w:r>
            <w:r>
              <w:rPr>
                <w:rFonts w:ascii="Times New Roman" w:hAnsi="Times New Roman" w:cs="Times New Roman"/>
                <w:sz w:val="18"/>
                <w:szCs w:val="18"/>
                <w:lang w:val="sk-SK"/>
              </w:rPr>
              <w:t xml:space="preserve">spoločnosti, ktoré sa posudzujú samostatne. </w:t>
            </w:r>
          </w:p>
          <w:p>
            <w:pPr>
              <w:spacing w:after="0"/>
              <w:rPr>
                <w:rFonts w:ascii="Times New Roman" w:hAnsi="Times New Roman" w:cs="Times New Roman"/>
                <w:sz w:val="18"/>
                <w:szCs w:val="18"/>
                <w:lang w:val="sk-SK"/>
              </w:rPr>
            </w:pPr>
          </w:p>
          <w:p>
            <w:pPr>
              <w:numPr>
                <w:ilvl w:val="0"/>
                <w:numId w:val="4"/>
              </w:numPr>
              <w:tabs>
                <w:tab w:val="left" w:pos="405"/>
              </w:tabs>
              <w:spacing w:after="0"/>
              <w:rPr>
                <w:rFonts w:ascii="Times New Roman" w:hAnsi="Times New Roman" w:cs="Times New Roman"/>
                <w:sz w:val="18"/>
                <w:szCs w:val="18"/>
              </w:rPr>
            </w:pPr>
            <w:r>
              <w:rPr>
                <w:rFonts w:ascii="Times New Roman" w:hAnsi="Times New Roman" w:cs="Times New Roman"/>
                <w:sz w:val="18"/>
                <w:szCs w:val="18"/>
              </w:rPr>
              <w:t xml:space="preserve">Doplnkový dozor by mal zohľadniť: </w:t>
            </w:r>
          </w:p>
          <w:p>
            <w:pPr>
              <w:spacing w:after="0"/>
              <w:rPr>
                <w:rFonts w:ascii="Times New Roman" w:hAnsi="Times New Roman" w:cs="Times New Roman"/>
                <w:sz w:val="18"/>
                <w:szCs w:val="18"/>
              </w:rPr>
            </w:pPr>
          </w:p>
          <w:p>
            <w:pPr>
              <w:numPr>
                <w:ilvl w:val="0"/>
                <w:numId w:val="5"/>
              </w:numPr>
              <w:tabs>
                <w:tab w:val="left" w:pos="360"/>
              </w:tabs>
              <w:spacing w:after="0"/>
              <w:rPr>
                <w:rFonts w:ascii="Times New Roman" w:hAnsi="Times New Roman" w:cs="Times New Roman"/>
                <w:sz w:val="18"/>
                <w:szCs w:val="18"/>
              </w:rPr>
            </w:pPr>
            <w:r>
              <w:rPr>
                <w:rFonts w:ascii="Times New Roman" w:hAnsi="Times New Roman" w:cs="Times New Roman"/>
                <w:sz w:val="18"/>
                <w:szCs w:val="18"/>
              </w:rPr>
              <w:t xml:space="preserve">príbuzné spoločnosti poisťovacej spoločnosti, </w:t>
            </w:r>
          </w:p>
          <w:p>
            <w:pPr>
              <w:numPr>
                <w:ilvl w:val="0"/>
                <w:numId w:val="5"/>
              </w:numPr>
              <w:tabs>
                <w:tab w:val="left" w:pos="360"/>
              </w:tabs>
              <w:spacing w:after="0"/>
              <w:rPr>
                <w:rFonts w:ascii="Times New Roman" w:hAnsi="Times New Roman" w:cs="Times New Roman"/>
                <w:sz w:val="18"/>
                <w:szCs w:val="18"/>
                <w:lang w:val="fr-FR"/>
              </w:rPr>
            </w:pPr>
            <w:r>
              <w:rPr>
                <w:rFonts w:ascii="Times New Roman" w:hAnsi="Times New Roman" w:cs="Times New Roman"/>
                <w:sz w:val="18"/>
                <w:szCs w:val="18"/>
                <w:lang w:val="fr-FR"/>
              </w:rPr>
              <w:t>podieľajúce sa spoločnosti v poisťovacej spoločnosti,</w:t>
            </w:r>
          </w:p>
          <w:p>
            <w:pPr>
              <w:numPr>
                <w:ilvl w:val="0"/>
                <w:numId w:val="5"/>
              </w:numPr>
              <w:tabs>
                <w:tab w:val="left" w:pos="360"/>
              </w:tabs>
              <w:spacing w:after="0"/>
              <w:rPr>
                <w:rFonts w:ascii="Times New Roman" w:hAnsi="Times New Roman" w:cs="Times New Roman"/>
                <w:sz w:val="18"/>
                <w:szCs w:val="18"/>
                <w:lang w:val="fr-FR"/>
              </w:rPr>
            </w:pPr>
            <w:r>
              <w:rPr>
                <w:rFonts w:ascii="Times New Roman" w:hAnsi="Times New Roman" w:cs="Times New Roman"/>
                <w:sz w:val="18"/>
                <w:szCs w:val="18"/>
                <w:lang w:val="fr-FR"/>
              </w:rPr>
              <w:t>príbuzné spoločnosti podieľajúcich sa spoločností v poisťovacej spoločnosti,  uvedené v článkoch 5, 6, 8, 9 a 10.</w:t>
            </w:r>
          </w:p>
          <w:p>
            <w:pPr>
              <w:spacing w:after="0"/>
              <w:rPr>
                <w:rFonts w:ascii="Times New Roman" w:hAnsi="Times New Roman" w:cs="Times New Roman"/>
                <w:sz w:val="18"/>
                <w:szCs w:val="18"/>
                <w:lang w:val="fr-FR"/>
              </w:rPr>
            </w:pPr>
          </w:p>
          <w:p>
            <w:pPr>
              <w:numPr>
                <w:ilvl w:val="0"/>
                <w:numId w:val="4"/>
              </w:numPr>
              <w:tabs>
                <w:tab w:val="left" w:pos="405"/>
              </w:tabs>
              <w:spacing w:after="0"/>
              <w:rPr>
                <w:rFonts w:ascii="Times New Roman" w:hAnsi="Times New Roman" w:cs="Times New Roman"/>
                <w:sz w:val="18"/>
                <w:szCs w:val="18"/>
                <w:lang w:val="fr-FR"/>
              </w:rPr>
            </w:pPr>
            <w:r>
              <w:rPr>
                <w:rFonts w:ascii="Times New Roman" w:hAnsi="Times New Roman" w:cs="Times New Roman"/>
                <w:sz w:val="18"/>
                <w:szCs w:val="18"/>
                <w:lang w:val="fr-FR"/>
              </w:rPr>
              <w:t>Členské štáty môžu rozhodnúť, že nebudú brať do úvahy v rámci doplnkového dozoru, ktorý je uvedený v článku 2, spoločnosti, ktoré majú sídlo v  nečlenskej krajine kde existujú právne prekážky na prenos potrebných informácií, bez toho, aby to malo dopad na usta</w:t>
            </w:r>
            <w:r>
              <w:rPr>
                <w:rFonts w:ascii="Times New Roman" w:hAnsi="Times New Roman" w:cs="Times New Roman"/>
                <w:sz w:val="18"/>
                <w:szCs w:val="18"/>
                <w:lang w:val="fr-FR"/>
              </w:rPr>
              <w:t>novenia prílohy 1, bodu 2.5 a prílohy II, bod 4.</w:t>
            </w:r>
          </w:p>
          <w:p>
            <w:pPr>
              <w:spacing w:after="0"/>
              <w:rPr>
                <w:rFonts w:ascii="Times New Roman" w:hAnsi="Times New Roman" w:cs="Times New Roman"/>
                <w:sz w:val="18"/>
                <w:szCs w:val="18"/>
                <w:lang w:val="fr-FR"/>
              </w:rPr>
            </w:pPr>
          </w:p>
          <w:p>
            <w:pPr>
              <w:spacing w:after="0"/>
              <w:rPr>
                <w:rFonts w:ascii="Times New Roman" w:hAnsi="Times New Roman" w:cs="Times New Roman"/>
                <w:sz w:val="18"/>
                <w:szCs w:val="18"/>
                <w:lang w:val="fr-FR"/>
              </w:rPr>
            </w:pPr>
            <w:r>
              <w:rPr>
                <w:rFonts w:ascii="Times New Roman" w:hAnsi="Times New Roman" w:cs="Times New Roman"/>
                <w:sz w:val="18"/>
                <w:szCs w:val="18"/>
                <w:lang w:val="fr-FR"/>
              </w:rPr>
              <w:t>Na dôvažok, príslušné orgány poverené vykonom doplnkového dozoru, môžu v nižšie uvedených prípadoch, rozhodnúť, v závislosti od prípadu, o tom že pod  doplnkový dozor nezahrnú spoločnosť,  ktorá je uvedená v článku 2:</w:t>
            </w:r>
          </w:p>
          <w:p>
            <w:pPr>
              <w:spacing w:after="0"/>
              <w:rPr>
                <w:rFonts w:ascii="Times New Roman" w:hAnsi="Times New Roman" w:cs="Times New Roman"/>
                <w:sz w:val="18"/>
                <w:szCs w:val="18"/>
                <w:lang w:val="fr-FR"/>
              </w:rPr>
            </w:pPr>
          </w:p>
          <w:p>
            <w:pPr>
              <w:numPr>
                <w:ilvl w:val="0"/>
                <w:numId w:val="5"/>
              </w:numPr>
              <w:tabs>
                <w:tab w:val="left" w:pos="360"/>
              </w:tabs>
              <w:spacing w:after="0"/>
              <w:rPr>
                <w:rFonts w:ascii="Times New Roman" w:hAnsi="Times New Roman" w:cs="Times New Roman"/>
                <w:sz w:val="18"/>
                <w:szCs w:val="18"/>
                <w:lang w:val="fr-FR"/>
              </w:rPr>
            </w:pPr>
            <w:r>
              <w:rPr>
                <w:rFonts w:ascii="Times New Roman" w:hAnsi="Times New Roman" w:cs="Times New Roman"/>
                <w:sz w:val="18"/>
                <w:szCs w:val="18"/>
                <w:lang w:val="fr-FR"/>
              </w:rPr>
              <w:t xml:space="preserve">ak spoločnosť, ktorá by mala byť zahrnutá, má zanedbateľný význam vzhľadom na ciele doplnkového dozoru nad poisťovacími spoločnosťami, </w:t>
            </w:r>
          </w:p>
          <w:p>
            <w:pPr>
              <w:spacing w:after="0"/>
              <w:rPr>
                <w:rFonts w:ascii="Times New Roman" w:hAnsi="Times New Roman" w:cs="Times New Roman"/>
                <w:sz w:val="18"/>
                <w:szCs w:val="18"/>
                <w:lang w:val="fr-FR"/>
              </w:rPr>
            </w:pPr>
          </w:p>
          <w:p>
            <w:pPr>
              <w:pStyle w:val="NormalWeb"/>
              <w:rPr>
                <w:rFonts w:ascii="Times New Roman" w:hAnsi="Times New Roman" w:cs="Times New Roman"/>
                <w:lang w:val="fr-FR"/>
              </w:rPr>
            </w:pPr>
          </w:p>
          <w:p>
            <w:pPr>
              <w:numPr>
                <w:ilvl w:val="0"/>
                <w:numId w:val="5"/>
              </w:numPr>
              <w:tabs>
                <w:tab w:val="left" w:pos="360"/>
              </w:tabs>
              <w:spacing w:after="0"/>
              <w:rPr>
                <w:rFonts w:ascii="Times New Roman" w:hAnsi="Times New Roman" w:cs="Times New Roman"/>
                <w:sz w:val="18"/>
                <w:szCs w:val="18"/>
                <w:lang w:val="fr-FR"/>
              </w:rPr>
            </w:pPr>
            <w:r>
              <w:rPr>
                <w:rFonts w:ascii="Times New Roman" w:hAnsi="Times New Roman" w:cs="Times New Roman"/>
                <w:sz w:val="18"/>
                <w:szCs w:val="18"/>
                <w:lang w:val="fr-FR"/>
              </w:rPr>
              <w:t xml:space="preserve">ak zahrnutie finančnej situácie spoločnosti, by bolo nevhodné, alebo zavádzajúce vzhľadom na ciele doplnkového dozoru nad poisťovacími spoločnosťami. </w:t>
            </w:r>
            <w:r>
              <w:rPr>
                <w:rStyle w:val="FootnoteReference"/>
                <w:rFonts w:ascii="Symbol" w:hAnsi="Symbol" w:cs="Times New Roman"/>
                <w:sz w:val="18"/>
                <w:szCs w:val="18"/>
              </w:rPr>
              <w:sym w:font="Symbol" w:char="F02E"/>
            </w:r>
            <w:r>
              <w:rPr>
                <w:rFonts w:ascii="Times New Roman" w:hAnsi="Times New Roman" w:cs="Times New Roman"/>
                <w:sz w:val="18"/>
                <w:szCs w:val="18"/>
                <w:lang w:val="fr-FR"/>
              </w:rPr>
              <w:t xml:space="preserve">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N</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D</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45</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c)</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
              <w:rPr>
                <w:rFonts w:ascii="Times New Roman" w:hAnsi="Times New Roman" w:cs="Times New Roman"/>
                <w:sz w:val="18"/>
              </w:rPr>
            </w:pPr>
            <w:r>
              <w:rPr>
                <w:rFonts w:ascii="Times New Roman" w:hAnsi="Times New Roman" w:cs="Times New Roman"/>
                <w:sz w:val="18"/>
              </w:rPr>
              <w:t xml:space="preserve">Doplňujúcim dohľadom je sledovanie a regulácia rizík </w:t>
            </w:r>
            <w:r>
              <w:rPr>
                <w:rFonts w:ascii="Times New Roman" w:hAnsi="Times New Roman" w:cs="Times New Roman"/>
                <w:color w:val="000000"/>
                <w:sz w:val="18"/>
              </w:rPr>
              <w:t xml:space="preserve">finančných  </w:t>
            </w:r>
            <w:r>
              <w:rPr>
                <w:rFonts w:ascii="Times New Roman" w:hAnsi="Times New Roman" w:cs="Times New Roman"/>
                <w:color w:val="000000"/>
                <w:sz w:val="18"/>
              </w:rPr>
              <w:t xml:space="preserve">konglomerátov, </w:t>
            </w:r>
            <w:r>
              <w:rPr>
                <w:rFonts w:ascii="Times New Roman" w:hAnsi="Times New Roman" w:cs="Times New Roman"/>
                <w:sz w:val="18"/>
              </w:rPr>
              <w:t>ktorých súčasťou sú poisťovne alebo zaisťovne, obchodníci s cennými papiermi, banky, inštitúcie elektronických peňazí, správcovské spoločnosti, na účely obmedzenia rizík, ktorým je poisťovňa, zaisťovňa alebo iná regulovaná osoba vystavená z dôvodu svojej účasti vo finančnom konglomeráte.</w:t>
            </w:r>
          </w:p>
          <w:p>
            <w:pPr>
              <w:pStyle w:val="BodyText"/>
              <w:rPr>
                <w:rFonts w:ascii="Times New Roman" w:hAnsi="Times New Roman" w:cs="Times New Roman"/>
                <w:bCs/>
                <w:sz w:val="18"/>
                <w:szCs w:val="18"/>
              </w:rPr>
            </w:pPr>
          </w:p>
          <w:p>
            <w:pPr>
              <w:spacing w:after="0" w:line="240" w:lineRule="auto"/>
              <w:rPr>
                <w:rFonts w:ascii="Times New Roman" w:hAnsi="Times New Roman" w:cs="Times New Roman"/>
                <w:sz w:val="18"/>
                <w:szCs w:val="18"/>
                <w:lang w:val="sk-SK"/>
              </w:rPr>
            </w:pPr>
          </w:p>
          <w:p>
            <w:pPr>
              <w:spacing w:after="0" w:line="240" w:lineRule="auto"/>
              <w:rPr>
                <w:rFonts w:ascii="Times New Roman" w:hAnsi="Times New Roman" w:cs="Times New Roman"/>
                <w:sz w:val="18"/>
                <w:szCs w:val="18"/>
                <w:lang w:val="sk-SK"/>
              </w:rPr>
            </w:pPr>
            <w:r>
              <w:rPr>
                <w:rFonts w:ascii="Times New Roman" w:hAnsi="Times New Roman" w:cs="Times New Roman"/>
                <w:sz w:val="18"/>
                <w:lang w:val="sk-SK"/>
              </w:rPr>
              <w:t xml:space="preserve">Doplňujúcim dohľadom je sledovanie a regulácia rizík </w:t>
            </w:r>
            <w:r>
              <w:rPr>
                <w:rFonts w:ascii="Times New Roman" w:hAnsi="Times New Roman" w:cs="Times New Roman"/>
                <w:color w:val="000000"/>
                <w:sz w:val="18"/>
                <w:szCs w:val="20"/>
                <w:lang w:val="sk-SK"/>
              </w:rPr>
              <w:t xml:space="preserve">finančných  konglomerátov, </w:t>
            </w:r>
            <w:r>
              <w:rPr>
                <w:rFonts w:ascii="Times New Roman" w:hAnsi="Times New Roman" w:cs="Times New Roman"/>
                <w:sz w:val="18"/>
                <w:lang w:val="sk-SK"/>
              </w:rPr>
              <w:t>ktorých súčasťou sú poisťovne alebo zaisťovne, obchodníci s cennými papiermi, banky, inštitúcie elektronických peňazí, správcovské spoločnosti, na účely obmedzenia rizík, ktorým je poisťovňa, zaisťovňa alebo iná regulovaná osoba vystavená z dôvodu svojej účasti vo finančnom konglomeráte.</w:t>
            </w:r>
          </w:p>
          <w:p>
            <w:pPr>
              <w:pStyle w:val="TABUKA-textsmernice"/>
              <w:rPr>
                <w:rFonts w:ascii="Times New Roman" w:hAnsi="Times New Roman" w:cs="Times New Roman"/>
                <w:sz w:val="18"/>
                <w:szCs w:val="18"/>
              </w:rPr>
            </w:pPr>
          </w:p>
          <w:p>
            <w:pPr>
              <w:pStyle w:val="BodyTextIndent2"/>
              <w:ind w:left="0" w:firstLine="720"/>
              <w:rPr>
                <w:rFonts w:ascii="Times New Roman" w:hAnsi="Times New Roman" w:cs="Times New Roman"/>
                <w:color w:val="000000"/>
                <w:sz w:val="18"/>
              </w:rPr>
            </w:pPr>
            <w:r>
              <w:rPr>
                <w:rFonts w:ascii="Times New Roman" w:hAnsi="Times New Roman" w:cs="Times New Roman"/>
                <w:color w:val="000000"/>
                <w:sz w:val="18"/>
              </w:rPr>
              <w:t>Úrad je oprávnený nezahrnúť do konsolidovaného celku alebo subkonsolidovaného celku na účely výkonu dohľadu na konsolidovanom základe osobu,</w:t>
            </w:r>
          </w:p>
          <w:p>
            <w:pPr>
              <w:pStyle w:val="BodyTextIndent3"/>
              <w:rPr>
                <w:rFonts w:ascii="Times New Roman" w:hAnsi="Times New Roman" w:cs="Times New Roman"/>
              </w:rPr>
            </w:pPr>
            <w:r>
              <w:rPr>
                <w:rFonts w:ascii="Times New Roman" w:hAnsi="Times New Roman" w:cs="Times New Roman"/>
              </w:rPr>
              <w:t>a)</w:t>
              <w:tab/>
              <w:t>ktorá má sídlo na území iného štátu a právny poriadok tohto štátu neumožňuje výmenu     informácií na účely výkonu dohľadu na konsolidovanom základe,</w:t>
            </w:r>
          </w:p>
          <w:p>
            <w:pPr>
              <w:pStyle w:val="BodyTextIndent3"/>
              <w:rPr>
                <w:rFonts w:ascii="Times New Roman" w:hAnsi="Times New Roman" w:cs="Times New Roman"/>
              </w:rPr>
            </w:pPr>
          </w:p>
          <w:p>
            <w:pPr>
              <w:pStyle w:val="BodyTextIndent3"/>
              <w:rPr>
                <w:rFonts w:ascii="Times New Roman" w:hAnsi="Times New Roman" w:cs="Times New Roman"/>
              </w:rPr>
            </w:pPr>
          </w:p>
          <w:p>
            <w:pPr>
              <w:pStyle w:val="BodyTextIndent3"/>
              <w:rPr>
                <w:rFonts w:ascii="Times New Roman" w:hAnsi="Times New Roman" w:cs="Times New Roman"/>
              </w:rPr>
            </w:pPr>
          </w:p>
          <w:p>
            <w:pPr>
              <w:pStyle w:val="BodyTextIndent3"/>
              <w:numPr>
                <w:ilvl w:val="0"/>
                <w:numId w:val="32"/>
              </w:numPr>
              <w:tabs>
                <w:tab w:val="left" w:pos="720"/>
              </w:tabs>
              <w:rPr>
                <w:rFonts w:ascii="Times New Roman" w:hAnsi="Times New Roman" w:cs="Times New Roman"/>
              </w:rPr>
            </w:pPr>
            <w:r>
              <w:rPr>
                <w:rFonts w:ascii="Times New Roman" w:hAnsi="Times New Roman" w:cs="Times New Roman"/>
              </w:rPr>
              <w:t>ktorá má zanedbateľný význam na účely výkonu dohľad</w:t>
            </w:r>
            <w:r>
              <w:rPr>
                <w:rFonts w:ascii="Times New Roman" w:hAnsi="Times New Roman" w:cs="Times New Roman"/>
              </w:rPr>
              <w:t>u na konsolidovanom základe, najmä, ak celkové aktíva tejto právnickej osoby sú menšie ako 10</w:t>
            </w:r>
            <w:r>
              <w:rPr>
                <w:rFonts w:ascii="Symbol" w:hAnsi="Symbol" w:cs="Times New Roman"/>
              </w:rPr>
              <w:sym w:font="Symbol" w:char="F020"/>
            </w:r>
            <w:r>
              <w:rPr>
                <w:rFonts w:ascii="Times New Roman" w:hAnsi="Times New Roman" w:cs="Times New Roman"/>
              </w:rPr>
              <w:t>000</w:t>
            </w:r>
            <w:r>
              <w:rPr>
                <w:rFonts w:ascii="Symbol" w:hAnsi="Symbol" w:cs="Times New Roman"/>
              </w:rPr>
              <w:sym w:font="Symbol" w:char="F020"/>
            </w:r>
            <w:r>
              <w:rPr>
                <w:rFonts w:ascii="Times New Roman" w:hAnsi="Times New Roman" w:cs="Times New Roman"/>
              </w:rPr>
              <w:t>000</w:t>
            </w:r>
            <w:r>
              <w:rPr>
                <w:rFonts w:ascii="Symbol" w:hAnsi="Symbol" w:cs="Times New Roman"/>
              </w:rPr>
              <w:sym w:font="Symbol" w:char="F020"/>
            </w:r>
            <w:r>
              <w:rPr>
                <w:rFonts w:ascii="Times New Roman" w:hAnsi="Times New Roman" w:cs="Times New Roman"/>
              </w:rPr>
              <w:t>EUR alebo 1</w:t>
            </w:r>
            <w:r>
              <w:rPr>
                <w:rFonts w:ascii="Symbol" w:hAnsi="Symbol" w:cs="Times New Roman"/>
              </w:rPr>
              <w:sym w:font="Symbol" w:char="F020"/>
            </w:r>
            <w:r>
              <w:rPr>
                <w:rFonts w:ascii="Times New Roman" w:hAnsi="Times New Roman" w:cs="Times New Roman"/>
              </w:rPr>
              <w:t>% z celkových aktív osoby ovládajúcej konsolidovaný celok alebo subkonsolidovaný celok,</w:t>
            </w:r>
          </w:p>
          <w:p>
            <w:pPr>
              <w:pStyle w:val="TABUKA-textsmernice"/>
              <w:rPr>
                <w:rFonts w:ascii="Times New Roman" w:hAnsi="Times New Roman" w:cs="Times New Roman"/>
                <w:sz w:val="18"/>
                <w:szCs w:val="18"/>
              </w:rPr>
            </w:pPr>
            <w:r>
              <w:rPr>
                <w:rFonts w:ascii="Times New Roman" w:hAnsi="Times New Roman" w:cs="Times New Roman"/>
                <w:color w:val="000000"/>
                <w:sz w:val="18"/>
              </w:rPr>
              <w:t>c)</w:t>
              <w:tab/>
              <w:t>ktorej zaradenie do konsolidovaného celku alebo sub</w:t>
            </w:r>
            <w:r>
              <w:rPr>
                <w:rFonts w:ascii="Times New Roman" w:hAnsi="Times New Roman" w:cs="Times New Roman"/>
                <w:color w:val="000000"/>
                <w:sz w:val="18"/>
              </w:rPr>
              <w:t>konsolidovaného celku je nevhodné z hľadiska cieľov dohľadu na konsolidovanom základe.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4</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2"/>
              <w:spacing w:after="0"/>
              <w:rPr>
                <w:rFonts w:ascii="Times New Roman" w:hAnsi="Times New Roman" w:cs="Times New Roman"/>
                <w:sz w:val="18"/>
                <w:szCs w:val="18"/>
              </w:rPr>
            </w:pPr>
            <w:r>
              <w:rPr>
                <w:rFonts w:ascii="Times New Roman" w:hAnsi="Times New Roman" w:cs="Times New Roman"/>
                <w:sz w:val="18"/>
                <w:szCs w:val="18"/>
              </w:rPr>
              <w:t>Príslušné orgány vykonávajúce doplnkový dozor</w:t>
            </w:r>
          </w:p>
          <w:p>
            <w:pPr>
              <w:spacing w:after="0"/>
              <w:jc w:val="center"/>
              <w:rPr>
                <w:rFonts w:ascii="Times New Roman" w:hAnsi="Times New Roman" w:cs="Times New Roman"/>
                <w:sz w:val="18"/>
                <w:szCs w:val="18"/>
                <w:lang w:val="sk-SK"/>
              </w:rPr>
            </w:pPr>
          </w:p>
          <w:p>
            <w:pPr>
              <w:pStyle w:val="BodyText"/>
              <w:numPr>
                <w:ilvl w:val="0"/>
                <w:numId w:val="7"/>
              </w:numPr>
              <w:tabs>
                <w:tab w:val="left" w:pos="360"/>
              </w:tabs>
              <w:rPr>
                <w:rFonts w:ascii="Times New Roman" w:hAnsi="Times New Roman" w:cs="Times New Roman"/>
                <w:sz w:val="18"/>
                <w:szCs w:val="18"/>
              </w:rPr>
            </w:pPr>
            <w:r>
              <w:rPr>
                <w:rFonts w:ascii="Times New Roman" w:hAnsi="Times New Roman" w:cs="Times New Roman"/>
                <w:sz w:val="18"/>
                <w:szCs w:val="18"/>
              </w:rPr>
              <w:t>Doplnkový dozor by mali vykonať príslušné orgány členského štátu, v ktorom bolo poisťovacej spoločnosti vydané úradné povolenie v súlade s článkom 6 smernice 73/239/EHS, alebo článku 6 smernice 79/267/EHS.</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numPr>
                <w:ilvl w:val="0"/>
                <w:numId w:val="7"/>
              </w:numPr>
              <w:tabs>
                <w:tab w:val="left" w:pos="360"/>
              </w:tabs>
              <w:spacing w:after="0"/>
              <w:rPr>
                <w:rFonts w:ascii="Times New Roman" w:hAnsi="Times New Roman" w:cs="Times New Roman"/>
                <w:sz w:val="18"/>
                <w:szCs w:val="18"/>
                <w:lang w:val="sk-SK"/>
              </w:rPr>
            </w:pPr>
            <w:r>
              <w:rPr>
                <w:rFonts w:ascii="Times New Roman" w:hAnsi="Times New Roman" w:cs="Times New Roman"/>
                <w:sz w:val="18"/>
                <w:szCs w:val="18"/>
                <w:lang w:val="sk-SK"/>
              </w:rPr>
              <w:t>Ak sú poisťovacie spoločnosti držiteľmi povolenia v dvoch, alebo viacerých členských štátoch, ich materskou spoločnosťou je tá istá holdingová poisťovacia spoločnosť, zaisťovacia</w:t>
            </w:r>
            <w:r>
              <w:rPr>
                <w:rFonts w:ascii="Times New Roman" w:hAnsi="Times New Roman" w:cs="Times New Roman"/>
                <w:i/>
                <w:sz w:val="18"/>
                <w:szCs w:val="18"/>
                <w:lang w:val="sk-SK"/>
              </w:rPr>
              <w:t xml:space="preserve"> </w:t>
            </w:r>
            <w:r>
              <w:rPr>
                <w:rFonts w:ascii="Times New Roman" w:hAnsi="Times New Roman" w:cs="Times New Roman"/>
                <w:sz w:val="18"/>
                <w:szCs w:val="18"/>
                <w:lang w:val="sk-SK"/>
              </w:rPr>
              <w:t>spoločnosť, poisťovacia spoločnosť v nečlenskom štáte, alebo holdingová poisťovacia spoločnosť so zmiešanými činnosťami, potom sa príslušné orgány členských štátov môžu dohodnúť na tom, že ktorý z nich bude zo</w:t>
            </w:r>
            <w:r>
              <w:rPr>
                <w:rFonts w:ascii="Times New Roman" w:hAnsi="Times New Roman" w:cs="Times New Roman"/>
                <w:sz w:val="18"/>
                <w:szCs w:val="18"/>
                <w:lang w:val="sk-SK"/>
              </w:rPr>
              <w:t xml:space="preserve">dpovedný za vykonanie doplnkového dozoru. </w:t>
            </w:r>
          </w:p>
          <w:p>
            <w:pPr>
              <w:pStyle w:val="NormalWeb"/>
              <w:spacing w:after="0"/>
              <w:rPr>
                <w:rFonts w:ascii="Times New Roman" w:hAnsi="Times New Roman" w:cs="Times New Roman"/>
                <w:sz w:val="18"/>
                <w:szCs w:val="18"/>
                <w:lang w:val="sk-SK"/>
              </w:rPr>
            </w:pPr>
          </w:p>
          <w:p>
            <w:pPr>
              <w:pStyle w:val="NormalWeb"/>
              <w:spacing w:after="0"/>
              <w:rPr>
                <w:rFonts w:ascii="Times New Roman" w:hAnsi="Times New Roman" w:cs="Times New Roman"/>
                <w:sz w:val="18"/>
                <w:szCs w:val="18"/>
                <w:lang w:val="sk-SK"/>
              </w:rPr>
            </w:pPr>
          </w:p>
          <w:p>
            <w:pPr>
              <w:pStyle w:val="NormalWeb"/>
              <w:spacing w:after="0"/>
              <w:rPr>
                <w:rFonts w:ascii="Times New Roman" w:hAnsi="Times New Roman" w:cs="Times New Roman"/>
                <w:sz w:val="18"/>
                <w:szCs w:val="18"/>
                <w:lang w:val="sk-SK"/>
              </w:rPr>
            </w:pPr>
          </w:p>
          <w:p>
            <w:pPr>
              <w:pStyle w:val="NormalWeb"/>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numPr>
                <w:ilvl w:val="0"/>
                <w:numId w:val="7"/>
              </w:numPr>
              <w:tabs>
                <w:tab w:val="left" w:pos="360"/>
              </w:tabs>
              <w:spacing w:after="0"/>
              <w:rPr>
                <w:rFonts w:ascii="Times New Roman" w:hAnsi="Times New Roman" w:cs="Times New Roman"/>
                <w:sz w:val="18"/>
                <w:szCs w:val="18"/>
                <w:lang w:val="sk-SK"/>
              </w:rPr>
            </w:pPr>
            <w:r>
              <w:rPr>
                <w:rFonts w:ascii="Times New Roman" w:hAnsi="Times New Roman" w:cs="Times New Roman"/>
                <w:sz w:val="18"/>
                <w:szCs w:val="18"/>
                <w:lang w:val="sk-SK"/>
              </w:rPr>
              <w:t>Ak má členský štát viac ako jeden orgán poverený obozretným dozorom nad poisťovacími spoločnosťami a zaisťovacími</w:t>
            </w:r>
            <w:r>
              <w:rPr>
                <w:rFonts w:ascii="Times New Roman" w:hAnsi="Times New Roman" w:cs="Times New Roman"/>
                <w:i/>
                <w:sz w:val="18"/>
                <w:szCs w:val="18"/>
                <w:lang w:val="sk-SK"/>
              </w:rPr>
              <w:t xml:space="preserve"> </w:t>
            </w:r>
            <w:r>
              <w:rPr>
                <w:rFonts w:ascii="Times New Roman" w:hAnsi="Times New Roman" w:cs="Times New Roman"/>
                <w:sz w:val="18"/>
                <w:szCs w:val="18"/>
                <w:lang w:val="sk-SK"/>
              </w:rPr>
              <w:t>spoločnosťami, tento členský štát príjme potrebné opatrenia na koordináciu medzi týmito orgánm</w:t>
            </w:r>
            <w:r>
              <w:rPr>
                <w:rFonts w:ascii="Times New Roman" w:hAnsi="Times New Roman" w:cs="Times New Roman"/>
                <w:sz w:val="18"/>
                <w:szCs w:val="18"/>
                <w:lang w:val="sk-SK"/>
              </w:rPr>
              <w:t xml:space="preserve">i.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48c</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r>
              <w:rPr>
                <w:rFonts w:ascii="Times New Roman" w:hAnsi="Times New Roman" w:cs="Times New Roman"/>
                <w:sz w:val="18"/>
                <w:szCs w:val="18"/>
              </w:rPr>
              <w:t>pís. 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c)</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d)</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48c</w:t>
            </w: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lang w:val="sk-SK"/>
              </w:rPr>
              <w:t>Úrad vykonáva doplňujúci dohľad, ak</w:t>
            </w:r>
          </w:p>
          <w:p>
            <w:pPr>
              <w:pStyle w:val="BodyTextIndent"/>
              <w:tabs>
                <w:tab w:val="left" w:pos="360"/>
              </w:tabs>
              <w:spacing w:after="0"/>
              <w:ind w:left="0"/>
              <w:rPr>
                <w:rFonts w:ascii="Times New Roman" w:hAnsi="Times New Roman" w:cs="Times New Roman"/>
                <w:sz w:val="18"/>
                <w:szCs w:val="18"/>
                <w:lang w:val="sk-SK"/>
              </w:rPr>
            </w:pPr>
          </w:p>
          <w:p>
            <w:pPr>
              <w:pStyle w:val="BodyTextIndent"/>
              <w:tabs>
                <w:tab w:val="left" w:pos="360"/>
              </w:tabs>
              <w:spacing w:after="0"/>
              <w:ind w:left="0"/>
              <w:rPr>
                <w:rFonts w:ascii="Times New Roman" w:hAnsi="Times New Roman" w:cs="Times New Roman"/>
                <w:sz w:val="18"/>
                <w:lang w:val="sk-SK"/>
              </w:rPr>
            </w:pPr>
            <w:r>
              <w:rPr>
                <w:rFonts w:ascii="Times New Roman" w:hAnsi="Times New Roman" w:cs="Times New Roman"/>
                <w:sz w:val="18"/>
                <w:szCs w:val="18"/>
                <w:lang w:val="sk-SK"/>
              </w:rPr>
              <w:t xml:space="preserve">a) </w:t>
            </w:r>
            <w:r>
              <w:rPr>
                <w:rFonts w:ascii="Times New Roman" w:hAnsi="Times New Roman" w:cs="Times New Roman"/>
                <w:sz w:val="18"/>
                <w:lang w:val="sk-SK"/>
              </w:rPr>
              <w:t>finančný konglomerát je ovládaný poisťovňou alebo zaisťovňou,</w:t>
            </w:r>
          </w:p>
          <w:p>
            <w:pPr>
              <w:pStyle w:val="BodyTextIndent"/>
              <w:tabs>
                <w:tab w:val="left" w:pos="360"/>
              </w:tabs>
              <w:spacing w:after="0"/>
              <w:ind w:left="0"/>
              <w:rPr>
                <w:rFonts w:ascii="Times New Roman" w:hAnsi="Times New Roman" w:cs="Times New Roman"/>
                <w:sz w:val="18"/>
                <w:szCs w:val="18"/>
                <w:lang w:val="sk-SK"/>
              </w:rPr>
            </w:pPr>
          </w:p>
          <w:p>
            <w:pPr>
              <w:tabs>
                <w:tab w:val="left" w:pos="360"/>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b) </w:t>
            </w:r>
            <w:r>
              <w:rPr>
                <w:rFonts w:ascii="Times New Roman" w:hAnsi="Times New Roman" w:cs="Times New Roman"/>
                <w:sz w:val="18"/>
                <w:lang w:val="sk-SK"/>
              </w:rPr>
              <w:t>finančný konglomerát je ovládaný zmiešanou finančnou holdingovou spoločnosťou, ktorá je  materskou spoločnosťou poisťovne alebo zaisťovne a finančný konglomerát netvoria ďalšie regulované osoby,</w:t>
            </w:r>
          </w:p>
          <w:p>
            <w:pPr>
              <w:pStyle w:val="BodyTextIndent"/>
              <w:tabs>
                <w:tab w:val="left" w:pos="360"/>
              </w:tabs>
              <w:spacing w:after="0"/>
              <w:ind w:left="0"/>
              <w:rPr>
                <w:rFonts w:ascii="Times New Roman" w:hAnsi="Times New Roman" w:cs="Times New Roman"/>
                <w:sz w:val="18"/>
                <w:szCs w:val="18"/>
                <w:lang w:val="sk-SK"/>
              </w:rPr>
            </w:pPr>
            <w:r>
              <w:rPr>
                <w:rFonts w:ascii="Times New Roman" w:hAnsi="Times New Roman" w:cs="Times New Roman"/>
                <w:sz w:val="18"/>
                <w:szCs w:val="18"/>
                <w:lang w:val="sk-SK"/>
              </w:rPr>
              <w:t xml:space="preserve">c) </w:t>
            </w:r>
            <w:r>
              <w:rPr>
                <w:rFonts w:ascii="Times New Roman" w:hAnsi="Times New Roman" w:cs="Times New Roman"/>
                <w:sz w:val="18"/>
                <w:lang w:val="sk-SK"/>
              </w:rPr>
              <w:t>materskou spoločnosťou poisťovne alebo zaisťovne je zmiešaná finančná holdingová  spoločnosť a finančný konglomerát tvoria ďalšie regulované osoby so sídlom v inom členskom štáte, pričom najvýznamnejším finančným sektorom finančného konglomerátu je sektor poisťovníctva,</w:t>
            </w:r>
          </w:p>
          <w:p>
            <w:pPr>
              <w:tabs>
                <w:tab w:val="left" w:pos="0"/>
              </w:tabs>
              <w:spacing w:after="0" w:line="240" w:lineRule="auto"/>
              <w:rPr>
                <w:rFonts w:ascii="Times New Roman" w:hAnsi="Times New Roman" w:cs="Times New Roman"/>
                <w:sz w:val="18"/>
                <w:szCs w:val="18"/>
                <w:lang w:val="sk-SK"/>
              </w:rPr>
            </w:pPr>
          </w:p>
          <w:p>
            <w:pPr>
              <w:tabs>
                <w:tab w:val="left" w:pos="0"/>
              </w:tabs>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d) </w:t>
            </w:r>
            <w:r>
              <w:rPr>
                <w:rFonts w:ascii="Times New Roman" w:hAnsi="Times New Roman" w:cs="Times New Roman"/>
                <w:sz w:val="18"/>
                <w:lang w:val="sk-SK"/>
              </w:rPr>
              <w:t>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alebo zaisťovňa, alebo ak  najvýznamnejším finančným sektorom finančného konglomerátu je sektor poisťovníctva; ak je  súčasťou sektora poisťovníctva aj poisťovňa alebo zaisťovňa so sídlom v inom členskom štáte, ak sa tak úrad dohodol s  príslušným orgánom dohľadu tohto členského štátu,</w:t>
            </w:r>
          </w:p>
          <w:p>
            <w:pPr>
              <w:pStyle w:val="TABUKA-textsmernice"/>
              <w:rPr>
                <w:rFonts w:ascii="Times New Roman" w:hAnsi="Times New Roman" w:cs="Times New Roman"/>
                <w:sz w:val="18"/>
                <w:szCs w:val="18"/>
              </w:rPr>
            </w:pPr>
          </w:p>
          <w:p>
            <w:pPr>
              <w:tabs>
                <w:tab w:val="left" w:pos="0"/>
              </w:tabs>
              <w:spacing w:after="0" w:line="240" w:lineRule="auto"/>
              <w:rPr>
                <w:rFonts w:ascii="Times New Roman" w:hAnsi="Times New Roman" w:cs="Times New Roman"/>
                <w:sz w:val="18"/>
                <w:szCs w:val="18"/>
                <w:lang w:val="sk-SK"/>
              </w:rPr>
            </w:pPr>
            <w:r>
              <w:rPr>
                <w:rFonts w:ascii="Times New Roman" w:hAnsi="Times New Roman" w:cs="Times New Roman"/>
                <w:sz w:val="18"/>
                <w:lang w:val="sk-SK"/>
              </w:rPr>
              <w:t>Úrad môže na základe dohody s Národnou bankou Slovenska alebo s príslušnými orgánmi dohľadu iných členských štátov, zodpovednými za dohľad nad regulovanými osobami tvoriacimi finančný konglomerát a po vyjadrení osoby ovládajúcej príslušný finančný konglomerát prevziať výkon doplňujúceho dohľadu aj v prípadoch neuvedených v odseku 1, ak je to vhodné z hľadiska plnenia cieľov doplňujúceho dohľadu.</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5</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2"/>
              <w:spacing w:after="0"/>
              <w:rPr>
                <w:rFonts w:ascii="Times New Roman" w:hAnsi="Times New Roman" w:cs="Times New Roman"/>
                <w:sz w:val="18"/>
                <w:szCs w:val="18"/>
              </w:rPr>
            </w:pPr>
            <w:r>
              <w:rPr>
                <w:rFonts w:ascii="Times New Roman" w:hAnsi="Times New Roman" w:cs="Times New Roman"/>
                <w:sz w:val="18"/>
                <w:szCs w:val="18"/>
              </w:rPr>
              <w:t>Prístupnosť a kvalita informácií</w:t>
            </w:r>
          </w:p>
          <w:p>
            <w:pPr>
              <w:spacing w:after="0"/>
              <w:jc w:val="center"/>
              <w:rPr>
                <w:rFonts w:ascii="Times New Roman" w:hAnsi="Times New Roman" w:cs="Times New Roman"/>
                <w:sz w:val="18"/>
                <w:szCs w:val="18"/>
                <w:lang w:val="sk-SK"/>
              </w:rPr>
            </w:pPr>
          </w:p>
          <w:p>
            <w:pPr>
              <w:pStyle w:val="BodyText"/>
              <w:numPr>
                <w:ilvl w:val="0"/>
                <w:numId w:val="30"/>
              </w:numPr>
              <w:tabs>
                <w:tab w:val="clear" w:pos="720"/>
              </w:tabs>
              <w:ind w:left="0" w:firstLine="0"/>
              <w:rPr>
                <w:rFonts w:ascii="Times New Roman" w:hAnsi="Times New Roman" w:cs="Times New Roman"/>
                <w:sz w:val="18"/>
                <w:szCs w:val="18"/>
              </w:rPr>
            </w:pPr>
            <w:r>
              <w:rPr>
                <w:rFonts w:ascii="Times New Roman" w:hAnsi="Times New Roman" w:cs="Times New Roman"/>
                <w:sz w:val="18"/>
                <w:szCs w:val="18"/>
              </w:rPr>
              <w:t xml:space="preserve">Členské štáty stanovia, že príslušné orgány požadujú od každej  poisťovacej spoločnosti, ktorá je predmetom doplnkového dozoru, primeraný systém vnútornej kontroly na generovanie akýchkoľvek údajov a informácií potrebných pre účely tohto doplnkového dozoru. </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2. Členské štáty príjmu primerané opatrenia, aby sa zabezpečili, že v ich jurisdikcii neexistujú žiadne právne prekážky, ktoré bránia spoločnostiam, ktoré podliehajú doplnkovému dozoru a ich príbuzným spoločnostiam a podieľajúcim sa spoločnostiam , aby si vzájomne poskytli informácie  potrebné pre účely doplnkového dozo</w:t>
            </w:r>
            <w:r>
              <w:rPr>
                <w:rFonts w:ascii="Times New Roman" w:hAnsi="Times New Roman" w:cs="Times New Roman"/>
                <w:sz w:val="18"/>
                <w:szCs w:val="18"/>
              </w:rPr>
              <w:t xml:space="preserve">ru.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47</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48n</w:t>
            </w:r>
          </w:p>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
              <w:rPr>
                <w:rFonts w:ascii="Times New Roman" w:hAnsi="Times New Roman" w:cs="Times New Roman"/>
                <w:i/>
                <w:sz w:val="18"/>
                <w:szCs w:val="18"/>
              </w:rPr>
            </w:pPr>
            <w:r>
              <w:rPr>
                <w:rFonts w:ascii="Times New Roman" w:hAnsi="Times New Roman" w:cs="Times New Roman"/>
                <w:bCs/>
                <w:sz w:val="18"/>
              </w:rPr>
              <w:t>Osoba, ktorá je zahrnutá do konsolidovaného celku alebo subkonsolidovaného celku, je povinná vytvoriť kontrolné mechanizmy, ktoré zabezpečujú správnosť poskytovaných informácií na účely výkonu  dohľadu na konsolidovanom základe.</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spacing w:after="0" w:line="240" w:lineRule="auto"/>
              <w:rPr>
                <w:rFonts w:ascii="Times New Roman" w:hAnsi="Times New Roman" w:cs="Times New Roman"/>
                <w:sz w:val="18"/>
                <w:szCs w:val="18"/>
                <w:lang w:val="sk-SK"/>
              </w:rPr>
            </w:pPr>
            <w:r>
              <w:rPr>
                <w:rFonts w:ascii="Times New Roman" w:hAnsi="Times New Roman" w:cs="Times New Roman"/>
                <w:sz w:val="18"/>
                <w:lang w:val="sk-SK"/>
              </w:rPr>
              <w:t>Osoby, ktoré tvoria finančný konglomerát sú povinné poskytovať si navzájom informácie potrebné na plnenie povinností podľa § 48g až 48j a poskytovať tieto informácie úradu</w:t>
            </w:r>
            <w:r>
              <w:rPr>
                <w:rFonts w:ascii="Times New Roman" w:hAnsi="Times New Roman" w:cs="Times New Roman"/>
                <w:b/>
                <w:bCs/>
                <w:sz w:val="18"/>
                <w:lang w:val="sk-SK"/>
              </w:rPr>
              <w:t xml:space="preserve"> </w:t>
            </w:r>
            <w:r>
              <w:rPr>
                <w:rFonts w:ascii="Times New Roman" w:hAnsi="Times New Roman" w:cs="Times New Roman"/>
                <w:sz w:val="18"/>
                <w:lang w:val="sk-SK"/>
              </w:rPr>
              <w:t>na účely doplňujúceho dohľadu.</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6</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Prístup k informáciám</w:t>
            </w:r>
          </w:p>
          <w:p>
            <w:pPr>
              <w:pStyle w:val="BodyText"/>
              <w:jc w:val="center"/>
              <w:rPr>
                <w:rFonts w:ascii="Times New Roman" w:hAnsi="Times New Roman" w:cs="Times New Roman"/>
                <w:b/>
                <w:sz w:val="18"/>
                <w:szCs w:val="18"/>
              </w:rPr>
            </w:pPr>
          </w:p>
          <w:p>
            <w:pPr>
              <w:pStyle w:val="BodyText"/>
              <w:numPr>
                <w:ilvl w:val="0"/>
                <w:numId w:val="9"/>
              </w:numPr>
              <w:tabs>
                <w:tab w:val="left" w:pos="360"/>
              </w:tabs>
              <w:rPr>
                <w:rFonts w:ascii="Times New Roman" w:hAnsi="Times New Roman" w:cs="Times New Roman"/>
                <w:sz w:val="18"/>
                <w:szCs w:val="18"/>
              </w:rPr>
            </w:pPr>
            <w:r>
              <w:rPr>
                <w:rFonts w:ascii="Times New Roman" w:hAnsi="Times New Roman" w:cs="Times New Roman"/>
                <w:sz w:val="18"/>
                <w:szCs w:val="18"/>
              </w:rPr>
              <w:t xml:space="preserve">Členské štáty zabezpečia, aby ich príslušné orgány poverené vykonaním doplnkového dozoru mali prístup k akýmkoľvek informáciám, ktoré sú potrebné pre účely dozoru poisťovacej spoločnosti, ktorá podlieha doplnkovému dozoru. Príslušné orgány sa môžu priamo obrátiť na  spoločnosti uvedené v článku 3(2), aby získali potrebné informácie, len ak tieto informácie od poisťovacej spoločnosti boli požadované a dovtedy neboli poskytnuté. </w:t>
            </w:r>
          </w:p>
          <w:p>
            <w:pPr>
              <w:pStyle w:val="BodyText"/>
              <w:rPr>
                <w:rFonts w:ascii="Times New Roman" w:hAnsi="Times New Roman" w:cs="Times New Roman"/>
                <w:sz w:val="18"/>
                <w:szCs w:val="18"/>
              </w:rPr>
            </w:pPr>
          </w:p>
          <w:p>
            <w:pPr>
              <w:pStyle w:val="BodyText"/>
              <w:numPr>
                <w:ilvl w:val="0"/>
                <w:numId w:val="9"/>
              </w:numPr>
              <w:tabs>
                <w:tab w:val="left" w:pos="360"/>
              </w:tabs>
              <w:rPr>
                <w:rFonts w:ascii="Times New Roman" w:hAnsi="Times New Roman" w:cs="Times New Roman"/>
                <w:sz w:val="18"/>
                <w:szCs w:val="18"/>
              </w:rPr>
            </w:pPr>
            <w:r>
              <w:rPr>
                <w:rFonts w:ascii="Times New Roman" w:hAnsi="Times New Roman" w:cs="Times New Roman"/>
                <w:sz w:val="18"/>
                <w:szCs w:val="18"/>
              </w:rPr>
              <w:t xml:space="preserve">Členské štáty zabezpečia, aby ich príslušné orgány mohli sami na území svojho štátu, alebo prostredníctvom prostredníkov, ktorých vymenujú na tieto účely, overiť informácie uvedené v odseku 1 priamo na mieste v: </w:t>
            </w:r>
          </w:p>
          <w:p>
            <w:pPr>
              <w:pStyle w:val="BodyText"/>
              <w:rPr>
                <w:rFonts w:ascii="Times New Roman" w:hAnsi="Times New Roman" w:cs="Times New Roman"/>
                <w:sz w:val="18"/>
                <w:szCs w:val="18"/>
              </w:rPr>
            </w:pPr>
          </w:p>
          <w:p>
            <w:pPr>
              <w:pStyle w:val="BodyText"/>
              <w:numPr>
                <w:ilvl w:val="0"/>
                <w:numId w:val="5"/>
              </w:numPr>
              <w:tabs>
                <w:tab w:val="clear" w:pos="360"/>
                <w:tab w:val="left" w:pos="720"/>
              </w:tabs>
              <w:ind w:left="720"/>
              <w:rPr>
                <w:rFonts w:ascii="Times New Roman" w:hAnsi="Times New Roman" w:cs="Times New Roman"/>
                <w:sz w:val="18"/>
                <w:szCs w:val="18"/>
              </w:rPr>
            </w:pPr>
            <w:r>
              <w:rPr>
                <w:rFonts w:ascii="Times New Roman" w:hAnsi="Times New Roman" w:cs="Times New Roman"/>
                <w:sz w:val="18"/>
                <w:szCs w:val="18"/>
              </w:rPr>
              <w:t>poisťovacej spoločnosti, ktorá podlieha doplnkovému dozoru</w:t>
            </w:r>
          </w:p>
          <w:p>
            <w:pPr>
              <w:pStyle w:val="BodyText"/>
              <w:numPr>
                <w:ilvl w:val="0"/>
                <w:numId w:val="5"/>
              </w:numPr>
              <w:tabs>
                <w:tab w:val="clear" w:pos="360"/>
                <w:tab w:val="left" w:pos="720"/>
              </w:tabs>
              <w:ind w:left="720"/>
              <w:rPr>
                <w:rFonts w:ascii="Times New Roman" w:hAnsi="Times New Roman" w:cs="Times New Roman"/>
                <w:sz w:val="18"/>
                <w:szCs w:val="18"/>
              </w:rPr>
            </w:pPr>
            <w:r>
              <w:rPr>
                <w:rFonts w:ascii="Times New Roman" w:hAnsi="Times New Roman" w:cs="Times New Roman"/>
                <w:sz w:val="18"/>
                <w:szCs w:val="18"/>
              </w:rPr>
              <w:t xml:space="preserve">dcérskej spoločnosti tejto poisťovacej spoločnosti </w:t>
            </w:r>
          </w:p>
          <w:p>
            <w:pPr>
              <w:pStyle w:val="BodyText"/>
              <w:numPr>
                <w:ilvl w:val="0"/>
                <w:numId w:val="5"/>
              </w:numPr>
              <w:tabs>
                <w:tab w:val="clear" w:pos="360"/>
                <w:tab w:val="left" w:pos="720"/>
              </w:tabs>
              <w:ind w:left="720"/>
              <w:rPr>
                <w:rFonts w:ascii="Times New Roman" w:hAnsi="Times New Roman" w:cs="Times New Roman"/>
                <w:sz w:val="18"/>
                <w:szCs w:val="18"/>
              </w:rPr>
            </w:pPr>
            <w:r>
              <w:rPr>
                <w:rFonts w:ascii="Times New Roman" w:hAnsi="Times New Roman" w:cs="Times New Roman"/>
                <w:sz w:val="18"/>
                <w:szCs w:val="18"/>
              </w:rPr>
              <w:t>materských spoločnostiach tejto poisťovacej spoločnosti</w:t>
            </w:r>
          </w:p>
          <w:p>
            <w:pPr>
              <w:pStyle w:val="BodyText"/>
              <w:numPr>
                <w:ilvl w:val="0"/>
                <w:numId w:val="5"/>
              </w:numPr>
              <w:tabs>
                <w:tab w:val="clear" w:pos="360"/>
                <w:tab w:val="left" w:pos="720"/>
              </w:tabs>
              <w:ind w:left="720"/>
              <w:rPr>
                <w:rFonts w:ascii="Times New Roman" w:hAnsi="Times New Roman" w:cs="Times New Roman"/>
                <w:sz w:val="18"/>
                <w:szCs w:val="18"/>
              </w:rPr>
            </w:pPr>
            <w:r>
              <w:rPr>
                <w:rFonts w:ascii="Times New Roman" w:hAnsi="Times New Roman" w:cs="Times New Roman"/>
                <w:sz w:val="18"/>
                <w:szCs w:val="18"/>
              </w:rPr>
              <w:t xml:space="preserve">v dcérskych spoločnostiach materskej spoločnosti poisťovacej spoločnosti. </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numPr>
                <w:ilvl w:val="0"/>
                <w:numId w:val="9"/>
              </w:numPr>
              <w:tabs>
                <w:tab w:val="left" w:pos="360"/>
              </w:tabs>
              <w:rPr>
                <w:rFonts w:ascii="Times New Roman" w:hAnsi="Times New Roman" w:cs="Times New Roman"/>
                <w:sz w:val="18"/>
                <w:szCs w:val="18"/>
              </w:rPr>
            </w:pPr>
            <w:r>
              <w:rPr>
                <w:rFonts w:ascii="Times New Roman" w:hAnsi="Times New Roman" w:cs="Times New Roman"/>
                <w:sz w:val="18"/>
                <w:szCs w:val="18"/>
              </w:rPr>
              <w:t>Ak, na základe tohto článku, chcú príslušné orgány jedného členského štátu  overiť v konkrétnych prípadoch dôležité informácie týkajúce sa spoločnosti so sídlom v druhom členskom štáte, ktorá je príbuznou poisťovacou spoločnosťou, dcérskou spoločnosťou, materskou spoločnosťou, alebo dcérskou spoločnosťou materskej spoločnosti poisťovacej spoločnosti, ktorá podl</w:t>
            </w:r>
            <w:r>
              <w:rPr>
                <w:rFonts w:ascii="Times New Roman" w:hAnsi="Times New Roman" w:cs="Times New Roman"/>
                <w:sz w:val="18"/>
                <w:szCs w:val="18"/>
              </w:rPr>
              <w:t>ieha doplnkovému dozoru</w:t>
            </w:r>
            <w:r>
              <w:rPr>
                <w:rFonts w:ascii="Times New Roman" w:hAnsi="Times New Roman" w:cs="Times New Roman"/>
                <w:b/>
                <w:sz w:val="18"/>
                <w:szCs w:val="18"/>
              </w:rPr>
              <w:t xml:space="preserve">, </w:t>
            </w:r>
            <w:r>
              <w:rPr>
                <w:rFonts w:ascii="Times New Roman" w:hAnsi="Times New Roman" w:cs="Times New Roman"/>
                <w:sz w:val="18"/>
                <w:szCs w:val="18"/>
              </w:rPr>
              <w:t>potom</w:t>
            </w:r>
            <w:r>
              <w:rPr>
                <w:rFonts w:ascii="Times New Roman" w:hAnsi="Times New Roman" w:cs="Times New Roman"/>
                <w:b/>
                <w:sz w:val="18"/>
                <w:szCs w:val="18"/>
              </w:rPr>
              <w:t xml:space="preserve"> </w:t>
            </w:r>
            <w:r>
              <w:rPr>
                <w:rFonts w:ascii="Times New Roman" w:hAnsi="Times New Roman" w:cs="Times New Roman"/>
                <w:sz w:val="18"/>
                <w:szCs w:val="18"/>
              </w:rPr>
              <w:t>musia požiadať príslušné orgány  druhého členského štátu, aby túto</w:t>
            </w:r>
            <w:r>
              <w:rPr>
                <w:rFonts w:ascii="Times New Roman" w:hAnsi="Times New Roman" w:cs="Times New Roman"/>
                <w:b/>
                <w:sz w:val="18"/>
                <w:szCs w:val="18"/>
              </w:rPr>
              <w:t xml:space="preserve"> </w:t>
            </w:r>
            <w:r>
              <w:rPr>
                <w:rFonts w:ascii="Times New Roman" w:hAnsi="Times New Roman" w:cs="Times New Roman"/>
                <w:sz w:val="18"/>
                <w:szCs w:val="18"/>
              </w:rPr>
              <w:t xml:space="preserve">kontrolu vykonali. Dožiadané orgány splnia takúto požiadavku v súlade s legislatívou svojho štátu a buď vykonajú kontrolu sami, alebo umožnia dožadujúcim orgánom vykonať kontrolu, alebo  umožnia aby ju vykonal audítor alebo znalec.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48n</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48m</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w:t>
            </w:r>
          </w:p>
          <w:p>
            <w:pPr>
              <w:pStyle w:val="TABUKA-textsmernice"/>
              <w:rPr>
                <w:rFonts w:ascii="Times New Roman" w:hAnsi="Times New Roman" w:cs="Times New Roman"/>
                <w:sz w:val="18"/>
                <w:szCs w:val="18"/>
              </w:rPr>
            </w:pPr>
            <w:r>
              <w:rPr>
                <w:rFonts w:ascii="Times New Roman" w:hAnsi="Times New Roman" w:cs="Times New Roman"/>
                <w:sz w:val="18"/>
                <w:szCs w:val="18"/>
              </w:rPr>
              <w:t>ods. 2</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spacing w:after="0" w:line="240" w:lineRule="auto"/>
              <w:rPr>
                <w:rFonts w:ascii="Times New Roman" w:hAnsi="Times New Roman" w:cs="Times New Roman"/>
                <w:sz w:val="18"/>
                <w:szCs w:val="18"/>
                <w:lang w:val="sk-SK"/>
              </w:rPr>
            </w:pPr>
            <w:r>
              <w:rPr>
                <w:rFonts w:ascii="Times New Roman" w:hAnsi="Times New Roman" w:cs="Times New Roman"/>
                <w:sz w:val="18"/>
                <w:lang w:val="sk-SK"/>
              </w:rPr>
              <w:t>Osoby, ktoré tvoria finančný konglomerát sú povinné poskytovať si navzájom informácie potrebné na plnenie povinností podľa § 48g až 48j a poskytovať tieto informácie úradu</w:t>
            </w:r>
            <w:r>
              <w:rPr>
                <w:rFonts w:ascii="Times New Roman" w:hAnsi="Times New Roman" w:cs="Times New Roman"/>
                <w:b/>
                <w:bCs/>
                <w:sz w:val="18"/>
                <w:lang w:val="sk-SK"/>
              </w:rPr>
              <w:t xml:space="preserve"> </w:t>
            </w:r>
            <w:r>
              <w:rPr>
                <w:rFonts w:ascii="Times New Roman" w:hAnsi="Times New Roman" w:cs="Times New Roman"/>
                <w:sz w:val="18"/>
                <w:lang w:val="sk-SK"/>
              </w:rPr>
              <w:t>na účely doplňujúceho dohľadu.</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spacing w:after="0"/>
              <w:rPr>
                <w:rFonts w:ascii="Times New Roman" w:hAnsi="Times New Roman" w:cs="Times New Roman"/>
                <w:sz w:val="18"/>
                <w:szCs w:val="18"/>
                <w:lang w:val="sk-SK"/>
              </w:rPr>
            </w:pPr>
            <w:r>
              <w:rPr>
                <w:rFonts w:ascii="Times New Roman" w:hAnsi="Times New Roman" w:cs="Times New Roman"/>
                <w:sz w:val="18"/>
                <w:lang w:val="sk-SK"/>
              </w:rPr>
              <w:t>Úrad na požiadanie príslušného orgánu dohľadu iného členského štátu zodpovedného za dohľad nad regulovanými osobam tvoriacimi finančný konglomerát preverí  informácie potrebné na výkon doplňujúceho dohľadu o osobe, ktorá tvorí finančný konglomerát a jej sídlo je na území  Slovenskej republike alebo preverí tieto informácie prostredníctvom poverených osôb. Osoby poverené príslušným orgánom dohľadu iného členského štátu sú oprávnené zúčastniť sa preverovania vykonávaného úradom  alebo môžu preveriť tieto informácie samostatne. Úrad je oprávnený   požiadať príslušný orgán dohľadu iného členského štátu zodpovedný za dohľad nad regulovanými osobami tvoriacimi finančný konglomerát o preverenie  informácie potrebnej na výkon doplňujúceho dohľadu o osobách so sídlom v tomto členskom štáte alebo preveriť tieto informácie samostatne alebo prostredníctvom pover</w:t>
            </w:r>
            <w:r>
              <w:rPr>
                <w:rFonts w:ascii="Times New Roman" w:hAnsi="Times New Roman" w:cs="Times New Roman"/>
                <w:sz w:val="18"/>
                <w:lang w:val="sk-SK"/>
              </w:rPr>
              <w:t>ených osôb.</w:t>
            </w:r>
          </w:p>
          <w:p>
            <w:pPr>
              <w:pStyle w:val="BodyText"/>
              <w:rPr>
                <w:rFonts w:ascii="Times New Roman" w:hAnsi="Times New Roman" w:cs="Times New Roman"/>
                <w:sz w:val="18"/>
                <w:szCs w:val="18"/>
              </w:rPr>
            </w:pPr>
          </w:p>
          <w:p>
            <w:pPr>
              <w:pStyle w:val="BodyText"/>
              <w:rPr>
                <w:rFonts w:ascii="Times New Roman" w:hAnsi="Times New Roman" w:cs="Times New Roman"/>
                <w:i/>
                <w:sz w:val="18"/>
                <w:szCs w:val="18"/>
              </w:rPr>
            </w:pPr>
            <w:r>
              <w:rPr>
                <w:rFonts w:ascii="Times New Roman" w:hAnsi="Times New Roman" w:cs="Times New Roman"/>
                <w:sz w:val="18"/>
              </w:rPr>
              <w:t>Ak je poisťovňa alebo zaisťovňa súčasťou konsolidovaného celku, ktorý ovláda zahraničná poisťovňa  alebo finančná inštitúcia, ktorá má sídlo na území iného štátu, úrad je oprávnený dohodnúť podmienky výkonu dohľadu  na  konsolidovanom základe v písomnej dohode uzavretej medzi úradom a príslušným orgánom dohľadu iného štátu a ich  vzájomnú výmenu informácií. Ak takáto dohoda nie je uzavretá, dohľad na konsolidovanom základe vykonáva príslušný orgán dohľadu, ktorý udelil  povolenie poisťovni alebo zaisťovni  s najvyššími celkovými aktívami; ak je výška celkových aktív rovnaká, dohľad na konsolidovanom základe vykonáva príslušný orgán dohľadu, ktorý udelil povolenie ako prvý.</w:t>
            </w:r>
          </w:p>
          <w:p>
            <w:pPr>
              <w:pStyle w:val="BodyText"/>
              <w:rPr>
                <w:rFonts w:ascii="Times New Roman" w:hAnsi="Times New Roman" w:cs="Times New Roman"/>
                <w:i/>
                <w:sz w:val="18"/>
                <w:szCs w:val="18"/>
              </w:rPr>
            </w:pPr>
          </w:p>
          <w:p>
            <w:pPr>
              <w:pStyle w:val="BodyText"/>
              <w:rPr>
                <w:rFonts w:ascii="Times New Roman" w:hAnsi="Times New Roman" w:cs="Times New Roman"/>
                <w:i/>
                <w:sz w:val="18"/>
                <w:szCs w:val="18"/>
              </w:rPr>
            </w:pPr>
            <w:r>
              <w:rPr>
                <w:rFonts w:ascii="Times New Roman" w:hAnsi="Times New Roman" w:cs="Times New Roman"/>
                <w:color w:val="000000"/>
                <w:sz w:val="18"/>
              </w:rPr>
              <w:t>Úrad na požiadanie príslušného orgánu dohľadu členského štátu vykoná dohľad na mieste na konsolidovanom základe alebo umožní výkon dohľadu na mieste na konsolidovanom základe povereným osobám príslušného orgánu dohľadu členského štátu v konsolidovaných celkoch alebo subkonsolidovaných celkoch; podrobnosti o výkone tohto  dohľadu na mieste na konsolidovanom základe môže upraviť dohoda podľa odseku 1. Vykonanie dohľadu na mieste na území Slovenskej republiky je príslušný orgán dohľadu iného členského štátu povinný vopred oznámiť úradu. Poverené osoby príslušného orgánu dohľadu iného členského štátu majú rovnaké oprávnenia, povinnosti a zodpovednosť ako zamestnanci úradu poverení výkonom dohľadu na mieste podľa osobitného predpisu</w:t>
            </w:r>
            <w:r>
              <w:rPr>
                <w:rFonts w:ascii="Symbol" w:hAnsi="Symbol" w:cs="Times New Roman"/>
                <w:color w:val="000000"/>
                <w:sz w:val="18"/>
              </w:rPr>
              <w:sym w:font="Symbol" w:char="F03B"/>
            </w:r>
            <w:r>
              <w:rPr>
                <w:rFonts w:ascii="Times New Roman" w:hAnsi="Times New Roman" w:cs="Times New Roman"/>
                <w:color w:val="000000"/>
                <w:sz w:val="18"/>
                <w:vertAlign w:val="superscript"/>
              </w:rPr>
              <w:t>3)</w:t>
            </w:r>
            <w:r>
              <w:rPr>
                <w:rFonts w:ascii="Times New Roman" w:hAnsi="Times New Roman" w:cs="Times New Roman"/>
                <w:color w:val="000000"/>
                <w:sz w:val="18"/>
              </w:rPr>
              <w:t xml:space="preserve"> nemajú však povinnosť vyhotoviť písomný protokol o nimi vykonanom dohľade a povinnosť určiť a písomne oznámiť dohliadanému subjektu lehoty na prijatie a splnenie opatrení na odstránenie nedostatkov zistených pri dohľade.</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28 smer. č. 2002/87/ES dopĺňa poslednú vetu čl. 6.</w:t>
            </w: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7</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Spolupráca medzi príslušnými orgánmi</w:t>
            </w:r>
          </w:p>
          <w:p>
            <w:pPr>
              <w:pStyle w:val="BodyText"/>
              <w:rPr>
                <w:rFonts w:ascii="Times New Roman" w:hAnsi="Times New Roman" w:cs="Times New Roman"/>
                <w:sz w:val="18"/>
                <w:szCs w:val="18"/>
              </w:rPr>
            </w:pPr>
            <w:r>
              <w:rPr>
                <w:rFonts w:ascii="Times New Roman" w:hAnsi="Times New Roman" w:cs="Times New Roman"/>
                <w:sz w:val="18"/>
                <w:szCs w:val="18"/>
              </w:rPr>
              <w:t xml:space="preserve"> </w:t>
            </w:r>
          </w:p>
          <w:p>
            <w:pPr>
              <w:pStyle w:val="BodyText"/>
              <w:numPr>
                <w:ilvl w:val="0"/>
                <w:numId w:val="10"/>
              </w:numPr>
              <w:tabs>
                <w:tab w:val="left" w:pos="360"/>
              </w:tabs>
              <w:rPr>
                <w:rFonts w:ascii="Times New Roman" w:hAnsi="Times New Roman" w:cs="Times New Roman"/>
                <w:sz w:val="18"/>
                <w:szCs w:val="18"/>
              </w:rPr>
            </w:pPr>
            <w:r>
              <w:rPr>
                <w:rFonts w:ascii="Times New Roman" w:hAnsi="Times New Roman" w:cs="Times New Roman"/>
                <w:sz w:val="18"/>
                <w:szCs w:val="18"/>
              </w:rPr>
              <w:t xml:space="preserve">Ak sú poisťovacie spoločnosti založené v rôznych členských štátoch priamo alebo nepriamo príbuzné, alebo majú spoločnú podieľajúcu sa spoločnosť,  príslušné orgány každého členského štátu sa na žiadosť vzájomne oboznámia so všetkými potrebnými informáciami, ktoré umožnia alebo uľahčia vykonanie dozoru podľa tejto smernice  a z vlastnej iniciatívy oznámia akékoľvek informácie, ktoré považujú za dôležité pre príslušné orgány druhého štátu. </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numPr>
                <w:ilvl w:val="0"/>
                <w:numId w:val="10"/>
              </w:numPr>
              <w:tabs>
                <w:tab w:val="left" w:pos="360"/>
              </w:tabs>
              <w:rPr>
                <w:rFonts w:ascii="Times New Roman" w:hAnsi="Times New Roman" w:cs="Times New Roman"/>
                <w:sz w:val="18"/>
                <w:szCs w:val="18"/>
              </w:rPr>
            </w:pPr>
            <w:r>
              <w:rPr>
                <w:rFonts w:ascii="Times New Roman" w:hAnsi="Times New Roman" w:cs="Times New Roman"/>
                <w:sz w:val="18"/>
                <w:szCs w:val="18"/>
              </w:rPr>
              <w:t>Ak poisťovacia spoločnosť a buď banka definovaná v smernici 77/780/EHS (</w:t>
            </w:r>
            <w:r>
              <w:rPr>
                <w:rFonts w:ascii="Times New Roman" w:hAnsi="Times New Roman" w:cs="Times New Roman"/>
                <w:sz w:val="18"/>
                <w:szCs w:val="18"/>
                <w:vertAlign w:val="superscript"/>
              </w:rPr>
              <w:t>1</w:t>
            </w:r>
            <w:r>
              <w:rPr>
                <w:rFonts w:ascii="Times New Roman" w:hAnsi="Times New Roman" w:cs="Times New Roman"/>
                <w:sz w:val="18"/>
                <w:szCs w:val="18"/>
              </w:rPr>
              <w:t>), alebo investičná spoločnosť definovaná v smernici 93/22/EHS (</w:t>
            </w:r>
            <w:r>
              <w:rPr>
                <w:rFonts w:ascii="Times New Roman" w:hAnsi="Times New Roman" w:cs="Times New Roman"/>
                <w:sz w:val="18"/>
                <w:szCs w:val="18"/>
                <w:vertAlign w:val="superscript"/>
              </w:rPr>
              <w:t>2</w:t>
            </w:r>
            <w:r>
              <w:rPr>
                <w:rFonts w:ascii="Times New Roman" w:hAnsi="Times New Roman" w:cs="Times New Roman"/>
                <w:sz w:val="18"/>
                <w:szCs w:val="18"/>
              </w:rPr>
              <w:t xml:space="preserve">), alebo obidve, sú priamo alebo nepriamo príbuzné, alebo majú spoločnú podieľajúcu sa spoločnosť, potom príslušné orgány a orgány s verejnou zodpovednosťou za dozor v týchto ostatných spoločnostiach musia úzko spolupracovať. Bez dopadu na ich povinnosti, si tieto orgány navzájom poskytnú akékoľvek informácie, ktoré uľahčia ich prácu, predovšetkým v rámci tejto smernici. </w:t>
            </w:r>
          </w:p>
          <w:p>
            <w:pPr>
              <w:pStyle w:val="BodyText"/>
              <w:rPr>
                <w:rFonts w:ascii="Times New Roman" w:hAnsi="Times New Roman" w:cs="Times New Roman"/>
                <w:sz w:val="18"/>
                <w:szCs w:val="18"/>
              </w:rPr>
            </w:pPr>
          </w:p>
          <w:p>
            <w:pPr>
              <w:pStyle w:val="BodyText"/>
              <w:numPr>
                <w:ilvl w:val="0"/>
                <w:numId w:val="10"/>
              </w:numPr>
              <w:tabs>
                <w:tab w:val="left" w:pos="360"/>
              </w:tabs>
              <w:rPr>
                <w:rFonts w:ascii="Times New Roman" w:hAnsi="Times New Roman" w:cs="Times New Roman"/>
                <w:sz w:val="18"/>
                <w:szCs w:val="18"/>
              </w:rPr>
            </w:pPr>
            <w:r>
              <w:rPr>
                <w:rFonts w:ascii="Times New Roman" w:hAnsi="Times New Roman" w:cs="Times New Roman"/>
                <w:sz w:val="18"/>
                <w:szCs w:val="18"/>
              </w:rPr>
              <w:t xml:space="preserve">Informácie získané v súlade s touto smernicou a najmä výmena informácií medzi príslušnými orgánmi, ktorá je upravená v tejto smernici, je predmetom povinosti služobného tajomstva definovaného v článku 16 smernice 92/49/EHS a článku 15 smernice 92/96/EHS.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96/2002 Z.z.</w:t>
            </w: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 l</w:t>
            </w:r>
          </w:p>
          <w:p>
            <w:pPr>
              <w:pStyle w:val="TABUKA-textsmernice"/>
              <w:rPr>
                <w:rFonts w:ascii="Times New Roman" w:hAnsi="Times New Roman" w:cs="Times New Roman"/>
                <w:sz w:val="18"/>
                <w:szCs w:val="18"/>
              </w:rPr>
            </w:pPr>
            <w:r>
              <w:rPr>
                <w:rFonts w:ascii="Times New Roman" w:hAnsi="Times New Roman" w:cs="Times New Roman"/>
                <w:sz w:val="18"/>
                <w:szCs w:val="18"/>
              </w:rPr>
              <w:t>od</w:t>
            </w:r>
            <w:r>
              <w:rPr>
                <w:rFonts w:ascii="Times New Roman" w:hAnsi="Times New Roman" w:cs="Times New Roman"/>
                <w:sz w:val="18"/>
                <w:szCs w:val="18"/>
              </w:rPr>
              <w:t>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 l</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11</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spacing w:after="0" w:line="240" w:lineRule="auto"/>
              <w:rPr>
                <w:rFonts w:ascii="Times New Roman" w:hAnsi="Times New Roman" w:cs="Times New Roman"/>
                <w:sz w:val="18"/>
                <w:szCs w:val="18"/>
                <w:lang w:val="sk-SK"/>
              </w:rPr>
            </w:pPr>
            <w:r>
              <w:rPr>
                <w:rFonts w:ascii="Times New Roman" w:hAnsi="Times New Roman" w:cs="Times New Roman"/>
                <w:sz w:val="18"/>
                <w:lang w:val="sk-SK"/>
              </w:rPr>
              <w:t>Úrad je povinný na žiadosť Národnej banky Slovenska a príslušných orgánov dohľadu iných členských štátov zodpovedných za dohľad nad regulovanými osobami tvoriacimi finančný konglomerát a  za doplňujúci dohľad poskytnúť informácie potrebné na výkon dohľadu nad regulovanými osobami tvoriacimi finančný konglomerát a doplňujúceho dohľadu, najmenej však v rozsahu podľa odseku 3. Úrad je povinný poskytnúť tieto informácie aj z vlastného podnetu, ak zistí, že uvedené informácie sú dôležité pre výkon dohľadu nad finančnými konglomerátmi. Úrad je oprávnený  vyžiadať si od Národnej banky Slovenska a príslušných orgánov dohľadu iných členských štátov zodpovedných za dohľad nad regulovanými osobami tvoriacimi  finančný konglomerát informácie potrebné na výkon doplňujúceho dohľadu najmenej v rozsahu podľa odseku 3 a vymieňať si informácie potrebné na výkon doplňujúceho dohľadu aj s centrálnymi bankami, Európskym systémom centrálnych bánk a Európskou centrálnou bankou.</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rPr>
              <w:t xml:space="preserve">Úrad spolupracuje s  Národnou bankou Slovenska a s príslušnými orgánmi dohľadu iných členských štátov zodpovednými za dohľad nad regulovanými osobami tvoriacimi finančný konglomerát pri výkone dohľadu nad finančným konglomerátom, a to aj ak doplňujúci dohľad vykonáva Národná banka Slovenska alebo príslušný orgán dohľadu iného členského štátu, najmenej v rozsahu podľa odseku 3.    </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Členovia rady, členovia dozorného výboru, generálny riaditeľ,  zamestnanci  úradu,  prizvané osoby (§ 18), členovia poradnej komisie (§ 42) a všetky  ďalšie osoby, ktoré sa akokoľvek dozvedeli  o  skutočnostiach súvisiacich s činnosťou  úradu, sú povinné  zachovávať  o nich mlčanlivosť;  to  neplatí,  ak  ide o skutočnosti,  ktoré  sa  zverejňujú  podľa  tohto  zákona  alebo osobitných zákonov. 1) Povinnosť mlčanlivosti  trvá aj po skončení výkonu ich funkcie alebo  zamestnania, alebo iného právneho vzťahu s úradom.</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8</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 xml:space="preserve">Transakcie v rámci skupiny </w:t>
            </w:r>
          </w:p>
          <w:p>
            <w:pPr>
              <w:pStyle w:val="BodyText"/>
              <w:jc w:val="center"/>
              <w:rPr>
                <w:rFonts w:ascii="Times New Roman" w:hAnsi="Times New Roman" w:cs="Times New Roman"/>
                <w:b/>
                <w:sz w:val="18"/>
                <w:szCs w:val="18"/>
              </w:rPr>
            </w:pPr>
          </w:p>
          <w:p>
            <w:pPr>
              <w:pStyle w:val="BodyText"/>
              <w:numPr>
                <w:ilvl w:val="0"/>
                <w:numId w:val="11"/>
              </w:numPr>
              <w:tabs>
                <w:tab w:val="left" w:pos="360"/>
              </w:tabs>
              <w:rPr>
                <w:rFonts w:ascii="Times New Roman" w:hAnsi="Times New Roman" w:cs="Times New Roman"/>
                <w:sz w:val="18"/>
                <w:szCs w:val="18"/>
              </w:rPr>
            </w:pPr>
            <w:r>
              <w:rPr>
                <w:rFonts w:ascii="Times New Roman" w:hAnsi="Times New Roman" w:cs="Times New Roman"/>
                <w:sz w:val="18"/>
                <w:szCs w:val="18"/>
              </w:rPr>
              <w:t>Členské štáty zabezpečia, aby príslušné orgány vykonávali všeobecný doz</w:t>
            </w:r>
            <w:r>
              <w:rPr>
                <w:rFonts w:ascii="Times New Roman" w:hAnsi="Times New Roman" w:cs="Times New Roman"/>
                <w:sz w:val="18"/>
                <w:szCs w:val="18"/>
              </w:rPr>
              <w:t xml:space="preserve">or nad transakciami medzi: </w:t>
            </w:r>
          </w:p>
          <w:p>
            <w:pPr>
              <w:pStyle w:val="BodyText"/>
              <w:rPr>
                <w:rFonts w:ascii="Times New Roman" w:hAnsi="Times New Roman" w:cs="Times New Roman"/>
                <w:sz w:val="18"/>
                <w:szCs w:val="18"/>
              </w:rPr>
            </w:pPr>
          </w:p>
          <w:p>
            <w:pPr>
              <w:pStyle w:val="BodyText"/>
              <w:numPr>
                <w:ilvl w:val="0"/>
                <w:numId w:val="12"/>
              </w:numPr>
              <w:tabs>
                <w:tab w:val="left" w:pos="735"/>
              </w:tabs>
              <w:rPr>
                <w:rFonts w:ascii="Times New Roman" w:hAnsi="Times New Roman" w:cs="Times New Roman"/>
                <w:sz w:val="18"/>
                <w:szCs w:val="18"/>
              </w:rPr>
            </w:pPr>
            <w:r>
              <w:rPr>
                <w:rFonts w:ascii="Times New Roman" w:hAnsi="Times New Roman" w:cs="Times New Roman"/>
                <w:sz w:val="18"/>
                <w:szCs w:val="18"/>
              </w:rPr>
              <w:t>poisťovacou spoločnosťou a:</w:t>
            </w:r>
          </w:p>
          <w:p>
            <w:pPr>
              <w:pStyle w:val="BodyText"/>
              <w:numPr>
                <w:ilvl w:val="0"/>
                <w:numId w:val="13"/>
              </w:numPr>
              <w:tabs>
                <w:tab w:val="left" w:pos="1428"/>
              </w:tabs>
              <w:rPr>
                <w:rFonts w:ascii="Times New Roman" w:hAnsi="Times New Roman" w:cs="Times New Roman"/>
                <w:sz w:val="18"/>
                <w:szCs w:val="18"/>
              </w:rPr>
            </w:pPr>
            <w:r>
              <w:rPr>
                <w:rFonts w:ascii="Times New Roman" w:hAnsi="Times New Roman" w:cs="Times New Roman"/>
                <w:sz w:val="18"/>
                <w:szCs w:val="18"/>
              </w:rPr>
              <w:t>príbuznou spoločnosťou poisťovacej spoločnosti ,</w:t>
            </w:r>
          </w:p>
          <w:p>
            <w:pPr>
              <w:pStyle w:val="BodyText"/>
              <w:numPr>
                <w:ilvl w:val="0"/>
                <w:numId w:val="13"/>
              </w:numPr>
              <w:tabs>
                <w:tab w:val="left" w:pos="1428"/>
              </w:tabs>
              <w:rPr>
                <w:rFonts w:ascii="Times New Roman" w:hAnsi="Times New Roman" w:cs="Times New Roman"/>
                <w:sz w:val="18"/>
                <w:szCs w:val="18"/>
              </w:rPr>
            </w:pPr>
            <w:r>
              <w:rPr>
                <w:rFonts w:ascii="Times New Roman" w:hAnsi="Times New Roman" w:cs="Times New Roman"/>
                <w:sz w:val="18"/>
                <w:szCs w:val="18"/>
              </w:rPr>
              <w:t>podieľajúcou sa spoločnosťou poisťovacej skupiny,</w:t>
            </w:r>
          </w:p>
          <w:p>
            <w:pPr>
              <w:pStyle w:val="BodyText"/>
              <w:numPr>
                <w:ilvl w:val="0"/>
                <w:numId w:val="13"/>
              </w:numPr>
              <w:tabs>
                <w:tab w:val="left" w:pos="1428"/>
              </w:tabs>
              <w:rPr>
                <w:rFonts w:ascii="Times New Roman" w:hAnsi="Times New Roman" w:cs="Times New Roman"/>
                <w:sz w:val="18"/>
                <w:szCs w:val="18"/>
              </w:rPr>
            </w:pPr>
            <w:r>
              <w:rPr>
                <w:rFonts w:ascii="Times New Roman" w:hAnsi="Times New Roman" w:cs="Times New Roman"/>
                <w:sz w:val="18"/>
                <w:szCs w:val="18"/>
              </w:rPr>
              <w:t>príbuznou spoločnosťou podieľajúcej sa spoločnosti v poisťovacej skupine,</w:t>
            </w:r>
          </w:p>
          <w:p>
            <w:pPr>
              <w:pStyle w:val="BodyText"/>
              <w:rPr>
                <w:rFonts w:ascii="Times New Roman" w:hAnsi="Times New Roman" w:cs="Times New Roman"/>
                <w:sz w:val="18"/>
                <w:szCs w:val="18"/>
              </w:rPr>
            </w:pPr>
          </w:p>
          <w:p>
            <w:pPr>
              <w:pStyle w:val="BodyText"/>
              <w:numPr>
                <w:ilvl w:val="0"/>
                <w:numId w:val="12"/>
              </w:numPr>
              <w:tabs>
                <w:tab w:val="left" w:pos="735"/>
              </w:tabs>
              <w:rPr>
                <w:rFonts w:ascii="Times New Roman" w:hAnsi="Times New Roman" w:cs="Times New Roman"/>
                <w:sz w:val="18"/>
                <w:szCs w:val="18"/>
              </w:rPr>
            </w:pPr>
            <w:r>
              <w:rPr>
                <w:rFonts w:ascii="Times New Roman" w:hAnsi="Times New Roman" w:cs="Times New Roman"/>
                <w:sz w:val="18"/>
                <w:szCs w:val="18"/>
              </w:rPr>
              <w:t xml:space="preserve">poisťovacou spoločnosťou a fyzickou osobou, ktorá sa podieľa na: </w:t>
            </w:r>
          </w:p>
          <w:p>
            <w:pPr>
              <w:pStyle w:val="BodyText"/>
              <w:rPr>
                <w:rFonts w:ascii="Times New Roman" w:hAnsi="Times New Roman" w:cs="Times New Roman"/>
                <w:sz w:val="18"/>
                <w:szCs w:val="18"/>
              </w:rPr>
            </w:pPr>
          </w:p>
          <w:p>
            <w:pPr>
              <w:pStyle w:val="BodyText"/>
              <w:numPr>
                <w:ilvl w:val="0"/>
                <w:numId w:val="14"/>
              </w:numPr>
              <w:tabs>
                <w:tab w:val="left" w:pos="1428"/>
              </w:tabs>
              <w:rPr>
                <w:rFonts w:ascii="Times New Roman" w:hAnsi="Times New Roman" w:cs="Times New Roman"/>
                <w:sz w:val="18"/>
                <w:szCs w:val="18"/>
              </w:rPr>
            </w:pPr>
            <w:r>
              <w:rPr>
                <w:rFonts w:ascii="Times New Roman" w:hAnsi="Times New Roman" w:cs="Times New Roman"/>
                <w:sz w:val="18"/>
                <w:szCs w:val="18"/>
              </w:rPr>
              <w:t>poisťovacej spoločnosti alebo akýchkoľvek príbuzných spoločnostiach</w:t>
            </w:r>
          </w:p>
          <w:p>
            <w:pPr>
              <w:pStyle w:val="BodyText"/>
              <w:numPr>
                <w:ilvl w:val="0"/>
                <w:numId w:val="14"/>
              </w:numPr>
              <w:tabs>
                <w:tab w:val="left" w:pos="1428"/>
              </w:tabs>
              <w:rPr>
                <w:rFonts w:ascii="Times New Roman" w:hAnsi="Times New Roman" w:cs="Times New Roman"/>
                <w:sz w:val="18"/>
                <w:szCs w:val="18"/>
              </w:rPr>
            </w:pPr>
            <w:r>
              <w:rPr>
                <w:rFonts w:ascii="Times New Roman" w:hAnsi="Times New Roman" w:cs="Times New Roman"/>
                <w:sz w:val="18"/>
                <w:szCs w:val="18"/>
              </w:rPr>
              <w:t>podieľajúcej sa spoločnosti v poisťovacej spoločnosti</w:t>
            </w:r>
          </w:p>
          <w:p>
            <w:pPr>
              <w:pStyle w:val="BodyText"/>
              <w:numPr>
                <w:ilvl w:val="0"/>
                <w:numId w:val="14"/>
              </w:numPr>
              <w:tabs>
                <w:tab w:val="left" w:pos="1428"/>
              </w:tabs>
              <w:rPr>
                <w:rFonts w:ascii="Times New Roman" w:hAnsi="Times New Roman" w:cs="Times New Roman"/>
                <w:sz w:val="18"/>
                <w:szCs w:val="18"/>
              </w:rPr>
            </w:pPr>
            <w:r>
              <w:rPr>
                <w:rFonts w:ascii="Times New Roman" w:hAnsi="Times New Roman" w:cs="Times New Roman"/>
                <w:sz w:val="18"/>
                <w:szCs w:val="18"/>
              </w:rPr>
              <w:t xml:space="preserve">príbuznej spoločnosti podieľajúcej sa spoločnosti v  poisťovacej spoločnosti. </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Tieto transa</w:t>
            </w:r>
            <w:r>
              <w:rPr>
                <w:rFonts w:ascii="Times New Roman" w:hAnsi="Times New Roman" w:cs="Times New Roman"/>
                <w:sz w:val="18"/>
                <w:szCs w:val="18"/>
              </w:rPr>
              <w:t xml:space="preserve">kcie sa týkajú najmä: </w:t>
            </w:r>
          </w:p>
          <w:p>
            <w:pPr>
              <w:pStyle w:val="BodyText"/>
              <w:rPr>
                <w:rFonts w:ascii="Times New Roman" w:hAnsi="Times New Roman" w:cs="Times New Roman"/>
                <w:sz w:val="18"/>
                <w:szCs w:val="18"/>
              </w:rPr>
            </w:pP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úverov</w:t>
            </w: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záruk a mimosúvahových transakcií</w:t>
            </w: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 xml:space="preserve">prvkov započítavaných do rozpätia solventnosti </w:t>
            </w: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investícií</w:t>
            </w: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zaisťovacích operácií</w:t>
            </w: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dohôd o cene akcií.</w:t>
            </w:r>
          </w:p>
          <w:p>
            <w:pPr>
              <w:pStyle w:val="BodyText"/>
              <w:rPr>
                <w:rFonts w:ascii="Times New Roman" w:hAnsi="Times New Roman" w:cs="Times New Roman"/>
                <w:sz w:val="18"/>
                <w:szCs w:val="18"/>
              </w:rPr>
            </w:pPr>
          </w:p>
          <w:p>
            <w:pPr>
              <w:pStyle w:val="BodyText"/>
              <w:numPr>
                <w:ilvl w:val="0"/>
                <w:numId w:val="11"/>
              </w:numPr>
              <w:tabs>
                <w:tab w:val="left" w:pos="360"/>
              </w:tabs>
              <w:rPr>
                <w:rFonts w:ascii="Times New Roman" w:hAnsi="Times New Roman" w:cs="Times New Roman"/>
                <w:sz w:val="18"/>
                <w:szCs w:val="18"/>
              </w:rPr>
            </w:pPr>
            <w:r>
              <w:rPr>
                <w:rFonts w:ascii="Times New Roman" w:hAnsi="Times New Roman" w:cs="Times New Roman"/>
                <w:sz w:val="18"/>
                <w:szCs w:val="18"/>
              </w:rPr>
              <w:t>Z tohto dôvodu by mali členské štáty požadovať od  poisťovacích spoločností aspoň výročné výkazy o dôležitých  transakciách predkladané príslušným orgánom v súlade s ustanoveniami odseku 1.</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Ak sa na základe týchto informácií zdá, že je alebo môže byť platobná schopnosť poisťovacej spoločnosti ohrozená, potom príslušné orgány príjmu primerané opatrenia na úrovni poisťovacej spoločnosti.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43</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xml:space="preserve">§ 49 </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r>
              <w:rPr>
                <w:rFonts w:ascii="Times New Roman" w:hAnsi="Times New Roman" w:cs="Times New Roman"/>
                <w:sz w:val="18"/>
                <w:szCs w:val="18"/>
              </w:rPr>
              <w:t>pís. 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overflowPunct w:val="0"/>
              <w:autoSpaceDE/>
              <w:autoSpaceDN/>
              <w:spacing w:after="0"/>
              <w:ind w:firstLine="0"/>
              <w:textAlignment w:val="baseline"/>
              <w:rPr>
                <w:rFonts w:ascii="Times New Roman" w:hAnsi="Times New Roman" w:cs="Times New Roman"/>
                <w:i/>
                <w:sz w:val="18"/>
                <w:szCs w:val="18"/>
                <w:lang w:val="sk-SK"/>
              </w:rPr>
            </w:pPr>
            <w:r>
              <w:rPr>
                <w:rFonts w:ascii="Times New Roman" w:hAnsi="Times New Roman" w:cs="Times New Roman"/>
                <w:color w:val="000000"/>
                <w:sz w:val="18"/>
                <w:szCs w:val="20"/>
                <w:lang w:val="sk-SK"/>
              </w:rPr>
              <w:t>Dohľadom na konsolidovanom základe sa rozumie sledovanie a regulácia rizík konsolidovaných celkov a subkonsolidovaných celkov, ktorých súčasťou sú poisťovne alebo zaisťovne na účel obmedzenia rizík, ktorým je poisťovňa alebo zaisťovňa vystavená z dôvodu jej účasti v konsolidovanom celku alebo subkonsolidovanom celku.</w:t>
            </w: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overflowPunct w:val="0"/>
              <w:autoSpaceDE/>
              <w:autoSpaceDN/>
              <w:spacing w:after="0"/>
              <w:ind w:firstLine="0"/>
              <w:textAlignment w:val="baseline"/>
              <w:rPr>
                <w:rFonts w:ascii="Times New Roman" w:hAnsi="Times New Roman" w:cs="Times New Roman"/>
                <w:i/>
                <w:sz w:val="18"/>
                <w:szCs w:val="18"/>
                <w:lang w:val="sk-SK"/>
              </w:rPr>
            </w:pPr>
          </w:p>
          <w:p>
            <w:pPr>
              <w:pStyle w:val="BodyText2"/>
              <w:spacing w:line="240" w:lineRule="auto"/>
              <w:rPr>
                <w:rFonts w:ascii="Times New Roman" w:hAnsi="Times New Roman" w:cs="Times New Roman"/>
                <w:i/>
                <w:sz w:val="18"/>
                <w:szCs w:val="18"/>
              </w:rPr>
            </w:pPr>
            <w:r>
              <w:rPr>
                <w:rFonts w:ascii="Times New Roman" w:hAnsi="Times New Roman" w:cs="Times New Roman"/>
                <w:i/>
                <w:sz w:val="18"/>
                <w:szCs w:val="18"/>
              </w:rPr>
              <w:t xml:space="preserve">Ak úrad zistí nedostatky v činnosti poisťovne, zaisťovne, pobočky zahraničnej poisťovne alebo pobočky zahraničnej zaisťovne, spočívajúce v nedodržiavaní podmienok určených v povolení podľa § 5, 6 alebo § 12 alebo v rozhodnutí o predchádzajúcom súhlase, podmienok alebo povinností vyplývajúcich z iných rozhodnutí úradu uložených poisťovni, zaisťovni, pobočke zahraničnej poisťovne alebo pobočke zahraničnej zaisťovne, v nedodržiavaní alebo v obchádzaní iných ustanovení tohto zákona, osobitných zákonov alebo iných všeobecne záväzných právnych predpisov, ktoré sa vzťahujú na vykonávanie poisťovacej </w:t>
            </w:r>
            <w:r>
              <w:rPr>
                <w:rFonts w:ascii="Times New Roman" w:hAnsi="Times New Roman" w:cs="Times New Roman"/>
                <w:b/>
                <w:bCs/>
                <w:i/>
                <w:sz w:val="18"/>
                <w:szCs w:val="18"/>
              </w:rPr>
              <w:t xml:space="preserve">činnosti </w:t>
            </w:r>
            <w:r>
              <w:rPr>
                <w:rFonts w:ascii="Times New Roman" w:hAnsi="Times New Roman" w:cs="Times New Roman"/>
                <w:i/>
                <w:sz w:val="18"/>
                <w:szCs w:val="18"/>
              </w:rPr>
              <w:t xml:space="preserve">alebo zaisťovacej činnosti </w:t>
            </w:r>
            <w:r>
              <w:rPr>
                <w:rFonts w:ascii="Times New Roman" w:hAnsi="Times New Roman" w:cs="Times New Roman"/>
                <w:b/>
                <w:bCs/>
                <w:i/>
                <w:sz w:val="18"/>
                <w:szCs w:val="18"/>
              </w:rPr>
              <w:t>alebo ak úrad zistí, že činnosť vykonávaná poisťovňou, zaisťovňou, pobočkou zahraničnej poisťovne alebo pobočkou zahraničnej zaisťovne môže viesť k ohrozeniu záujmov jej klientov</w:t>
            </w:r>
            <w:r>
              <w:rPr>
                <w:rFonts w:ascii="Times New Roman" w:hAnsi="Times New Roman" w:cs="Times New Roman"/>
                <w:i/>
                <w:sz w:val="18"/>
                <w:szCs w:val="18"/>
              </w:rPr>
              <w:t>, môže podľa závažnosti, miery zavinenia a povahy zistených nedostatkov</w:t>
            </w:r>
          </w:p>
          <w:p>
            <w:pPr>
              <w:pStyle w:val="BodyText2"/>
              <w:spacing w:line="240" w:lineRule="auto"/>
              <w:ind w:left="284" w:hanging="284"/>
              <w:rPr>
                <w:rFonts w:ascii="Times New Roman" w:hAnsi="Times New Roman" w:cs="Times New Roman"/>
                <w:i/>
                <w:sz w:val="18"/>
                <w:szCs w:val="18"/>
              </w:rPr>
            </w:pPr>
            <w:r>
              <w:rPr>
                <w:rFonts w:ascii="Times New Roman" w:hAnsi="Times New Roman" w:cs="Times New Roman"/>
                <w:i/>
                <w:sz w:val="18"/>
                <w:szCs w:val="18"/>
              </w:rPr>
              <w:t xml:space="preserve">a) uložiť poisťovni, </w:t>
            </w:r>
            <w:r>
              <w:rPr>
                <w:rFonts w:ascii="Times New Roman" w:hAnsi="Times New Roman" w:cs="Times New Roman"/>
                <w:b/>
                <w:bCs/>
                <w:i/>
                <w:iCs/>
                <w:sz w:val="18"/>
                <w:szCs w:val="18"/>
              </w:rPr>
              <w:t>poisťovni z iného členského štátu</w:t>
            </w:r>
            <w:r>
              <w:rPr>
                <w:rFonts w:ascii="Times New Roman" w:hAnsi="Times New Roman" w:cs="Times New Roman"/>
                <w:b/>
                <w:bCs/>
                <w:i/>
                <w:sz w:val="18"/>
                <w:szCs w:val="18"/>
              </w:rPr>
              <w:t>,</w:t>
            </w:r>
            <w:r>
              <w:rPr>
                <w:rFonts w:ascii="Times New Roman" w:hAnsi="Times New Roman" w:cs="Times New Roman"/>
                <w:i/>
                <w:sz w:val="18"/>
                <w:szCs w:val="18"/>
              </w:rPr>
              <w:t xml:space="preserve"> zaisťovni, pobočke zahraničnej poisťovne alebo pobočke zahraničnej zaisťovne opatrenia na odstránenie a na nápravu zistených nedostatkov,</w:t>
            </w:r>
          </w:p>
          <w:p>
            <w:pPr>
              <w:pStyle w:val="TABUKA-textsmernice"/>
              <w:rPr>
                <w:rFonts w:ascii="Times New Roman" w:hAnsi="Times New Roman" w:cs="Times New Roman"/>
                <w:i/>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Čl. 8(2) je nahradený čl. 28(3) smer. 2002/87/ES.</w:t>
            </w:r>
          </w:p>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9</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 xml:space="preserve">Požiadavky upravenej solventnosti </w:t>
            </w:r>
          </w:p>
          <w:p>
            <w:pPr>
              <w:pStyle w:val="BodyText"/>
              <w:jc w:val="center"/>
              <w:rPr>
                <w:rFonts w:ascii="Times New Roman" w:hAnsi="Times New Roman" w:cs="Times New Roman"/>
                <w:b/>
                <w:sz w:val="18"/>
                <w:szCs w:val="18"/>
              </w:rPr>
            </w:pPr>
          </w:p>
          <w:p>
            <w:pPr>
              <w:pStyle w:val="BodyText"/>
              <w:numPr>
                <w:ilvl w:val="0"/>
                <w:numId w:val="15"/>
              </w:numPr>
              <w:tabs>
                <w:tab w:val="left" w:pos="360"/>
              </w:tabs>
              <w:rPr>
                <w:rFonts w:ascii="Times New Roman" w:hAnsi="Times New Roman" w:cs="Times New Roman"/>
                <w:sz w:val="18"/>
                <w:szCs w:val="18"/>
              </w:rPr>
            </w:pPr>
            <w:r>
              <w:rPr>
                <w:rFonts w:ascii="Times New Roman" w:hAnsi="Times New Roman" w:cs="Times New Roman"/>
                <w:sz w:val="18"/>
                <w:szCs w:val="18"/>
              </w:rPr>
              <w:t xml:space="preserve">V prípade, ktorý je uvedený v článku 2(1), členské štáty požadujú, aby bol vykonaný výpočet upravenej solventnosti v súlade s prílohou 1. </w:t>
            </w:r>
          </w:p>
          <w:p>
            <w:pPr>
              <w:pStyle w:val="BodyText"/>
              <w:rPr>
                <w:rFonts w:ascii="Times New Roman" w:hAnsi="Times New Roman" w:cs="Times New Roman"/>
                <w:sz w:val="18"/>
                <w:szCs w:val="18"/>
              </w:rPr>
            </w:pPr>
          </w:p>
          <w:p>
            <w:pPr>
              <w:pStyle w:val="BodyText"/>
              <w:numPr>
                <w:ilvl w:val="0"/>
                <w:numId w:val="15"/>
              </w:numPr>
              <w:tabs>
                <w:tab w:val="left" w:pos="360"/>
              </w:tabs>
              <w:rPr>
                <w:rFonts w:ascii="Times New Roman" w:hAnsi="Times New Roman" w:cs="Times New Roman"/>
                <w:sz w:val="18"/>
                <w:szCs w:val="18"/>
              </w:rPr>
            </w:pPr>
            <w:r>
              <w:rPr>
                <w:rFonts w:ascii="Times New Roman" w:hAnsi="Times New Roman" w:cs="Times New Roman"/>
                <w:sz w:val="18"/>
                <w:szCs w:val="18"/>
              </w:rPr>
              <w:t xml:space="preserve">Akákoľvek príbuzná spoločnosť, podieľajúca sa, alebo príbuzná spoločnosť podieľajúcej sa spoločnosti je zahrnutá do výpočtu, ktorý je uvedený v odseku 1. </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numPr>
                <w:ilvl w:val="0"/>
                <w:numId w:val="15"/>
              </w:numPr>
              <w:tabs>
                <w:tab w:val="left" w:pos="360"/>
              </w:tabs>
              <w:rPr>
                <w:rFonts w:ascii="Times New Roman" w:hAnsi="Times New Roman" w:cs="Times New Roman"/>
                <w:sz w:val="18"/>
                <w:szCs w:val="18"/>
              </w:rPr>
            </w:pPr>
            <w:r>
              <w:rPr>
                <w:rFonts w:ascii="Times New Roman" w:hAnsi="Times New Roman" w:cs="Times New Roman"/>
                <w:sz w:val="18"/>
                <w:szCs w:val="18"/>
              </w:rPr>
              <w:t xml:space="preserve">Ak výpočet uvedený v odseku 1 preukáže negatívnu upravenú solventnosť, príslušné orgány príjmu primerané opatrenia na úrovni príslušnej poisťovacej spoločnosti.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95/2002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 31</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31</w:t>
            </w:r>
          </w:p>
          <w:p>
            <w:pPr>
              <w:pStyle w:val="TABUKA-textsmernice"/>
              <w:rPr>
                <w:rFonts w:ascii="Times New Roman" w:hAnsi="Times New Roman" w:cs="Times New Roman"/>
                <w:sz w:val="18"/>
                <w:szCs w:val="18"/>
              </w:rPr>
            </w:pPr>
            <w:r>
              <w:rPr>
                <w:rFonts w:ascii="Times New Roman" w:hAnsi="Times New Roman" w:cs="Times New Roman"/>
                <w:sz w:val="18"/>
                <w:szCs w:val="18"/>
              </w:rPr>
              <w:t>ods. 16</w:t>
            </w:r>
          </w:p>
          <w:p>
            <w:pPr>
              <w:pStyle w:val="TABUKA-textsmernice"/>
              <w:rPr>
                <w:rFonts w:ascii="Times New Roman" w:hAnsi="Times New Roman" w:cs="Times New Roman"/>
                <w:sz w:val="18"/>
                <w:szCs w:val="18"/>
              </w:rPr>
            </w:pPr>
            <w:r>
              <w:rPr>
                <w:rFonts w:ascii="Times New Roman" w:hAnsi="Times New Roman" w:cs="Times New Roman"/>
                <w:sz w:val="18"/>
                <w:szCs w:val="18"/>
              </w:rPr>
              <w:t>pís. c)</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d)</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50</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rPr>
                <w:rFonts w:ascii="Times New Roman" w:hAnsi="Times New Roman" w:cs="Times New Roman"/>
                <w:bCs/>
                <w:i/>
                <w:sz w:val="18"/>
                <w:szCs w:val="18"/>
              </w:rPr>
            </w:pPr>
            <w:r>
              <w:rPr>
                <w:rFonts w:ascii="Times New Roman" w:hAnsi="Times New Roman" w:cs="Times New Roman"/>
                <w:bCs/>
                <w:i/>
                <w:sz w:val="18"/>
                <w:szCs w:val="18"/>
              </w:rPr>
              <w:t>Solventnosťou poisťovne alebo solventnosťou pobočky zahraničnej poisťovne sa rozumie schopnosť trvale zabezpečiť vlastnými zdrojmi úhradu záväzkov vyplývajúcich z uzavretých poistných zmlúv alebo zaistných zmlúv.</w:t>
            </w:r>
          </w:p>
          <w:p>
            <w:pPr>
              <w:pStyle w:val="TABUKA-textsmernice"/>
              <w:rPr>
                <w:rFonts w:ascii="Times New Roman" w:hAnsi="Times New Roman" w:cs="Times New Roman"/>
                <w:i/>
                <w:sz w:val="18"/>
                <w:szCs w:val="18"/>
              </w:rPr>
            </w:pPr>
          </w:p>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Všeobecne záväzný právny predpis, ktorý vydá ministerstvo ustanov</w:t>
            </w:r>
            <w:r>
              <w:rPr>
                <w:rFonts w:ascii="Times New Roman" w:hAnsi="Times New Roman" w:cs="Times New Roman"/>
                <w:bCs/>
                <w:i/>
                <w:sz w:val="18"/>
                <w:szCs w:val="18"/>
                <w:lang w:val="sk-SK"/>
              </w:rPr>
              <w:t>í spôsob</w:t>
            </w:r>
          </w:p>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 xml:space="preserve">c) výpočtu, preukazovania a lehotu na preukázanie upravenej skutočnej miery solventnosti, </w:t>
            </w:r>
          </w:p>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 xml:space="preserve">d) výpočtu upravenej požadovanej miery solventnosti. </w:t>
            </w:r>
          </w:p>
          <w:p>
            <w:pPr>
              <w:spacing w:after="0"/>
              <w:ind w:firstLine="708"/>
              <w:rPr>
                <w:rFonts w:ascii="Times New Roman" w:hAnsi="Times New Roman" w:cs="Times New Roman"/>
                <w:i/>
                <w:sz w:val="18"/>
                <w:szCs w:val="18"/>
                <w:lang w:val="sk-SK"/>
              </w:rPr>
            </w:pPr>
          </w:p>
          <w:p>
            <w:pPr>
              <w:spacing w:after="0"/>
              <w:rPr>
                <w:rFonts w:ascii="Times New Roman" w:hAnsi="Times New Roman" w:cs="Times New Roman"/>
                <w:i/>
                <w:sz w:val="18"/>
                <w:szCs w:val="18"/>
                <w:lang w:val="sk-SK"/>
              </w:rPr>
            </w:pPr>
            <w:r>
              <w:rPr>
                <w:rFonts w:ascii="Times New Roman" w:hAnsi="Times New Roman" w:cs="Times New Roman"/>
                <w:i/>
                <w:sz w:val="18"/>
                <w:szCs w:val="18"/>
                <w:lang w:val="sk-SK"/>
              </w:rPr>
              <w:t>Úrad nariadi poisťovni, zaisťovni, pobočke zahraničnej poisťovne alebo pobočke zahraničnej zaisťovne predložiť na schválenie ozdravný plán, ak poisťovňa, zaisťovňa, pobočka zahraničnej poisťovne alebo pobočka zahraničnej zaisťovne</w:t>
            </w:r>
          </w:p>
          <w:p>
            <w:pPr>
              <w:pStyle w:val="BodyText2"/>
              <w:spacing w:line="240" w:lineRule="auto"/>
              <w:ind w:left="284" w:hanging="284"/>
              <w:rPr>
                <w:rFonts w:ascii="Times New Roman" w:hAnsi="Times New Roman" w:cs="Times New Roman"/>
                <w:bCs/>
                <w:i/>
                <w:sz w:val="18"/>
                <w:szCs w:val="18"/>
              </w:rPr>
            </w:pPr>
            <w:r>
              <w:rPr>
                <w:rFonts w:ascii="Times New Roman" w:hAnsi="Times New Roman" w:cs="Times New Roman"/>
                <w:i/>
                <w:sz w:val="18"/>
                <w:szCs w:val="18"/>
              </w:rPr>
              <w:t xml:space="preserve">b) má </w:t>
            </w:r>
            <w:r>
              <w:rPr>
                <w:rFonts w:ascii="Times New Roman" w:hAnsi="Times New Roman" w:cs="Times New Roman"/>
                <w:bCs/>
                <w:i/>
                <w:sz w:val="18"/>
                <w:szCs w:val="18"/>
              </w:rPr>
              <w:t xml:space="preserve">skutočnú mieru solvenstnosti nižšiu ako je požadovaná </w:t>
            </w:r>
            <w:r>
              <w:rPr>
                <w:rFonts w:ascii="Times New Roman" w:hAnsi="Times New Roman" w:cs="Times New Roman"/>
                <w:i/>
                <w:sz w:val="18"/>
                <w:szCs w:val="18"/>
              </w:rPr>
              <w:t xml:space="preserve">miera solventnosti, ale vyššiu ako garančný fond, </w:t>
            </w:r>
            <w:r>
              <w:rPr>
                <w:rFonts w:ascii="Times New Roman" w:hAnsi="Times New Roman" w:cs="Times New Roman"/>
                <w:bCs/>
                <w:i/>
                <w:sz w:val="18"/>
                <w:szCs w:val="18"/>
              </w:rPr>
              <w:t xml:space="preserve">podľa § 31 ods. </w:t>
            </w:r>
            <w:r>
              <w:rPr>
                <w:rFonts w:ascii="Times New Roman" w:hAnsi="Times New Roman" w:cs="Times New Roman"/>
                <w:bCs/>
                <w:i/>
                <w:sz w:val="18"/>
                <w:szCs w:val="18"/>
              </w:rPr>
              <w:t>6.</w:t>
            </w:r>
          </w:p>
          <w:p>
            <w:pPr>
              <w:pStyle w:val="TABUKA-textsmernice"/>
              <w:rPr>
                <w:rFonts w:ascii="Times New Roman" w:hAnsi="Times New Roman" w:cs="Times New Roman"/>
                <w:i/>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10</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Zaisťovacie spoločnosti, holdingové poisťovacie spoločnosti a poisťovacie spoločnosti v nečlenských krajinách</w:t>
            </w:r>
          </w:p>
          <w:p>
            <w:pPr>
              <w:pStyle w:val="BodyText"/>
              <w:jc w:val="center"/>
              <w:rPr>
                <w:rFonts w:ascii="Times New Roman" w:hAnsi="Times New Roman" w:cs="Times New Roman"/>
                <w:sz w:val="18"/>
                <w:szCs w:val="18"/>
              </w:rPr>
            </w:pPr>
          </w:p>
          <w:p>
            <w:pPr>
              <w:pStyle w:val="BodyText"/>
              <w:numPr>
                <w:ilvl w:val="0"/>
                <w:numId w:val="16"/>
              </w:numPr>
              <w:tabs>
                <w:tab w:val="left" w:pos="435"/>
              </w:tabs>
              <w:rPr>
                <w:rFonts w:ascii="Times New Roman" w:hAnsi="Times New Roman" w:cs="Times New Roman"/>
                <w:sz w:val="18"/>
                <w:szCs w:val="18"/>
              </w:rPr>
            </w:pPr>
            <w:r>
              <w:rPr>
                <w:rFonts w:ascii="Times New Roman" w:hAnsi="Times New Roman" w:cs="Times New Roman"/>
                <w:sz w:val="18"/>
                <w:szCs w:val="18"/>
              </w:rPr>
              <w:t xml:space="preserve">V prípade, ktorý je uvedený v článku 2(2), členské štáty musia požadovať, aby bola metóda doplnkového dozoru uplatnená v súlade </w:t>
            </w:r>
            <w:r>
              <w:rPr>
                <w:rFonts w:ascii="Times New Roman" w:hAnsi="Times New Roman" w:cs="Times New Roman"/>
                <w:sz w:val="18"/>
                <w:szCs w:val="18"/>
              </w:rPr>
              <w:t xml:space="preserve">s prílohou II. </w:t>
            </w:r>
          </w:p>
          <w:p>
            <w:pPr>
              <w:pStyle w:val="BodyText"/>
              <w:rPr>
                <w:rFonts w:ascii="Times New Roman" w:hAnsi="Times New Roman" w:cs="Times New Roman"/>
                <w:sz w:val="18"/>
                <w:szCs w:val="18"/>
              </w:rPr>
            </w:pPr>
          </w:p>
          <w:p>
            <w:pPr>
              <w:pStyle w:val="BodyText"/>
              <w:numPr>
                <w:ilvl w:val="0"/>
                <w:numId w:val="16"/>
              </w:numPr>
              <w:tabs>
                <w:tab w:val="left" w:pos="435"/>
              </w:tabs>
              <w:rPr>
                <w:rFonts w:ascii="Times New Roman" w:hAnsi="Times New Roman" w:cs="Times New Roman"/>
                <w:sz w:val="18"/>
                <w:szCs w:val="18"/>
              </w:rPr>
            </w:pPr>
            <w:r>
              <w:rPr>
                <w:rFonts w:ascii="Times New Roman" w:hAnsi="Times New Roman" w:cs="Times New Roman"/>
                <w:sz w:val="18"/>
                <w:szCs w:val="18"/>
              </w:rPr>
              <w:t xml:space="preserve">V prípade, ktorý je uvedený v článku 2(2), výpočet zahŕňa všetky príbuzné spoločnosti holdingovej poisťovacej spoločnosti, zaisťovacej spoločnosti, alebo poisťovacej spoločnosti  nečlenskej krajiny spôsobom, ktorý je uvedený v prílohe II. </w:t>
            </w:r>
          </w:p>
          <w:p>
            <w:pPr>
              <w:pStyle w:val="BodyText"/>
              <w:rPr>
                <w:rFonts w:ascii="Times New Roman" w:hAnsi="Times New Roman" w:cs="Times New Roman"/>
                <w:sz w:val="18"/>
                <w:szCs w:val="18"/>
              </w:rPr>
            </w:pPr>
          </w:p>
          <w:p>
            <w:pPr>
              <w:pStyle w:val="BodyText"/>
              <w:numPr>
                <w:ilvl w:val="0"/>
                <w:numId w:val="16"/>
              </w:numPr>
              <w:tabs>
                <w:tab w:val="left" w:pos="435"/>
              </w:tabs>
              <w:rPr>
                <w:rFonts w:ascii="Times New Roman" w:hAnsi="Times New Roman" w:cs="Times New Roman"/>
                <w:sz w:val="18"/>
                <w:szCs w:val="18"/>
              </w:rPr>
            </w:pPr>
            <w:r>
              <w:rPr>
                <w:rFonts w:ascii="Times New Roman" w:hAnsi="Times New Roman" w:cs="Times New Roman"/>
                <w:sz w:val="18"/>
                <w:szCs w:val="18"/>
              </w:rPr>
              <w:t xml:space="preserve">Ak na základe tohto výpočtu, príslušné orgány dospejú k záveru, že solventnosť dcérskej poisťovacej spoločnosti holdingovej poisťovacej spoločnosti, zaisťovacej spoločnosti, alebo poisťovacej spoločnosti nečlenskej krajiny je, alebo môže byť ohrozená, príjmu primerané opatrenia na úrovni poisťovacej spoločnosti.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42</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overflowPunct w:val="0"/>
              <w:autoSpaceDE/>
              <w:autoSpaceDN/>
              <w:spacing w:after="0"/>
              <w:ind w:firstLine="0"/>
              <w:textAlignment w:val="baseline"/>
              <w:rPr>
                <w:rFonts w:ascii="Times New Roman" w:hAnsi="Times New Roman" w:cs="Times New Roman"/>
                <w:i/>
                <w:sz w:val="18"/>
                <w:szCs w:val="18"/>
                <w:lang w:val="sk-SK"/>
              </w:rPr>
            </w:pPr>
            <w:r>
              <w:rPr>
                <w:rFonts w:ascii="Times New Roman" w:hAnsi="Times New Roman" w:cs="Times New Roman"/>
                <w:i/>
                <w:sz w:val="18"/>
                <w:szCs w:val="18"/>
                <w:lang w:val="sk-SK"/>
              </w:rPr>
              <w:t xml:space="preserve">Dohľad podľa tohto zákona sa vykonáva nad činnosťou poisťovne, zaisťovne, pobočky zahraničnej poisťovne, pobočky zahraničnej zaisťovne, poisťovacieho makléra, poisťovacieho agenta, Slovenskou kanceláriou poisťovateľov; za podmienok podľa § 20 ods. 3 a 4 podlieha dohľadu podľa tohto zákona aj poisťovacia </w:t>
            </w:r>
            <w:r>
              <w:rPr>
                <w:rFonts w:ascii="Times New Roman" w:hAnsi="Times New Roman" w:cs="Times New Roman"/>
                <w:b/>
                <w:bCs/>
                <w:i/>
                <w:sz w:val="18"/>
                <w:szCs w:val="18"/>
                <w:lang w:val="sk-SK"/>
              </w:rPr>
              <w:t>činnosť poisťovne z iného členského štátu</w:t>
            </w:r>
            <w:r>
              <w:rPr>
                <w:rFonts w:ascii="Times New Roman" w:hAnsi="Times New Roman" w:cs="Times New Roman"/>
                <w:i/>
                <w:sz w:val="18"/>
                <w:szCs w:val="18"/>
                <w:lang w:val="sk-SK"/>
              </w:rPr>
              <w:t xml:space="preserve"> v rozsahu ustanovenom týmto zákonom a činnosť iných osôb súvisiaca s činnosťou alebo riadením poisťovne, zaisťovne, pobočky zahraničnej poisťovne alebo pobočky zahraničnej zaisťovne. Dohľad sa tiež vykonáva nad konsolidovanými celkami podľa § 43, ktorých súčasťou sú  poisťovne a zaisťovne.</w:t>
            </w:r>
          </w:p>
          <w:p>
            <w:pPr>
              <w:pStyle w:val="TABUKA-textsmernice"/>
              <w:rPr>
                <w:rFonts w:ascii="Times New Roman" w:hAnsi="Times New Roman" w:cs="Times New Roman"/>
                <w:i/>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10a</w:t>
            </w:r>
          </w:p>
          <w:p>
            <w:pPr>
              <w:pStyle w:val="TABUKA-textsmernice"/>
              <w:rPr>
                <w:rFonts w:ascii="Times New Roman" w:hAnsi="Times New Roman" w:cs="Times New Roman"/>
                <w:sz w:val="18"/>
                <w:szCs w:val="18"/>
              </w:rPr>
            </w:pPr>
            <w:r>
              <w:rPr>
                <w:rFonts w:ascii="Times New Roman" w:hAnsi="Times New Roman" w:cs="Times New Roman"/>
                <w:sz w:val="18"/>
                <w:szCs w:val="18"/>
              </w:rPr>
              <w:t>10b</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i/>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Čl. 28(4) smer. 2002/87/ES doplnil čl. 10a a 10b.</w:t>
            </w: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11</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 xml:space="preserve">Vykonanie </w:t>
            </w:r>
          </w:p>
          <w:p>
            <w:pPr>
              <w:pStyle w:val="BodyText"/>
              <w:jc w:val="center"/>
              <w:rPr>
                <w:rFonts w:ascii="Times New Roman" w:hAnsi="Times New Roman" w:cs="Times New Roman"/>
                <w:sz w:val="18"/>
                <w:szCs w:val="18"/>
              </w:rPr>
            </w:pPr>
          </w:p>
          <w:p>
            <w:pPr>
              <w:pStyle w:val="BodyText"/>
              <w:numPr>
                <w:ilvl w:val="0"/>
                <w:numId w:val="17"/>
              </w:numPr>
              <w:tabs>
                <w:tab w:val="left" w:pos="405"/>
              </w:tabs>
              <w:rPr>
                <w:rFonts w:ascii="Times New Roman" w:hAnsi="Times New Roman" w:cs="Times New Roman"/>
                <w:sz w:val="18"/>
                <w:szCs w:val="18"/>
              </w:rPr>
            </w:pPr>
            <w:r>
              <w:rPr>
                <w:rFonts w:ascii="Times New Roman" w:hAnsi="Times New Roman" w:cs="Times New Roman"/>
                <w:sz w:val="18"/>
                <w:szCs w:val="18"/>
              </w:rPr>
              <w:t xml:space="preserve">Členské štáty príjmu zákony, iné predpisy a administratívne opatrenia potrebné na dosiahnutie súladu s touto smernicou najneskôr do 5. júna 2000. Bezodkladne o tom budú informovať komisiu. </w:t>
            </w:r>
          </w:p>
          <w:p>
            <w:pPr>
              <w:pStyle w:val="BodyText"/>
              <w:rPr>
                <w:rFonts w:ascii="Times New Roman" w:hAnsi="Times New Roman" w:cs="Times New Roman"/>
                <w:sz w:val="18"/>
                <w:szCs w:val="18"/>
              </w:rPr>
            </w:pPr>
          </w:p>
          <w:p>
            <w:pPr>
              <w:pStyle w:val="BodyText"/>
              <w:numPr>
                <w:ilvl w:val="0"/>
                <w:numId w:val="17"/>
              </w:numPr>
              <w:tabs>
                <w:tab w:val="left" w:pos="405"/>
              </w:tabs>
              <w:rPr>
                <w:rFonts w:ascii="Times New Roman" w:hAnsi="Times New Roman" w:cs="Times New Roman"/>
                <w:sz w:val="18"/>
                <w:szCs w:val="18"/>
              </w:rPr>
            </w:pPr>
            <w:r>
              <w:rPr>
                <w:rFonts w:ascii="Times New Roman" w:hAnsi="Times New Roman" w:cs="Times New Roman"/>
                <w:sz w:val="18"/>
                <w:szCs w:val="18"/>
              </w:rPr>
              <w:t xml:space="preserve">Členské štáty zabezpečia, že ustanovenia uvedené v odseku 1 sa najprv uplatnia pri dozore účtovníctva finančného roku, ktorý sa začína 1 januára 2001, alebo počas toho kalendárneho roku. </w:t>
            </w:r>
          </w:p>
          <w:p>
            <w:pPr>
              <w:pStyle w:val="BodyText"/>
              <w:rPr>
                <w:rFonts w:ascii="Times New Roman" w:hAnsi="Times New Roman" w:cs="Times New Roman"/>
                <w:sz w:val="18"/>
                <w:szCs w:val="18"/>
              </w:rPr>
            </w:pPr>
          </w:p>
          <w:p>
            <w:pPr>
              <w:pStyle w:val="BodyText"/>
              <w:numPr>
                <w:ilvl w:val="0"/>
                <w:numId w:val="17"/>
              </w:numPr>
              <w:tabs>
                <w:tab w:val="left" w:pos="405"/>
              </w:tabs>
              <w:rPr>
                <w:rFonts w:ascii="Times New Roman" w:hAnsi="Times New Roman" w:cs="Times New Roman"/>
                <w:sz w:val="18"/>
                <w:szCs w:val="18"/>
              </w:rPr>
            </w:pPr>
            <w:r>
              <w:rPr>
                <w:rFonts w:ascii="Times New Roman" w:hAnsi="Times New Roman" w:cs="Times New Roman"/>
                <w:sz w:val="18"/>
                <w:szCs w:val="18"/>
              </w:rPr>
              <w:t xml:space="preserve">Ak členské štáty príjmu opatrenia uvedené v odseku 1, potom v nich bude uvedený odkaz na túto smernicu, alebo k nim bude odkaz pripojený pri ich úradnom zverejnení. Spôsoby odkazovania sú stanovené členskými štátmi. </w:t>
            </w:r>
          </w:p>
          <w:p>
            <w:pPr>
              <w:pStyle w:val="BodyText"/>
              <w:rPr>
                <w:rFonts w:ascii="Times New Roman" w:hAnsi="Times New Roman" w:cs="Times New Roman"/>
                <w:sz w:val="18"/>
                <w:szCs w:val="18"/>
              </w:rPr>
            </w:pPr>
            <w:r>
              <w:rPr>
                <w:rStyle w:val="FootnoteReference"/>
                <w:rFonts w:ascii="Symbol" w:hAnsi="Symbol" w:cs="Times New Roman"/>
                <w:sz w:val="18"/>
                <w:szCs w:val="18"/>
              </w:rPr>
              <w:sym w:font="Symbol" w:char="F02E"/>
            </w:r>
          </w:p>
          <w:p>
            <w:pPr>
              <w:pStyle w:val="BodyText"/>
              <w:numPr>
                <w:ilvl w:val="0"/>
                <w:numId w:val="17"/>
              </w:numPr>
              <w:tabs>
                <w:tab w:val="left" w:pos="405"/>
              </w:tabs>
              <w:rPr>
                <w:rFonts w:ascii="Times New Roman" w:hAnsi="Times New Roman" w:cs="Times New Roman"/>
                <w:sz w:val="18"/>
                <w:szCs w:val="18"/>
              </w:rPr>
            </w:pPr>
            <w:r>
              <w:rPr>
                <w:rFonts w:ascii="Times New Roman" w:hAnsi="Times New Roman" w:cs="Times New Roman"/>
                <w:sz w:val="18"/>
                <w:szCs w:val="18"/>
              </w:rPr>
              <w:t>Členské štáty oznámia komisii znenie základných ustanovení vnútroštátneho práva, ktoré prij</w:t>
            </w:r>
            <w:r>
              <w:rPr>
                <w:rFonts w:ascii="Times New Roman" w:hAnsi="Times New Roman" w:cs="Times New Roman"/>
                <w:sz w:val="18"/>
                <w:szCs w:val="18"/>
              </w:rPr>
              <w:t xml:space="preserve">mú v oblasti upravenej touto smernicou. </w:t>
            </w:r>
          </w:p>
          <w:p>
            <w:pPr>
              <w:pStyle w:val="BodyText"/>
              <w:rPr>
                <w:rFonts w:ascii="Times New Roman" w:hAnsi="Times New Roman" w:cs="Times New Roman"/>
                <w:sz w:val="18"/>
                <w:szCs w:val="18"/>
              </w:rPr>
            </w:pPr>
          </w:p>
          <w:p>
            <w:pPr>
              <w:pStyle w:val="BodyText"/>
              <w:numPr>
                <w:ilvl w:val="0"/>
                <w:numId w:val="17"/>
              </w:numPr>
              <w:tabs>
                <w:tab w:val="left" w:pos="405"/>
              </w:tabs>
              <w:rPr>
                <w:rFonts w:ascii="Times New Roman" w:hAnsi="Times New Roman" w:cs="Times New Roman"/>
                <w:sz w:val="18"/>
                <w:szCs w:val="18"/>
              </w:rPr>
            </w:pPr>
            <w:r>
              <w:rPr>
                <w:rFonts w:ascii="Times New Roman" w:hAnsi="Times New Roman" w:cs="Times New Roman"/>
                <w:sz w:val="18"/>
                <w:szCs w:val="18"/>
              </w:rPr>
              <w:t xml:space="preserve">Najneskôr do 1. januára 2006 komisia predloží Výboru pre poisťovníctvo správu o uplatnení tejto smernice a, podľa požiadavky, o potrebe ďalšej harmonizácii.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N</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Čl. III</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rPr>
                <w:rFonts w:ascii="Times New Roman" w:hAnsi="Times New Roman" w:cs="Times New Roman"/>
                <w:sz w:val="18"/>
                <w:szCs w:val="18"/>
                <w:lang w:val="sk-SK"/>
              </w:rPr>
            </w:pPr>
            <w:r>
              <w:rPr>
                <w:rFonts w:ascii="Times New Roman" w:hAnsi="Times New Roman" w:cs="Times New Roman"/>
                <w:sz w:val="18"/>
                <w:szCs w:val="18"/>
                <w:lang w:val="sk-SK"/>
              </w:rPr>
              <w:t>Tento zákon nadobúda účinnosť 1. augusta 2004.</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N</w:t>
            </w: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12</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 xml:space="preserve">Nadobudnutie účinnosti </w:t>
            </w:r>
          </w:p>
          <w:p>
            <w:pPr>
              <w:pStyle w:val="BodyText"/>
              <w:jc w:val="center"/>
              <w:rPr>
                <w:rFonts w:ascii="Times New Roman" w:hAnsi="Times New Roman" w:cs="Times New Roman"/>
                <w:b/>
                <w:sz w:val="18"/>
                <w:szCs w:val="18"/>
              </w:rPr>
            </w:pPr>
          </w:p>
          <w:p>
            <w:pPr>
              <w:pStyle w:val="BodyText"/>
              <w:rPr>
                <w:rFonts w:ascii="Times New Roman" w:hAnsi="Times New Roman" w:cs="Times New Roman"/>
                <w:i/>
                <w:sz w:val="18"/>
                <w:szCs w:val="18"/>
              </w:rPr>
            </w:pPr>
            <w:r>
              <w:rPr>
                <w:rFonts w:ascii="Times New Roman" w:hAnsi="Times New Roman" w:cs="Times New Roman"/>
                <w:sz w:val="18"/>
                <w:szCs w:val="18"/>
              </w:rPr>
              <w:t xml:space="preserve">Táto smernica nadobúda účinnosť v deň jej uverejnenia v  </w:t>
            </w:r>
            <w:r>
              <w:rPr>
                <w:rFonts w:ascii="Times New Roman" w:hAnsi="Times New Roman" w:cs="Times New Roman"/>
                <w:i/>
                <w:sz w:val="18"/>
                <w:szCs w:val="18"/>
              </w:rPr>
              <w:t xml:space="preserve">Úradnom vestníku Európskych spoločenstiev.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24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13</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Pôsobnosť</w:t>
            </w:r>
          </w:p>
          <w:p>
            <w:pPr>
              <w:pStyle w:val="BodyText"/>
              <w:jc w:val="center"/>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Táto smernica je určená členským štátom.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24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Príloha I.</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center"/>
              <w:rPr>
                <w:rFonts w:ascii="Times New Roman" w:hAnsi="Times New Roman" w:cs="Times New Roman"/>
                <w:b/>
                <w:sz w:val="18"/>
                <w:szCs w:val="18"/>
              </w:rPr>
            </w:pPr>
            <w:r>
              <w:rPr>
                <w:rFonts w:ascii="Times New Roman" w:hAnsi="Times New Roman" w:cs="Times New Roman"/>
                <w:b/>
                <w:sz w:val="18"/>
                <w:szCs w:val="18"/>
              </w:rPr>
              <w:t>VÝPOČET UPRAVENEJ SOLVENTNOSTI  POISŤOVACÍCH SPOLOČNOSTÍ</w:t>
            </w:r>
          </w:p>
          <w:p>
            <w:pPr>
              <w:pStyle w:val="BodyText"/>
              <w:jc w:val="center"/>
              <w:rPr>
                <w:rFonts w:ascii="Times New Roman" w:hAnsi="Times New Roman" w:cs="Times New Roman"/>
                <w:b/>
                <w:sz w:val="18"/>
                <w:szCs w:val="18"/>
              </w:rPr>
            </w:pPr>
          </w:p>
          <w:p>
            <w:pPr>
              <w:pStyle w:val="BodyText"/>
              <w:numPr>
                <w:ilvl w:val="0"/>
                <w:numId w:val="18"/>
              </w:numPr>
              <w:tabs>
                <w:tab w:val="left" w:pos="360"/>
              </w:tabs>
              <w:rPr>
                <w:rFonts w:ascii="Times New Roman" w:hAnsi="Times New Roman" w:cs="Times New Roman"/>
                <w:sz w:val="18"/>
                <w:szCs w:val="18"/>
              </w:rPr>
            </w:pPr>
            <w:r>
              <w:rPr>
                <w:rFonts w:ascii="Times New Roman" w:hAnsi="Times New Roman" w:cs="Times New Roman"/>
                <w:sz w:val="18"/>
                <w:szCs w:val="18"/>
              </w:rPr>
              <w:t xml:space="preserve">VOĽBA METÓDY VÝPOČTU A VŠEOBECNÉ ZÁSADY </w:t>
            </w:r>
          </w:p>
          <w:p>
            <w:pPr>
              <w:pStyle w:val="BodyText"/>
              <w:rPr>
                <w:rFonts w:ascii="Times New Roman" w:hAnsi="Times New Roman" w:cs="Times New Roman"/>
                <w:sz w:val="18"/>
                <w:szCs w:val="18"/>
              </w:rPr>
            </w:pPr>
          </w:p>
          <w:p>
            <w:pPr>
              <w:pStyle w:val="BodyText"/>
              <w:numPr>
                <w:ilvl w:val="0"/>
                <w:numId w:val="19"/>
              </w:numPr>
              <w:tabs>
                <w:tab w:val="left" w:pos="810"/>
              </w:tabs>
              <w:rPr>
                <w:rFonts w:ascii="Times New Roman" w:hAnsi="Times New Roman" w:cs="Times New Roman"/>
                <w:sz w:val="18"/>
                <w:szCs w:val="18"/>
              </w:rPr>
            </w:pPr>
            <w:r>
              <w:rPr>
                <w:rFonts w:ascii="Times New Roman" w:hAnsi="Times New Roman" w:cs="Times New Roman"/>
                <w:sz w:val="18"/>
                <w:szCs w:val="18"/>
              </w:rPr>
              <w:t xml:space="preserve">Členské štáty ukladajú, aby bol výpočet upravenej solventnosti poisťovacích spoločností, ktorý je uvedený v článku 2(1), vykonaný v súlade s jednou z metód opísaných v bode 3. Členský štát môže uložiť príslušným orgánom, aby povolili, alebo nariadili uplatnenie metódy, ktorá je uvedená v bode 3 a je iná než metóda, ktorú zvolil členský štát. </w:t>
            </w:r>
          </w:p>
          <w:p>
            <w:pPr>
              <w:pStyle w:val="BodyText"/>
              <w:rPr>
                <w:rFonts w:ascii="Times New Roman" w:hAnsi="Times New Roman" w:cs="Times New Roman"/>
                <w:sz w:val="18"/>
                <w:szCs w:val="18"/>
              </w:rPr>
            </w:pPr>
          </w:p>
          <w:p>
            <w:pPr>
              <w:pStyle w:val="BodyText"/>
              <w:numPr>
                <w:ilvl w:val="0"/>
                <w:numId w:val="19"/>
              </w:numPr>
              <w:tabs>
                <w:tab w:val="left" w:pos="810"/>
              </w:tabs>
              <w:rPr>
                <w:rFonts w:ascii="Times New Roman" w:hAnsi="Times New Roman" w:cs="Times New Roman"/>
                <w:b/>
                <w:sz w:val="18"/>
                <w:szCs w:val="18"/>
              </w:rPr>
            </w:pPr>
            <w:r>
              <w:rPr>
                <w:rFonts w:ascii="Times New Roman" w:hAnsi="Times New Roman" w:cs="Times New Roman"/>
                <w:b/>
                <w:sz w:val="18"/>
                <w:szCs w:val="18"/>
              </w:rPr>
              <w:t>Úmernosť</w:t>
            </w:r>
          </w:p>
          <w:p>
            <w:pPr>
              <w:pStyle w:val="BodyText"/>
              <w:rPr>
                <w:rFonts w:ascii="Times New Roman" w:hAnsi="Times New Roman" w:cs="Times New Roman"/>
                <w:b/>
                <w:sz w:val="18"/>
                <w:szCs w:val="18"/>
              </w:rPr>
            </w:pPr>
          </w:p>
          <w:p>
            <w:pPr>
              <w:pStyle w:val="BodyText"/>
              <w:ind w:left="708"/>
              <w:rPr>
                <w:rFonts w:ascii="Times New Roman" w:hAnsi="Times New Roman" w:cs="Times New Roman"/>
                <w:sz w:val="18"/>
                <w:szCs w:val="18"/>
              </w:rPr>
            </w:pPr>
            <w:r>
              <w:rPr>
                <w:rFonts w:ascii="Times New Roman" w:hAnsi="Times New Roman" w:cs="Times New Roman"/>
                <w:sz w:val="18"/>
                <w:szCs w:val="18"/>
              </w:rPr>
              <w:t>Výpočet upravenej solventnosti poisťovacej spoločnosti zohľadní pomerný podiel spoločnosti podieľajúcej sa na  jej príbuzných spoločnostiach.</w:t>
            </w:r>
          </w:p>
          <w:p>
            <w:pPr>
              <w:pStyle w:val="BodyText"/>
              <w:ind w:left="708"/>
              <w:rPr>
                <w:rFonts w:ascii="Times New Roman" w:hAnsi="Times New Roman" w:cs="Times New Roman"/>
                <w:sz w:val="18"/>
                <w:szCs w:val="18"/>
              </w:rPr>
            </w:pPr>
          </w:p>
          <w:p>
            <w:pPr>
              <w:pStyle w:val="BodyText"/>
              <w:ind w:left="708"/>
              <w:rPr>
                <w:rFonts w:ascii="Times New Roman" w:hAnsi="Times New Roman" w:cs="Times New Roman"/>
                <w:sz w:val="18"/>
                <w:szCs w:val="18"/>
              </w:rPr>
            </w:pPr>
            <w:r>
              <w:rPr>
                <w:rFonts w:ascii="Times New Roman" w:hAnsi="Times New Roman" w:cs="Times New Roman"/>
                <w:sz w:val="18"/>
                <w:szCs w:val="18"/>
              </w:rPr>
              <w:t xml:space="preserve">„Pomerný podiel“ znamená, ak sa uplatní metóda 1 alebo 2 opísaná v bode 3, podiel upísaného kapitálu, ktorý je v priamej alebo nepriamej držbe podieľajúcej sa spoločnosti, alebo ak sa uplatní metóda 3 opísaná v bode 3, je to percento použité pre zavedenie konsolidovaných účtov. </w:t>
            </w:r>
          </w:p>
          <w:p>
            <w:pPr>
              <w:pStyle w:val="BodyText"/>
              <w:ind w:left="708"/>
              <w:rPr>
                <w:rFonts w:ascii="Times New Roman" w:hAnsi="Times New Roman" w:cs="Times New Roman"/>
                <w:sz w:val="18"/>
                <w:szCs w:val="18"/>
              </w:rPr>
            </w:pPr>
          </w:p>
          <w:p>
            <w:pPr>
              <w:pStyle w:val="BodyText"/>
              <w:ind w:left="708"/>
              <w:rPr>
                <w:rFonts w:ascii="Times New Roman" w:hAnsi="Times New Roman" w:cs="Times New Roman"/>
                <w:sz w:val="18"/>
                <w:szCs w:val="18"/>
              </w:rPr>
            </w:pPr>
            <w:r>
              <w:rPr>
                <w:rFonts w:ascii="Times New Roman" w:hAnsi="Times New Roman" w:cs="Times New Roman"/>
                <w:sz w:val="18"/>
                <w:szCs w:val="18"/>
              </w:rPr>
              <w:t xml:space="preserve">Avšak, pri použití ktorejkoľvek metódy, ak je príbuzná spoločnosť dcérskou spoločnosťou a má </w:t>
            </w:r>
            <w:r>
              <w:rPr>
                <w:rFonts w:ascii="Times New Roman" w:hAnsi="Times New Roman" w:cs="Times New Roman"/>
                <w:sz w:val="18"/>
                <w:szCs w:val="18"/>
              </w:rPr>
              <w:t>deficit solventnosti</w:t>
            </w:r>
            <w:r>
              <w:rPr>
                <w:rFonts w:ascii="Times New Roman" w:hAnsi="Times New Roman" w:cs="Times New Roman"/>
                <w:b/>
                <w:sz w:val="18"/>
                <w:szCs w:val="18"/>
              </w:rPr>
              <w:t xml:space="preserve">, </w:t>
            </w:r>
            <w:r>
              <w:rPr>
                <w:rFonts w:ascii="Times New Roman" w:hAnsi="Times New Roman" w:cs="Times New Roman"/>
                <w:sz w:val="18"/>
                <w:szCs w:val="18"/>
              </w:rPr>
              <w:t>sa berie do úvahy celkový deficit solventnosti dcérskej spoločnosti.</w:t>
            </w:r>
          </w:p>
          <w:p>
            <w:pPr>
              <w:pStyle w:val="BodyText"/>
              <w:ind w:left="708"/>
              <w:rPr>
                <w:rFonts w:ascii="Times New Roman" w:hAnsi="Times New Roman" w:cs="Times New Roman"/>
                <w:sz w:val="18"/>
                <w:szCs w:val="18"/>
              </w:rPr>
            </w:pPr>
          </w:p>
          <w:p>
            <w:pPr>
              <w:pStyle w:val="BodyText"/>
              <w:ind w:left="708"/>
              <w:rPr>
                <w:rFonts w:ascii="Times New Roman" w:hAnsi="Times New Roman" w:cs="Times New Roman"/>
                <w:sz w:val="18"/>
                <w:szCs w:val="18"/>
              </w:rPr>
            </w:pPr>
            <w:r>
              <w:rPr>
                <w:rFonts w:ascii="Times New Roman" w:hAnsi="Times New Roman" w:cs="Times New Roman"/>
                <w:sz w:val="18"/>
                <w:szCs w:val="18"/>
              </w:rPr>
              <w:t xml:space="preserve">Avšak, ak sa podľa názoru príslušných orgánov, zodpovednosť materskej spoločnosti, ktorá má v držbe kapitálový podiel, prísne a jednoznačne obmedzuje na tento podiel kapitálu, môžu dať príslušné orgány povolenie na deficit solventnosti dcérskej spoločnosti, ktorý bude zohľadnený na základe úmernosti. </w:t>
            </w:r>
          </w:p>
          <w:p>
            <w:pPr>
              <w:pStyle w:val="BodyText"/>
              <w:ind w:left="708"/>
              <w:rPr>
                <w:rFonts w:ascii="Times New Roman" w:hAnsi="Times New Roman" w:cs="Times New Roman"/>
                <w:sz w:val="18"/>
                <w:szCs w:val="18"/>
              </w:rPr>
            </w:pPr>
            <w:r>
              <w:rPr>
                <w:rFonts w:ascii="Times New Roman" w:hAnsi="Times New Roman" w:cs="Times New Roman"/>
                <w:sz w:val="18"/>
                <w:szCs w:val="18"/>
              </w:rPr>
              <w:t xml:space="preserve"> </w:t>
            </w:r>
          </w:p>
          <w:p>
            <w:pPr>
              <w:pStyle w:val="BodyText"/>
              <w:tabs>
                <w:tab w:val="left" w:pos="426"/>
              </w:tabs>
              <w:ind w:left="426"/>
              <w:rPr>
                <w:rFonts w:ascii="Times New Roman" w:hAnsi="Times New Roman" w:cs="Times New Roman"/>
                <w:b/>
                <w:sz w:val="18"/>
                <w:szCs w:val="18"/>
              </w:rPr>
            </w:pPr>
            <w:r>
              <w:rPr>
                <w:rFonts w:ascii="Times New Roman" w:hAnsi="Times New Roman" w:cs="Times New Roman"/>
                <w:b/>
                <w:sz w:val="18"/>
                <w:szCs w:val="18"/>
              </w:rPr>
              <w:t xml:space="preserve">C. Vylúčenie dvojitého použitia prvkov rozpätia solventnosti </w:t>
            </w:r>
          </w:p>
          <w:p>
            <w:pPr>
              <w:pStyle w:val="BodyText"/>
              <w:tabs>
                <w:tab w:val="left" w:pos="426"/>
              </w:tabs>
              <w:ind w:left="426"/>
              <w:rPr>
                <w:rFonts w:ascii="Times New Roman" w:hAnsi="Times New Roman" w:cs="Times New Roman"/>
                <w:b/>
                <w:sz w:val="18"/>
                <w:szCs w:val="18"/>
              </w:rPr>
            </w:pPr>
          </w:p>
          <w:p>
            <w:pPr>
              <w:pStyle w:val="BodyText"/>
              <w:ind w:left="426"/>
              <w:rPr>
                <w:rFonts w:ascii="Times New Roman" w:hAnsi="Times New Roman" w:cs="Times New Roman"/>
                <w:sz w:val="18"/>
                <w:szCs w:val="18"/>
              </w:rPr>
            </w:pPr>
            <w:r>
              <w:rPr>
                <w:rFonts w:ascii="Times New Roman" w:hAnsi="Times New Roman" w:cs="Times New Roman"/>
                <w:sz w:val="18"/>
                <w:szCs w:val="18"/>
              </w:rPr>
              <w:t>C.1 Všeobecné zaobchádzanie s prvkami rozpätia solve</w:t>
            </w:r>
            <w:r>
              <w:rPr>
                <w:rFonts w:ascii="Times New Roman" w:hAnsi="Times New Roman" w:cs="Times New Roman"/>
                <w:sz w:val="18"/>
                <w:szCs w:val="18"/>
              </w:rPr>
              <w:t xml:space="preserve">ntnosti </w:t>
            </w:r>
          </w:p>
          <w:p>
            <w:pPr>
              <w:pStyle w:val="BodyText"/>
              <w:ind w:left="426"/>
              <w:rPr>
                <w:rFonts w:ascii="Times New Roman" w:hAnsi="Times New Roman" w:cs="Times New Roman"/>
                <w:sz w:val="18"/>
                <w:szCs w:val="18"/>
              </w:rPr>
            </w:pPr>
          </w:p>
          <w:p>
            <w:pPr>
              <w:pStyle w:val="BodyText"/>
              <w:ind w:left="426"/>
              <w:rPr>
                <w:rFonts w:ascii="Times New Roman" w:hAnsi="Times New Roman" w:cs="Times New Roman"/>
                <w:sz w:val="18"/>
                <w:szCs w:val="18"/>
              </w:rPr>
            </w:pPr>
            <w:r>
              <w:rPr>
                <w:rFonts w:ascii="Times New Roman" w:hAnsi="Times New Roman" w:cs="Times New Roman"/>
                <w:sz w:val="18"/>
                <w:szCs w:val="18"/>
              </w:rPr>
              <w:t>Bez ohľadu na metódu použitú pri výpočte upravenej solventnosti poisťovacej spoločnosti, dvojité použitie prvkov započítavaných do rozpätia solventnosti medzi rôznymi poisťovacími spoločnosťami, ktoré sa pri výpočte berú do úvahy, musí byť vylúče</w:t>
            </w:r>
            <w:r>
              <w:rPr>
                <w:rFonts w:ascii="Times New Roman" w:hAnsi="Times New Roman" w:cs="Times New Roman"/>
                <w:sz w:val="18"/>
                <w:szCs w:val="18"/>
              </w:rPr>
              <w:t xml:space="preserve">né. </w:t>
            </w:r>
          </w:p>
          <w:p>
            <w:pPr>
              <w:pStyle w:val="BodyText"/>
              <w:ind w:left="426"/>
              <w:rPr>
                <w:rFonts w:ascii="Times New Roman" w:hAnsi="Times New Roman" w:cs="Times New Roman"/>
                <w:sz w:val="18"/>
                <w:szCs w:val="18"/>
              </w:rPr>
            </w:pPr>
          </w:p>
          <w:p>
            <w:pPr>
              <w:pStyle w:val="BodyText"/>
              <w:ind w:left="426"/>
              <w:rPr>
                <w:rFonts w:ascii="Times New Roman" w:hAnsi="Times New Roman" w:cs="Times New Roman"/>
                <w:sz w:val="18"/>
                <w:szCs w:val="18"/>
              </w:rPr>
            </w:pPr>
            <w:r>
              <w:rPr>
                <w:rFonts w:ascii="Times New Roman" w:hAnsi="Times New Roman" w:cs="Times New Roman"/>
                <w:sz w:val="18"/>
                <w:szCs w:val="18"/>
              </w:rPr>
              <w:t xml:space="preserve">Pre tento účel, pri výpočte upravenej solventnosti poisťovacej spoločnosti a ak to metódy uvedené v bode 3 neupravujú, je potrebné vylúčiť nasledujúce sumy: </w:t>
            </w:r>
          </w:p>
          <w:p>
            <w:pPr>
              <w:pStyle w:val="BodyText"/>
              <w:ind w:left="426"/>
              <w:rPr>
                <w:rFonts w:ascii="Times New Roman" w:hAnsi="Times New Roman" w:cs="Times New Roman"/>
                <w:sz w:val="18"/>
                <w:szCs w:val="18"/>
              </w:rPr>
            </w:pP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 xml:space="preserve">hodnotu akéhokoľvek aktíva tej poisťovacej spoločnosti, ktorá predstavuje financovanie prvkov započítavaných do rozpätia solventnosti jednej z príbuzných poisťovacích spoločností, </w:t>
            </w:r>
          </w:p>
          <w:p>
            <w:pPr>
              <w:pStyle w:val="BodyText"/>
              <w:rPr>
                <w:rFonts w:ascii="Times New Roman" w:hAnsi="Times New Roman" w:cs="Times New Roman"/>
                <w:sz w:val="18"/>
                <w:szCs w:val="18"/>
              </w:rPr>
            </w:pP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hodnotu akéhokoľvek aktíva príbuznej poisťovacej spoločnosti tej poisťovacej spoločnosti, ktorá predstavuje financovanie prvkov započítavaných do rozpätia solventnosti tejto poisťovacej spoločnosti,</w:t>
            </w:r>
          </w:p>
          <w:p>
            <w:pPr>
              <w:pStyle w:val="BodyText"/>
              <w:rPr>
                <w:rFonts w:ascii="Times New Roman" w:hAnsi="Times New Roman" w:cs="Times New Roman"/>
                <w:sz w:val="18"/>
                <w:szCs w:val="18"/>
              </w:rPr>
            </w:pP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 xml:space="preserve">hodnotu akéhokoľvek aktíva príbuznej poisťovacej spoločnosti tej poisťovacej spoločnosti, ktorá predstavuje financovanie prvkov započítavaných do rozpätia solventnosti akejkoľvek inej príbuznej poisťovacej spoločnosti tejto poisťovacej spoločnosti. </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C.2. Zaobchádzanie s určitými prvkami</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Bez dopadu na dotknuté ustanovenia časti C.1: </w:t>
            </w: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 xml:space="preserve">rezervy zisku a budúce zisky akumulované v príbuzných životných poisťovniach poisťovacej spoločnosti, pre ktorú bola vypočítaná upravená solventnosť a </w:t>
            </w:r>
          </w:p>
          <w:p>
            <w:pPr>
              <w:pStyle w:val="BodyText"/>
              <w:rPr>
                <w:rFonts w:ascii="Times New Roman" w:hAnsi="Times New Roman" w:cs="Times New Roman"/>
                <w:sz w:val="18"/>
                <w:szCs w:val="18"/>
              </w:rPr>
            </w:pPr>
          </w:p>
          <w:p>
            <w:pPr>
              <w:pStyle w:val="BodyText"/>
              <w:numPr>
                <w:ilvl w:val="0"/>
                <w:numId w:val="5"/>
              </w:numPr>
              <w:tabs>
                <w:tab w:val="left" w:pos="360"/>
              </w:tabs>
              <w:rPr>
                <w:rFonts w:ascii="Times New Roman" w:hAnsi="Times New Roman" w:cs="Times New Roman"/>
                <w:sz w:val="18"/>
                <w:szCs w:val="18"/>
              </w:rPr>
            </w:pPr>
            <w:r>
              <w:rPr>
                <w:rFonts w:ascii="Times New Roman" w:hAnsi="Times New Roman" w:cs="Times New Roman"/>
                <w:sz w:val="18"/>
                <w:szCs w:val="18"/>
              </w:rPr>
              <w:t xml:space="preserve">akýkoľvek upísaný ale neuhradený kapitál príbuznej poisťovacej spoločnosti poisťovacej spoločnosti, pre ktorú bolo vypočítané rozpätie solventnosti, možno započítať do výpočtu len ak spĺňa požiadavky pre rozpätie solventnosti tejto príbuznej spoločnosti. Avšak, akýkoľvek upísaný, ale neuhradený kapitál, ktorý predstavuje potenciálny záväzok zo strany podieľajúcej sa spoločnosti sa z výpočtu úplne vylúči. </w:t>
            </w:r>
          </w:p>
          <w:p>
            <w:pPr>
              <w:pStyle w:val="BodyText"/>
              <w:rPr>
                <w:rFonts w:ascii="Times New Roman" w:hAnsi="Times New Roman" w:cs="Times New Roman"/>
                <w:sz w:val="18"/>
                <w:szCs w:val="18"/>
              </w:rPr>
            </w:pPr>
          </w:p>
          <w:p>
            <w:pPr>
              <w:pStyle w:val="BodyText"/>
              <w:numPr>
                <w:ilvl w:val="0"/>
                <w:numId w:val="27"/>
              </w:numPr>
              <w:tabs>
                <w:tab w:val="left" w:pos="360"/>
                <w:tab w:val="clear" w:pos="1080"/>
              </w:tabs>
              <w:ind w:left="360"/>
              <w:rPr>
                <w:rFonts w:ascii="Times New Roman" w:hAnsi="Times New Roman" w:cs="Times New Roman"/>
                <w:sz w:val="18"/>
                <w:szCs w:val="18"/>
              </w:rPr>
            </w:pPr>
            <w:r>
              <w:rPr>
                <w:rFonts w:ascii="Times New Roman" w:hAnsi="Times New Roman" w:cs="Times New Roman"/>
                <w:sz w:val="18"/>
                <w:szCs w:val="18"/>
              </w:rPr>
              <w:t xml:space="preserve">Akýkoľvek upísaný, alebo neuhradený kapitál podieľajúcej sa poisťovacej spoločnosti, ktorý predstavuje potenciálny záväzok zo strany druhej príbuznej poisťovacej spoločnosti sa z výpočtu vylúči. </w:t>
            </w:r>
          </w:p>
          <w:p>
            <w:pPr>
              <w:pStyle w:val="BodyText"/>
              <w:ind w:left="360"/>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C.3. Prenositeľnosť </w:t>
            </w:r>
          </w:p>
          <w:p>
            <w:pPr>
              <w:pStyle w:val="BodyText"/>
              <w:rPr>
                <w:rFonts w:ascii="Times New Roman" w:hAnsi="Times New Roman" w:cs="Times New Roman"/>
                <w:sz w:val="18"/>
                <w:szCs w:val="18"/>
              </w:rPr>
            </w:pPr>
          </w:p>
          <w:p>
            <w:pPr>
              <w:pStyle w:val="BodyText"/>
              <w:tabs>
                <w:tab w:val="left" w:pos="426"/>
              </w:tabs>
              <w:ind w:left="426"/>
              <w:rPr>
                <w:rFonts w:ascii="Times New Roman" w:hAnsi="Times New Roman" w:cs="Times New Roman"/>
                <w:sz w:val="18"/>
                <w:szCs w:val="18"/>
              </w:rPr>
            </w:pPr>
            <w:r>
              <w:rPr>
                <w:rFonts w:ascii="Times New Roman" w:hAnsi="Times New Roman" w:cs="Times New Roman"/>
                <w:sz w:val="18"/>
                <w:szCs w:val="18"/>
              </w:rPr>
              <w:t xml:space="preserve">Ak príslušné orgány usúdia, že určité prvky vhodné pre výpočet rozpätia solventnosti príbuznej poisťovacej spoločnosti, iné než tie, ktoré sú uvedené v časti C2, nemôžu byť reálne sprístupnené na pokrytie požiadavky rozpätia solventnosti podieľajúcej sa spoločnosti, pre ktorú sa vypočítava úprava rozpätia solventnosti, tieto prvky možno zahrnúť do výpočtu len vtedy, ak sú vhodné na započítanie do výpočtu požadovaného rozpätia solventnosti príbuznej spoločnosti. </w:t>
            </w:r>
          </w:p>
          <w:p>
            <w:pPr>
              <w:pStyle w:val="BodyText"/>
              <w:tabs>
                <w:tab w:val="left" w:pos="426"/>
              </w:tabs>
              <w:ind w:left="426"/>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C.4. Súčet prvkov uvedených v častiach C.2 a C.3 nesmie presiahnuť požadované </w:t>
            </w:r>
          </w:p>
          <w:p>
            <w:pPr>
              <w:pStyle w:val="BodyText"/>
              <w:tabs>
                <w:tab w:val="left" w:pos="426"/>
              </w:tabs>
              <w:ind w:left="426"/>
              <w:rPr>
                <w:rFonts w:ascii="Times New Roman" w:hAnsi="Times New Roman" w:cs="Times New Roman"/>
                <w:sz w:val="18"/>
                <w:szCs w:val="18"/>
              </w:rPr>
            </w:pPr>
            <w:r>
              <w:rPr>
                <w:rFonts w:ascii="Times New Roman" w:hAnsi="Times New Roman" w:cs="Times New Roman"/>
                <w:sz w:val="18"/>
                <w:szCs w:val="18"/>
              </w:rPr>
              <w:t>rozpätia solventnosti príbuznej poisťovacej spoločnosti.</w:t>
            </w:r>
          </w:p>
          <w:p>
            <w:pPr>
              <w:pStyle w:val="BodyText"/>
              <w:tabs>
                <w:tab w:val="left" w:pos="426"/>
              </w:tabs>
              <w:ind w:left="426"/>
              <w:rPr>
                <w:rFonts w:ascii="Times New Roman" w:hAnsi="Times New Roman" w:cs="Times New Roman"/>
                <w:sz w:val="18"/>
                <w:szCs w:val="18"/>
              </w:rPr>
            </w:pPr>
          </w:p>
          <w:p>
            <w:pPr>
              <w:pStyle w:val="BodyText"/>
              <w:tabs>
                <w:tab w:val="left" w:pos="426"/>
              </w:tabs>
              <w:rPr>
                <w:rFonts w:ascii="Times New Roman" w:hAnsi="Times New Roman" w:cs="Times New Roman"/>
                <w:b/>
                <w:sz w:val="18"/>
                <w:szCs w:val="18"/>
              </w:rPr>
            </w:pPr>
            <w:r>
              <w:rPr>
                <w:rFonts w:ascii="Times New Roman" w:hAnsi="Times New Roman" w:cs="Times New Roman"/>
                <w:sz w:val="18"/>
                <w:szCs w:val="18"/>
              </w:rPr>
              <w:t xml:space="preserve">D. </w:t>
            </w:r>
            <w:r>
              <w:rPr>
                <w:rFonts w:ascii="Times New Roman" w:hAnsi="Times New Roman" w:cs="Times New Roman"/>
                <w:b/>
                <w:sz w:val="18"/>
                <w:szCs w:val="18"/>
              </w:rPr>
              <w:t>Vylúčenie tvorby kapitálu v rá</w:t>
            </w:r>
            <w:r>
              <w:rPr>
                <w:rFonts w:ascii="Times New Roman" w:hAnsi="Times New Roman" w:cs="Times New Roman"/>
                <w:b/>
                <w:sz w:val="18"/>
                <w:szCs w:val="18"/>
              </w:rPr>
              <w:t xml:space="preserve">mci skupiny </w:t>
            </w:r>
          </w:p>
          <w:p>
            <w:pPr>
              <w:pStyle w:val="BodyText"/>
              <w:tabs>
                <w:tab w:val="left" w:pos="426"/>
              </w:tabs>
              <w:rPr>
                <w:rFonts w:ascii="Times New Roman" w:hAnsi="Times New Roman" w:cs="Times New Roman"/>
                <w:b/>
                <w:sz w:val="18"/>
                <w:szCs w:val="18"/>
              </w:rPr>
            </w:pPr>
          </w:p>
          <w:p>
            <w:pPr>
              <w:pStyle w:val="BodyText"/>
              <w:tabs>
                <w:tab w:val="left" w:pos="426"/>
              </w:tabs>
              <w:ind w:left="426"/>
              <w:rPr>
                <w:rFonts w:ascii="Times New Roman" w:hAnsi="Times New Roman" w:cs="Times New Roman"/>
                <w:sz w:val="18"/>
                <w:szCs w:val="18"/>
              </w:rPr>
            </w:pPr>
            <w:r>
              <w:rPr>
                <w:rFonts w:ascii="Times New Roman" w:hAnsi="Times New Roman" w:cs="Times New Roman"/>
                <w:sz w:val="18"/>
                <w:szCs w:val="18"/>
              </w:rPr>
              <w:t xml:space="preserve">Pri výpočte upravenej solventnosti sa neberie do úvahy žiaden prvok započítavaný do rozpätia solventnosti, ktorý vznikne na základe recipročného financovania medzi poisťovacou spoločnosťou a : </w:t>
            </w:r>
          </w:p>
          <w:p>
            <w:pPr>
              <w:pStyle w:val="BodyText"/>
              <w:tabs>
                <w:tab w:val="left" w:pos="426"/>
              </w:tabs>
              <w:ind w:left="426"/>
              <w:rPr>
                <w:rFonts w:ascii="Times New Roman" w:hAnsi="Times New Roman" w:cs="Times New Roman"/>
                <w:sz w:val="18"/>
                <w:szCs w:val="18"/>
              </w:rPr>
            </w:pP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príbuznou spoločnosťou</w:t>
            </w: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podieľajúcou sa spoločnosťou</w:t>
            </w: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inou príbuznou spoločnosťou niektorej z podieľajúcich sa spoločností.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Na dôvažok sa neberie do úvahy žiaden prvok započítavaný do rozpätia solventnosti príbuznej poisťovacej spoločnosti poisťovacej spoločnosti pre ktorú sa vypočítava upravená solventnosť, ak je príslušný prvok dôsledkom recipročného financovania s  niektorou príbuznou spoločnosťou  tejto poisťovacej spoločnosti.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Konkrétne, k recipročnému financovaniu dochádza, ak poisťovacia spoločnosť, alebo niektorá z jej príbuzných spoločností vlastní akcie, alebo poskytuje úver druhej spoločnosti, ktorá priamo alebo nepriamo vlastní prvok, ktorý sa započítava do rozpätia solventnosti prvej spoločnosti.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E.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Príslušné orgány zabezpečia, že sa upravená solventnosť vypočíta tak často, ako je to stanovené v  smerniciach 73/239/EHS a 79/267/EHS pre výpočet rozpätia solventnosti poisťovacích spoločností. Hodnota aktív a pasív sa posúdi podľa príslušných ustanovení smerníc 73/239/EHS, 79/267/EHS a 91/674/EHS (</w:t>
            </w:r>
            <w:r>
              <w:rPr>
                <w:rFonts w:ascii="Times New Roman" w:hAnsi="Times New Roman" w:cs="Times New Roman"/>
                <w:sz w:val="18"/>
                <w:szCs w:val="18"/>
                <w:vertAlign w:val="superscript"/>
              </w:rPr>
              <w:t>1</w:t>
            </w:r>
            <w:r>
              <w:rPr>
                <w:rFonts w:ascii="Times New Roman" w:hAnsi="Times New Roman" w:cs="Times New Roman"/>
                <w:sz w:val="18"/>
                <w:szCs w:val="18"/>
              </w:rPr>
              <w:t xml:space="preserve">). </w:t>
            </w:r>
          </w:p>
          <w:p>
            <w:pPr>
              <w:pStyle w:val="BodyText"/>
              <w:tabs>
                <w:tab w:val="left" w:pos="426"/>
              </w:tabs>
              <w:rPr>
                <w:rFonts w:ascii="Times New Roman" w:hAnsi="Times New Roman" w:cs="Times New Roman"/>
                <w:sz w:val="18"/>
                <w:szCs w:val="18"/>
              </w:rPr>
            </w:pPr>
          </w:p>
          <w:p>
            <w:pPr>
              <w:pStyle w:val="BodyText"/>
              <w:numPr>
                <w:ilvl w:val="0"/>
                <w:numId w:val="18"/>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POUŽITIE METÓD VÝPOČTU </w:t>
            </w:r>
          </w:p>
          <w:p>
            <w:pPr>
              <w:pStyle w:val="BodyText"/>
              <w:numPr>
                <w:ilvl w:val="1"/>
                <w:numId w:val="18"/>
              </w:numPr>
              <w:tabs>
                <w:tab w:val="left" w:pos="435"/>
              </w:tabs>
              <w:rPr>
                <w:rFonts w:ascii="Times New Roman" w:hAnsi="Times New Roman" w:cs="Times New Roman"/>
                <w:b/>
                <w:sz w:val="18"/>
                <w:szCs w:val="18"/>
              </w:rPr>
            </w:pPr>
            <w:r>
              <w:rPr>
                <w:rFonts w:ascii="Times New Roman" w:hAnsi="Times New Roman" w:cs="Times New Roman"/>
                <w:b/>
                <w:sz w:val="18"/>
                <w:szCs w:val="18"/>
              </w:rPr>
              <w:t xml:space="preserve">Príbuzné poisťovacie spoločnosti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Výpočet upraveného rozpätia sa uskutoční v súlade so všeobecnými zásadami a metódami uvedenými v tejto prílohe.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Ak má poisťovacia spoločnosť viac ako jednu príbuznú poisťovaciu spoločnosť, potom sa pri všetkých metódach upravená solventnosť vypočíta zlúčením všetkých príbuzných poisťovacích spoločností.</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V prípade následnej účasti ( napríklad, ak sa poisťovacia spoločnosť  podieľa na inej poisťovacej spoločnosti, ktorá je tiež podieľajúcou sa spoločnosťou v poisťovacej spoločnosti), sa výpočet upravenej solventnosti uskutoční na úrovni každej podieľajúcej sa poisťovacej spoločnosti, ktorá má aspoň jednu príbuznú poisťovaciu spoločnosť.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Členské štáty môžu odstúpiť od výpočtu upravenej solventnosti  poisťovacej spoločnosti:</w:t>
            </w:r>
          </w:p>
          <w:p>
            <w:pPr>
              <w:pStyle w:val="BodyText"/>
              <w:tabs>
                <w:tab w:val="left" w:pos="426"/>
              </w:tabs>
              <w:rPr>
                <w:rFonts w:ascii="Times New Roman" w:hAnsi="Times New Roman" w:cs="Times New Roman"/>
                <w:sz w:val="18"/>
                <w:szCs w:val="18"/>
              </w:rPr>
            </w:pP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ak je spoločnosť príbuznou spoločnosťou inej poisťovacej spoločnosti, ktorej bolo udelené povolenie v tom istom členskom štáte a ak je táto poisťovacia spoločnosť zohľadnená vo výpočte upravenej solventnosti podieľajúcej sa poisťovacej spoločnosti, alebo </w:t>
            </w:r>
          </w:p>
          <w:p>
            <w:pPr>
              <w:pStyle w:val="BodyText"/>
              <w:tabs>
                <w:tab w:val="left" w:pos="426"/>
              </w:tabs>
              <w:rPr>
                <w:rFonts w:ascii="Times New Roman" w:hAnsi="Times New Roman" w:cs="Times New Roman"/>
                <w:sz w:val="18"/>
                <w:szCs w:val="18"/>
              </w:rPr>
            </w:pP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ak je poisťovacia spoločnosť príbuznou spoločnosť holdingovej poisťovacej spoločnosti, alebo zaisťovacej spoločnosti, ktorá má svoje sídlo v tom istom členskom štáte ako poisťovacia spoločnosť a rovnako holdingová poisťovacia spoločnosť, ako aj zaisťovacia spoločnosť a príbuzná poisťovacia spoločnosť sa zohľadnia pri výpočte.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Členské štáty môžu odstúpiť od výpočtu upravenej solventnosti  poisťovacej spoločnosti, ak ide o príbuznú poisťovaciu spoločnosť inej poisťovacej spoločnosti, zaisťovacej spoločnosti, alebo holdingovej poisťovacej spoločnosti, ktorá má svoje registrované sídlo v druhom členskom štáte a ak sa príslušné orgány týchto členských štátov rozhodli povoliť vykonať doplnkový dozor príslušným orgánom toho členského štátu.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V každom prípade, odstúpenie od výpočtu možno uplatniť, len ak sú príslušné orgány spokojné s tým, že prvky započítavané do rozpätia solventnosti poisťovacej spoločnosti sú primerane rozdelené medzi týmito spoločnosťami.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Členské štáty môžu ustanoviť, že ak má príbuzná poisťovacia spoločnosť svoje sídlo v členskom štáte inom, než v ktorom sídli poisťovacia spoločnosť, ktorej rozpätie upravenej solventnosti sa počíta, výpočet zohľadní, vo vzťahu k príbuznej spoločnosti, situáciu solventnosti tak, ako bola vyhodnotená príslušným orgánom tohto druhého členského štátu. </w:t>
            </w:r>
          </w:p>
          <w:p>
            <w:pPr>
              <w:pStyle w:val="BodyText"/>
              <w:tabs>
                <w:tab w:val="left" w:pos="426"/>
              </w:tabs>
              <w:rPr>
                <w:rFonts w:ascii="Times New Roman" w:hAnsi="Times New Roman" w:cs="Times New Roman"/>
                <w:b/>
                <w:sz w:val="18"/>
                <w:szCs w:val="18"/>
              </w:rPr>
            </w:pPr>
            <w:r>
              <w:rPr>
                <w:rStyle w:val="FootnoteReference"/>
                <w:rFonts w:ascii="Symbol" w:hAnsi="Symbol" w:cs="Times New Roman"/>
                <w:b/>
                <w:sz w:val="18"/>
                <w:szCs w:val="18"/>
              </w:rPr>
              <w:sym w:font="Symbol" w:char="F02E"/>
            </w:r>
          </w:p>
          <w:p>
            <w:pPr>
              <w:pStyle w:val="BodyText"/>
              <w:numPr>
                <w:ilvl w:val="1"/>
                <w:numId w:val="18"/>
              </w:numPr>
              <w:tabs>
                <w:tab w:val="left" w:pos="435"/>
              </w:tabs>
              <w:rPr>
                <w:rFonts w:ascii="Times New Roman" w:hAnsi="Times New Roman" w:cs="Times New Roman"/>
                <w:b/>
                <w:sz w:val="18"/>
                <w:szCs w:val="18"/>
              </w:rPr>
            </w:pPr>
            <w:r>
              <w:rPr>
                <w:rFonts w:ascii="Times New Roman" w:hAnsi="Times New Roman" w:cs="Times New Roman"/>
                <w:b/>
                <w:sz w:val="18"/>
                <w:szCs w:val="18"/>
              </w:rPr>
              <w:t xml:space="preserve">Príbuzné zaisťovacie spoločnosti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Pri výpočte upravenej solventnosti poisťovacej spoločnosti, ktorá je podieľajúcou sa spoločnosťou zaisťovacej spoločnosti, sa bude s touto príbuznou zaisťovacou spoločnosťou zaobchádzať, výlučne pre účely kalkulácie, analogicky ako s príbuznou spoločnosťou, uplatnením všeobecných princípov a metód opísaných v tejto prílohe.</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Z tohto dôvodu, je potrebné stanoviť predpokladanú požiadavku solventnosti  pre každú zaisťovaciu spoločnosť na základe rovnakých pravidiel ako sú stanovené v článku 16(2) až (5) smernice 73/239/EHS, alebo článku 19 smernice 79/267/EHS. Avšak, v prípade problematického uplatnenia týchto pravidiel, môžu príslušné orgány povoliť výpočet predpokladanej požiadavky skutočnej solventnosti na základe prvého výsledku v súlade s článkom 16 (3) smernice 73/239/EHS. Rovnaké prvky ako v článku 16(1) smernice 73/239/EHS a článku 18 smernice 79/267/EHS sa považujú za započítateľné prvky pre výpočet predpokladaného rozpätia solventnosti. Hodnota aktív a pasív sa určí v súlade s rovnakými pravidlami ako sú stanovené v týchto smerniciach a v smernici 91/674/EHS.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b/>
                <w:sz w:val="18"/>
                <w:szCs w:val="18"/>
              </w:rPr>
            </w:pPr>
            <w:r>
              <w:rPr>
                <w:rFonts w:ascii="Times New Roman" w:hAnsi="Times New Roman" w:cs="Times New Roman"/>
                <w:b/>
                <w:sz w:val="18"/>
                <w:szCs w:val="18"/>
              </w:rPr>
              <w:t xml:space="preserve">2.3 Sprostredkujúce  holdingové poisťovacie spoločnosti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Pri výpočte upravenej solventnosti poisťovacej spoločnosti, ktorá sa podieľa na  poisťovacej spoločnosti, zaisťovacej spoločnosti, alebo poisťovacej spoločnosti v nečlenskej krajine prostredníctvom holdingovej poisťovacej spoločnosti, sa zohľadňuje situácia sprostredkujúcej holdingovej poisťovacej spoločnosti. Výlučne pre účely tohto výpočtu,  ktorý sa má vykonať v súlade so všeobecnými zásadami a metódami opísanými v tejto prílohe, sa považuje táto holdingová poisťovacia spoločnosť za poisťovaciu spoločnosť, ktorá podlieha nulovej požiadavke solventnosti  a podľa rovnakých podmienok, ako sú stanovené v článku 16(1) smernice 73/239/EHS, alebo v článku 18 smernice 79/267/EHS vo vzťahu k prvkom započítavaným do rozpätia solventnosti.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b/>
                <w:sz w:val="18"/>
                <w:szCs w:val="18"/>
              </w:rPr>
            </w:pPr>
            <w:r>
              <w:rPr>
                <w:rFonts w:ascii="Times New Roman" w:hAnsi="Times New Roman" w:cs="Times New Roman"/>
                <w:b/>
                <w:sz w:val="18"/>
                <w:szCs w:val="18"/>
              </w:rPr>
              <w:t xml:space="preserve"> 2.4 Príbuzné poisťovacie alebo zaisťovacie spoločnosti so sídlom v nečlenských krajiná</w:t>
            </w:r>
            <w:r>
              <w:rPr>
                <w:rFonts w:ascii="Times New Roman" w:hAnsi="Times New Roman" w:cs="Times New Roman"/>
                <w:b/>
                <w:sz w:val="18"/>
                <w:szCs w:val="18"/>
              </w:rPr>
              <w:t>ch</w:t>
            </w:r>
          </w:p>
          <w:p>
            <w:pPr>
              <w:pStyle w:val="BodyText"/>
              <w:tabs>
                <w:tab w:val="left" w:pos="426"/>
              </w:tabs>
              <w:rPr>
                <w:rFonts w:ascii="Times New Roman" w:hAnsi="Times New Roman" w:cs="Times New Roman"/>
                <w:sz w:val="18"/>
                <w:szCs w:val="18"/>
              </w:rPr>
            </w:pPr>
          </w:p>
          <w:p>
            <w:pPr>
              <w:pStyle w:val="BodyText"/>
              <w:numPr>
                <w:ilvl w:val="0"/>
                <w:numId w:val="20"/>
              </w:numPr>
              <w:tabs>
                <w:tab w:val="left" w:pos="360"/>
                <w:tab w:val="left" w:pos="426"/>
              </w:tabs>
              <w:rPr>
                <w:rFonts w:ascii="Times New Roman" w:hAnsi="Times New Roman" w:cs="Times New Roman"/>
                <w:b/>
                <w:sz w:val="18"/>
                <w:szCs w:val="18"/>
              </w:rPr>
            </w:pPr>
            <w:r>
              <w:rPr>
                <w:rFonts w:ascii="Times New Roman" w:hAnsi="Times New Roman" w:cs="Times New Roman"/>
                <w:b/>
                <w:sz w:val="18"/>
                <w:szCs w:val="18"/>
              </w:rPr>
              <w:t>Príbuzné poisťovacie spoločnosti v nečlenskej krajine</w:t>
            </w: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Pri výpočte upravenej solventnosti poisťovacej spoločnosti, ktorá je podieľajúcou sa spoločnosťou v  poisťovacej spoločnosti nečlenskej krajiny, sa táto poisťovacia spoločnosť bude považovať výlučne pre účely výpočtu, analogicky za príbuznú poisťovaciu spoločnosť, uplatnením všeobecných zásad a metód opísaných v tejto prílohe.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Avšak, ak nečlenská krajina, v ktorej má spoločnosť sídlo, podmieni túto úradným povolením a  uloží na ňu požiadavku solventnosti porovnateľnú s ustanovením v smerniciach 73/239/EHS, alebo 79/267/EHS, berúc do úvahy prvky, ktoré pokrývajú túto požiadavku, členské štáty môžu ustanoviť, že výpočet zohľadní, vo vzťahu k  tejto spoločnosti, požiadavku solventnosti a prvky vhodné na uspokojenie tejto požiadavky ustanovené príslušným nečlenským štátom. </w:t>
            </w:r>
          </w:p>
          <w:p>
            <w:pPr>
              <w:pStyle w:val="BodyText"/>
              <w:tabs>
                <w:tab w:val="left" w:pos="426"/>
              </w:tabs>
              <w:rPr>
                <w:rFonts w:ascii="Times New Roman" w:hAnsi="Times New Roman" w:cs="Times New Roman"/>
                <w:sz w:val="18"/>
                <w:szCs w:val="18"/>
              </w:rPr>
            </w:pPr>
          </w:p>
          <w:p>
            <w:pPr>
              <w:pStyle w:val="BodyText"/>
              <w:numPr>
                <w:ilvl w:val="0"/>
                <w:numId w:val="20"/>
              </w:numPr>
              <w:tabs>
                <w:tab w:val="left" w:pos="360"/>
                <w:tab w:val="left" w:pos="426"/>
              </w:tabs>
              <w:rPr>
                <w:rFonts w:ascii="Times New Roman" w:hAnsi="Times New Roman" w:cs="Times New Roman"/>
                <w:b/>
                <w:sz w:val="18"/>
                <w:szCs w:val="18"/>
              </w:rPr>
            </w:pPr>
            <w:r>
              <w:rPr>
                <w:rFonts w:ascii="Times New Roman" w:hAnsi="Times New Roman" w:cs="Times New Roman"/>
                <w:b/>
                <w:sz w:val="18"/>
                <w:szCs w:val="18"/>
              </w:rPr>
              <w:t xml:space="preserve">Príbuzné zaisťovacie spoločnosti nečlenskej krajiny </w:t>
            </w: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V protiklade s oddielom 2.2, pri výpočte upravenej solventnosti poisťovacej spoločnosti, ktorá je podieľajúcou sa spoločnosťou v zaisťovacej spoločnosti so sídlom  v nečlenskej krajine, a ktorá podlieha rovnakým podmienkam ako sú stanovené v bode A, môžu členské štáty stanoviť, že výpočet zohľadní, vo vzťahu k tejto spoločnosti, vlastné požiadavky na fondy a prvky vhodné na uspokojenie požiadaviek stanovených príslušnou nečlenskou krajinou. Ak týmto ustanoveniam podliehajú len poisťovacie spoločnosti tejto nečlenskej krajiny, predpokladaná požiadavka na vlastné fondy vo vzťahu k zaisťovacej spoločnosti a prvkom na uspokojenie predpokladanej požiadavky môže byť vypočítaná ako keby príslušná spoločnosť bola príbuzná poisťovacia spoločnosť tejto nečlenskej krajiny.</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2.5 Neprístupnosť potrebných informácií</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Ak informácie potrebné na výpočet upravenej solventnosti poisťovacej spoločnosti, týkajúce sa príbuznej spoločnosti so sídlom v členskom štáte, alebo nečlenskej krajine, nie sú prístupné príslušným orgánom z  akéhokoľvek dôvodu, účtovná hodnota tejto spoločnosti v podieľajúcej sa poisťovacej spoločnosti sa odpočíta od prvkov započítavaných do výpočtu upraveného rozpätia solventnosti. V tomto prípade, nedosiahnuté výnosy súvisiace s podielom by nemali byť povolené ako prvky započítavané do rozpätia upravenej solventnosti. </w:t>
            </w:r>
          </w:p>
          <w:p>
            <w:pPr>
              <w:pStyle w:val="BodyText"/>
              <w:tabs>
                <w:tab w:val="left" w:pos="426"/>
              </w:tabs>
              <w:rPr>
                <w:rFonts w:ascii="Times New Roman" w:hAnsi="Times New Roman" w:cs="Times New Roman"/>
                <w:sz w:val="18"/>
                <w:szCs w:val="18"/>
              </w:rPr>
            </w:pPr>
          </w:p>
          <w:p>
            <w:pPr>
              <w:pStyle w:val="BodyText"/>
              <w:numPr>
                <w:ilvl w:val="0"/>
                <w:numId w:val="11"/>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METÓDY VÝPOČTU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Metóda 1: </w:t>
            </w:r>
            <w:r>
              <w:rPr>
                <w:rFonts w:ascii="Times New Roman" w:hAnsi="Times New Roman" w:cs="Times New Roman"/>
                <w:b/>
                <w:sz w:val="18"/>
                <w:szCs w:val="18"/>
              </w:rPr>
              <w:t>metóda odpočtu a súčtu</w:t>
            </w:r>
            <w:r>
              <w:rPr>
                <w:rFonts w:ascii="Times New Roman" w:hAnsi="Times New Roman" w:cs="Times New Roman"/>
                <w:sz w:val="18"/>
                <w:szCs w:val="18"/>
              </w:rPr>
              <w:t xml:space="preserve"> </w:t>
            </w: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Upravená solventnosť podieľajúcej sa poisťovacej spoločnosti je rozdiel medzi: </w:t>
            </w:r>
          </w:p>
          <w:p>
            <w:pPr>
              <w:pStyle w:val="BodyText"/>
              <w:numPr>
                <w:ilvl w:val="0"/>
                <w:numId w:val="21"/>
              </w:numPr>
              <w:tabs>
                <w:tab w:val="left" w:pos="426"/>
                <w:tab w:val="left" w:pos="720"/>
              </w:tabs>
              <w:rPr>
                <w:rFonts w:ascii="Times New Roman" w:hAnsi="Times New Roman" w:cs="Times New Roman"/>
                <w:sz w:val="18"/>
                <w:szCs w:val="18"/>
              </w:rPr>
            </w:pPr>
            <w:r>
              <w:rPr>
                <w:rFonts w:ascii="Times New Roman" w:hAnsi="Times New Roman" w:cs="Times New Roman"/>
                <w:sz w:val="18"/>
                <w:szCs w:val="18"/>
              </w:rPr>
              <w:t xml:space="preserve">súčtom: </w:t>
            </w:r>
          </w:p>
          <w:p>
            <w:pPr>
              <w:pStyle w:val="BodyText"/>
              <w:tabs>
                <w:tab w:val="left" w:pos="426"/>
              </w:tabs>
              <w:rPr>
                <w:rFonts w:ascii="Times New Roman" w:hAnsi="Times New Roman" w:cs="Times New Roman"/>
                <w:sz w:val="18"/>
                <w:szCs w:val="18"/>
              </w:rPr>
            </w:pPr>
          </w:p>
          <w:p>
            <w:pPr>
              <w:pStyle w:val="BodyText"/>
              <w:numPr>
                <w:ilvl w:val="0"/>
                <w:numId w:val="22"/>
              </w:numPr>
              <w:tabs>
                <w:tab w:val="left" w:pos="426"/>
                <w:tab w:val="left" w:pos="795"/>
              </w:tabs>
              <w:rPr>
                <w:rFonts w:ascii="Times New Roman" w:hAnsi="Times New Roman" w:cs="Times New Roman"/>
                <w:sz w:val="18"/>
                <w:szCs w:val="18"/>
              </w:rPr>
            </w:pPr>
            <w:r>
              <w:rPr>
                <w:rFonts w:ascii="Times New Roman" w:hAnsi="Times New Roman" w:cs="Times New Roman"/>
                <w:sz w:val="18"/>
                <w:szCs w:val="18"/>
              </w:rPr>
              <w:t>prvkov započítavaných do rozpätia solventnosti podieľajúcej sa spoločnosti a</w:t>
            </w:r>
          </w:p>
          <w:p>
            <w:pPr>
              <w:pStyle w:val="BodyText"/>
              <w:tabs>
                <w:tab w:val="left" w:pos="426"/>
              </w:tabs>
              <w:rPr>
                <w:rFonts w:ascii="Times New Roman" w:hAnsi="Times New Roman" w:cs="Times New Roman"/>
                <w:sz w:val="18"/>
                <w:szCs w:val="18"/>
              </w:rPr>
            </w:pPr>
          </w:p>
          <w:p>
            <w:pPr>
              <w:pStyle w:val="BodyText"/>
              <w:numPr>
                <w:ilvl w:val="0"/>
                <w:numId w:val="22"/>
              </w:numPr>
              <w:tabs>
                <w:tab w:val="left" w:pos="426"/>
                <w:tab w:val="left" w:pos="795"/>
              </w:tabs>
              <w:rPr>
                <w:rFonts w:ascii="Times New Roman" w:hAnsi="Times New Roman" w:cs="Times New Roman"/>
                <w:sz w:val="18"/>
                <w:szCs w:val="18"/>
              </w:rPr>
            </w:pPr>
            <w:r>
              <w:rPr>
                <w:rFonts w:ascii="Times New Roman" w:hAnsi="Times New Roman" w:cs="Times New Roman"/>
                <w:sz w:val="18"/>
                <w:szCs w:val="18"/>
              </w:rPr>
              <w:t xml:space="preserve">pomerným podielom podieľajúcej sa poisťovacej spoločnosti na prvkoch započítavaných do rozpätia solventnosti poisťovacej spoločnosti. </w:t>
            </w: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a</w:t>
            </w:r>
          </w:p>
          <w:p>
            <w:pPr>
              <w:pStyle w:val="BodyText"/>
              <w:numPr>
                <w:ilvl w:val="0"/>
                <w:numId w:val="21"/>
              </w:numPr>
              <w:tabs>
                <w:tab w:val="left" w:pos="426"/>
                <w:tab w:val="left" w:pos="720"/>
              </w:tabs>
              <w:rPr>
                <w:rFonts w:ascii="Times New Roman" w:hAnsi="Times New Roman" w:cs="Times New Roman"/>
                <w:sz w:val="18"/>
                <w:szCs w:val="18"/>
              </w:rPr>
            </w:pPr>
            <w:r>
              <w:rPr>
                <w:rFonts w:ascii="Times New Roman" w:hAnsi="Times New Roman" w:cs="Times New Roman"/>
                <w:sz w:val="18"/>
                <w:szCs w:val="18"/>
              </w:rPr>
              <w:t xml:space="preserve">súčtom: </w:t>
            </w:r>
          </w:p>
          <w:p>
            <w:pPr>
              <w:pStyle w:val="BodyText"/>
              <w:numPr>
                <w:ilvl w:val="0"/>
                <w:numId w:val="23"/>
              </w:numPr>
              <w:tabs>
                <w:tab w:val="left" w:pos="426"/>
                <w:tab w:val="left" w:pos="1080"/>
              </w:tabs>
              <w:rPr>
                <w:rFonts w:ascii="Times New Roman" w:hAnsi="Times New Roman" w:cs="Times New Roman"/>
                <w:sz w:val="18"/>
                <w:szCs w:val="18"/>
              </w:rPr>
            </w:pPr>
            <w:r>
              <w:rPr>
                <w:rFonts w:ascii="Times New Roman" w:hAnsi="Times New Roman" w:cs="Times New Roman"/>
                <w:sz w:val="18"/>
                <w:szCs w:val="18"/>
              </w:rPr>
              <w:t>účtovnej hodnoty podieľajúcej sa poisťovacej spoločnosti príbuznej poisťovacej spoločnosti a</w:t>
            </w:r>
          </w:p>
          <w:p>
            <w:pPr>
              <w:pStyle w:val="BodyText"/>
              <w:numPr>
                <w:ilvl w:val="0"/>
                <w:numId w:val="23"/>
              </w:numPr>
              <w:tabs>
                <w:tab w:val="left" w:pos="426"/>
                <w:tab w:val="left" w:pos="1080"/>
              </w:tabs>
              <w:rPr>
                <w:rFonts w:ascii="Times New Roman" w:hAnsi="Times New Roman" w:cs="Times New Roman"/>
                <w:sz w:val="18"/>
                <w:szCs w:val="18"/>
              </w:rPr>
            </w:pPr>
            <w:r>
              <w:rPr>
                <w:rFonts w:ascii="Times New Roman" w:hAnsi="Times New Roman" w:cs="Times New Roman"/>
                <w:sz w:val="18"/>
                <w:szCs w:val="18"/>
              </w:rPr>
              <w:t>požiadavky solventnosti podieľajúcej sa poisťovacej spoločnosti a</w:t>
            </w:r>
          </w:p>
          <w:p>
            <w:pPr>
              <w:pStyle w:val="BodyText"/>
              <w:numPr>
                <w:ilvl w:val="0"/>
                <w:numId w:val="23"/>
              </w:numPr>
              <w:tabs>
                <w:tab w:val="left" w:pos="426"/>
                <w:tab w:val="left" w:pos="1080"/>
              </w:tabs>
              <w:rPr>
                <w:rFonts w:ascii="Times New Roman" w:hAnsi="Times New Roman" w:cs="Times New Roman"/>
                <w:sz w:val="18"/>
                <w:szCs w:val="18"/>
              </w:rPr>
            </w:pPr>
            <w:r>
              <w:rPr>
                <w:rFonts w:ascii="Times New Roman" w:hAnsi="Times New Roman" w:cs="Times New Roman"/>
                <w:sz w:val="18"/>
                <w:szCs w:val="18"/>
              </w:rPr>
              <w:t>pomerným podielom požiadavky solventnosti príbuznej poisťovacej spoločnosti.</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Ak podiel v príbuznej poisťovacej spoločnosti pozostáva, celkom alebo čiastočne, z nepriameho vlastníctva, potom bod (ii) (a) zahŕňa hodnotu tohto nepriameho vlastníctva, berúc do úvahy ďalšie vastnícke podiely; a body (i) (b) a (ii)(c) zahŕňajú zodpovedajúci pomerný podiel prvkov započítavaných do rozpätia solventnosti príbuznej poisťovacej spoločnosti a  požiadavky solventnosti príbuznej poisťovacej spoločnosti.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Metóda 2: </w:t>
            </w:r>
            <w:r>
              <w:rPr>
                <w:rFonts w:ascii="Times New Roman" w:hAnsi="Times New Roman" w:cs="Times New Roman"/>
                <w:b/>
                <w:sz w:val="18"/>
                <w:szCs w:val="18"/>
              </w:rPr>
              <w:t>metóda odpočtu požiadavky</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Upravená solventnosť podieľajúcej sa poisťovacej spoločnosti je rozdiel medzi: </w:t>
            </w:r>
          </w:p>
          <w:p>
            <w:pPr>
              <w:pStyle w:val="BodyText"/>
              <w:tabs>
                <w:tab w:val="left" w:pos="426"/>
              </w:tabs>
              <w:rPr>
                <w:rFonts w:ascii="Times New Roman" w:hAnsi="Times New Roman" w:cs="Times New Roman"/>
                <w:sz w:val="18"/>
                <w:szCs w:val="18"/>
              </w:rPr>
            </w:pPr>
          </w:p>
          <w:p>
            <w:pPr>
              <w:pStyle w:val="BodyText"/>
              <w:numPr>
                <w:ilvl w:val="0"/>
                <w:numId w:val="24"/>
              </w:numPr>
              <w:tabs>
                <w:tab w:val="left" w:pos="426"/>
                <w:tab w:val="clear" w:pos="720"/>
              </w:tabs>
              <w:ind w:left="426" w:hanging="426"/>
              <w:rPr>
                <w:rFonts w:ascii="Times New Roman" w:hAnsi="Times New Roman" w:cs="Times New Roman"/>
                <w:sz w:val="18"/>
                <w:szCs w:val="18"/>
              </w:rPr>
            </w:pPr>
            <w:r>
              <w:rPr>
                <w:rFonts w:ascii="Times New Roman" w:hAnsi="Times New Roman" w:cs="Times New Roman"/>
                <w:sz w:val="18"/>
                <w:szCs w:val="18"/>
              </w:rPr>
              <w:t xml:space="preserve">súčtom prvkov započítavaných do rozpätia solventnosti podieľajúcej sa poisťovacej spoločnosti a </w:t>
            </w:r>
          </w:p>
          <w:p>
            <w:pPr>
              <w:pStyle w:val="BodyText"/>
              <w:tabs>
                <w:tab w:val="left" w:pos="426"/>
              </w:tabs>
              <w:rPr>
                <w:rFonts w:ascii="Times New Roman" w:hAnsi="Times New Roman" w:cs="Times New Roman"/>
                <w:sz w:val="18"/>
                <w:szCs w:val="18"/>
              </w:rPr>
            </w:pPr>
          </w:p>
          <w:p>
            <w:pPr>
              <w:pStyle w:val="BodyText"/>
              <w:numPr>
                <w:ilvl w:val="0"/>
                <w:numId w:val="24"/>
              </w:numPr>
              <w:tabs>
                <w:tab w:val="left" w:pos="426"/>
                <w:tab w:val="left" w:pos="720"/>
              </w:tabs>
              <w:rPr>
                <w:rFonts w:ascii="Times New Roman" w:hAnsi="Times New Roman" w:cs="Times New Roman"/>
                <w:sz w:val="18"/>
                <w:szCs w:val="18"/>
              </w:rPr>
            </w:pPr>
            <w:r>
              <w:rPr>
                <w:rFonts w:ascii="Times New Roman" w:hAnsi="Times New Roman" w:cs="Times New Roman"/>
                <w:sz w:val="18"/>
                <w:szCs w:val="18"/>
              </w:rPr>
              <w:t xml:space="preserve">súčtom: </w:t>
            </w:r>
          </w:p>
          <w:p>
            <w:pPr>
              <w:pStyle w:val="BodyText"/>
              <w:tabs>
                <w:tab w:val="left" w:pos="426"/>
              </w:tabs>
              <w:rPr>
                <w:rFonts w:ascii="Times New Roman" w:hAnsi="Times New Roman" w:cs="Times New Roman"/>
                <w:sz w:val="18"/>
                <w:szCs w:val="18"/>
              </w:rPr>
            </w:pPr>
          </w:p>
          <w:p>
            <w:pPr>
              <w:pStyle w:val="BodyText"/>
              <w:numPr>
                <w:ilvl w:val="0"/>
                <w:numId w:val="25"/>
              </w:numPr>
              <w:tabs>
                <w:tab w:val="left" w:pos="375"/>
                <w:tab w:val="left" w:pos="426"/>
              </w:tabs>
              <w:rPr>
                <w:rFonts w:ascii="Times New Roman" w:hAnsi="Times New Roman" w:cs="Times New Roman"/>
                <w:sz w:val="18"/>
                <w:szCs w:val="18"/>
              </w:rPr>
            </w:pPr>
            <w:r>
              <w:rPr>
                <w:rFonts w:ascii="Times New Roman" w:hAnsi="Times New Roman" w:cs="Times New Roman"/>
                <w:sz w:val="18"/>
                <w:szCs w:val="18"/>
              </w:rPr>
              <w:t>požiadavky solventnosti podieľajúcej sa poisťovacej spoločnosti a</w:t>
            </w:r>
          </w:p>
          <w:p>
            <w:pPr>
              <w:pStyle w:val="BodyText"/>
              <w:numPr>
                <w:ilvl w:val="0"/>
                <w:numId w:val="25"/>
              </w:numPr>
              <w:tabs>
                <w:tab w:val="left" w:pos="375"/>
                <w:tab w:val="left" w:pos="426"/>
              </w:tabs>
              <w:rPr>
                <w:rFonts w:ascii="Times New Roman" w:hAnsi="Times New Roman" w:cs="Times New Roman"/>
                <w:sz w:val="18"/>
                <w:szCs w:val="18"/>
              </w:rPr>
            </w:pPr>
            <w:r>
              <w:rPr>
                <w:rFonts w:ascii="Times New Roman" w:hAnsi="Times New Roman" w:cs="Times New Roman"/>
                <w:sz w:val="18"/>
                <w:szCs w:val="18"/>
              </w:rPr>
              <w:t>pomerným podielom požiadavky solventnosti príbuznej poisťovacej spoločnosti.</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Pri hodnotení prvkov započítavaných do rozpätia solventnosti, sa podiel v súlade s významom tejto smernice hodnotí metódou rovnosti, v súlade s možnosťou uvedenou v prílohe 59/ (2)(b) smernice 78/660/EHS.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b/>
                <w:sz w:val="18"/>
                <w:szCs w:val="18"/>
              </w:rPr>
            </w:pPr>
            <w:r>
              <w:rPr>
                <w:rFonts w:ascii="Times New Roman" w:hAnsi="Times New Roman" w:cs="Times New Roman"/>
                <w:sz w:val="18"/>
                <w:szCs w:val="18"/>
              </w:rPr>
              <w:t>Me</w:t>
            </w:r>
            <w:r>
              <w:rPr>
                <w:rFonts w:ascii="Times New Roman" w:hAnsi="Times New Roman" w:cs="Times New Roman"/>
                <w:sz w:val="18"/>
                <w:szCs w:val="18"/>
              </w:rPr>
              <w:t xml:space="preserve">tóda 3: </w:t>
            </w:r>
            <w:r>
              <w:rPr>
                <w:rFonts w:ascii="Times New Roman" w:hAnsi="Times New Roman" w:cs="Times New Roman"/>
                <w:b/>
                <w:sz w:val="18"/>
                <w:szCs w:val="18"/>
              </w:rPr>
              <w:t>metóda založená na konsolidácii účtovníctva</w:t>
            </w:r>
          </w:p>
          <w:p>
            <w:pPr>
              <w:pStyle w:val="BodyText"/>
              <w:tabs>
                <w:tab w:val="left" w:pos="426"/>
              </w:tabs>
              <w:rPr>
                <w:rFonts w:ascii="Times New Roman" w:hAnsi="Times New Roman" w:cs="Times New Roman"/>
                <w:b/>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Výpočet upravenej solventnosti podieľajúcej sa poisťovacej spoločnosti sa uskutoční na základe konsolidovaných účtov. Upravená solventnosť podieľajúcej sa poisťovacej spoločnosti je rozdiel medzi: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prvkami započítavanými do rozpätia solventnosti, ktorý vychádza z konsolidovaných údajov a </w:t>
            </w:r>
          </w:p>
          <w:p>
            <w:pPr>
              <w:pStyle w:val="BodyText"/>
              <w:tabs>
                <w:tab w:val="left" w:pos="426"/>
              </w:tabs>
              <w:rPr>
                <w:rFonts w:ascii="Times New Roman" w:hAnsi="Times New Roman" w:cs="Times New Roman"/>
                <w:sz w:val="18"/>
                <w:szCs w:val="18"/>
              </w:rPr>
            </w:pPr>
          </w:p>
          <w:p>
            <w:pPr>
              <w:pStyle w:val="BodyText"/>
              <w:numPr>
                <w:ilvl w:val="0"/>
                <w:numId w:val="26"/>
              </w:numPr>
              <w:tabs>
                <w:tab w:val="left" w:pos="405"/>
              </w:tabs>
              <w:rPr>
                <w:rFonts w:ascii="Times New Roman" w:hAnsi="Times New Roman" w:cs="Times New Roman"/>
                <w:sz w:val="18"/>
                <w:szCs w:val="18"/>
              </w:rPr>
            </w:pPr>
            <w:r>
              <w:rPr>
                <w:rFonts w:ascii="Times New Roman" w:hAnsi="Times New Roman" w:cs="Times New Roman"/>
                <w:sz w:val="18"/>
                <w:szCs w:val="18"/>
              </w:rPr>
              <w:t>súčtu požiadavky solventnosti podieľajúcej sa poisťovacej spoločnosti a pomerného podielu požiadaviek solventnosti príbuzných poisťovacích spoločností, na základe percenta použitého na založenie konsolidovaných účtov,</w:t>
            </w:r>
          </w:p>
          <w:p>
            <w:pPr>
              <w:pStyle w:val="BodyText"/>
              <w:rPr>
                <w:rFonts w:ascii="Times New Roman" w:hAnsi="Times New Roman" w:cs="Times New Roman"/>
                <w:sz w:val="18"/>
                <w:szCs w:val="18"/>
              </w:rPr>
            </w:pPr>
          </w:p>
          <w:p>
            <w:pPr>
              <w:pStyle w:val="BodyText"/>
              <w:numPr>
                <w:ilvl w:val="0"/>
                <w:numId w:val="26"/>
              </w:numPr>
              <w:tabs>
                <w:tab w:val="left" w:pos="405"/>
              </w:tabs>
              <w:rPr>
                <w:rFonts w:ascii="Times New Roman" w:hAnsi="Times New Roman" w:cs="Times New Roman"/>
                <w:sz w:val="18"/>
                <w:szCs w:val="18"/>
              </w:rPr>
            </w:pPr>
            <w:r>
              <w:rPr>
                <w:rFonts w:ascii="Times New Roman" w:hAnsi="Times New Roman" w:cs="Times New Roman"/>
                <w:sz w:val="18"/>
                <w:szCs w:val="18"/>
              </w:rPr>
              <w:t>alebo výpočtu požiadavky solventnosti na základe konsolidovaných údajov.</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Ustanovenia smerníc 73/239/EHS, 79/267/EHS a 91/674/EHS sa uplatnia pre výpočet prvkov započítavaných do rozpätia solventnosti a požiadavky solventnosti na základe konsolidovaných údajov.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95/2002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 31</w:t>
            </w:r>
          </w:p>
          <w:p>
            <w:pPr>
              <w:pStyle w:val="TABUKA-textsmernice"/>
              <w:rPr>
                <w:rFonts w:ascii="Times New Roman" w:hAnsi="Times New Roman" w:cs="Times New Roman"/>
                <w:sz w:val="18"/>
                <w:szCs w:val="18"/>
              </w:rPr>
            </w:pPr>
            <w:r>
              <w:rPr>
                <w:rFonts w:ascii="Times New Roman" w:hAnsi="Times New Roman" w:cs="Times New Roman"/>
                <w:sz w:val="18"/>
                <w:szCs w:val="18"/>
              </w:rPr>
              <w:t>ods. 16</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(16) Všeobecne záväzný právny predpis, ktorý vydá ministerstvo ustanoví spôsob</w:t>
            </w:r>
          </w:p>
          <w:p>
            <w:pPr>
              <w:spacing w:after="0"/>
              <w:rPr>
                <w:rFonts w:ascii="Times New Roman" w:hAnsi="Times New Roman" w:cs="Times New Roman"/>
                <w:bCs/>
                <w:i/>
                <w:sz w:val="18"/>
                <w:szCs w:val="18"/>
                <w:lang w:val="sk-SK"/>
              </w:rPr>
            </w:pPr>
          </w:p>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c) výpočtu,  preukazovania a lehotu na preukázanie upravenej skutočnej miery solventnost</w:t>
            </w:r>
            <w:r>
              <w:rPr>
                <w:rFonts w:ascii="Times New Roman" w:hAnsi="Times New Roman" w:cs="Times New Roman"/>
                <w:bCs/>
                <w:i/>
                <w:sz w:val="18"/>
                <w:szCs w:val="18"/>
                <w:lang w:val="sk-SK"/>
              </w:rPr>
              <w:t xml:space="preserve">i, </w:t>
            </w:r>
          </w:p>
          <w:p>
            <w:pPr>
              <w:spacing w:after="0"/>
              <w:rPr>
                <w:rFonts w:ascii="Times New Roman" w:hAnsi="Times New Roman" w:cs="Times New Roman"/>
                <w:bCs/>
                <w:i/>
                <w:sz w:val="18"/>
                <w:szCs w:val="18"/>
                <w:lang w:val="sk-SK"/>
              </w:rPr>
            </w:pPr>
          </w:p>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 xml:space="preserve">d) výpočtu upravenej požadovanej miery solventnosti. </w:t>
            </w:r>
          </w:p>
          <w:p>
            <w:pPr>
              <w:pStyle w:val="TABUKA-textsmernice"/>
              <w:rPr>
                <w:rFonts w:ascii="Times New Roman" w:hAnsi="Times New Roman" w:cs="Times New Roman"/>
                <w:i/>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24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autoSpaceDE/>
              <w:autoSpaceDN/>
              <w:jc w:val="left"/>
              <w:rPr>
                <w:rFonts w:ascii="Times New Roman" w:hAnsi="Times New Roman" w:cs="Times New Roman"/>
                <w:bCs/>
                <w:color w:val="000000"/>
                <w:sz w:val="18"/>
                <w:szCs w:val="18"/>
                <w:lang w:val="sk-SK"/>
              </w:rPr>
            </w:pPr>
            <w:r>
              <w:rPr>
                <w:rFonts w:ascii="Times New Roman" w:hAnsi="Times New Roman" w:cs="Times New Roman"/>
                <w:bCs/>
                <w:color w:val="000000"/>
                <w:sz w:val="18"/>
                <w:szCs w:val="18"/>
                <w:lang w:val="sk-SK"/>
              </w:rPr>
              <w:t>Vyhl. č. …/2004 Z.z. o spôsobe výpočtu a preukazovania skutočnej miery solventnosti, o spôsobe výpočtu požadovanej miery solventnosti a o rizikovom kapitále poisťovne a pobočky zahraničnej poisťovne</w:t>
            </w:r>
          </w:p>
          <w:p>
            <w:pPr>
              <w:pStyle w:val="TABUKA-textsmernice"/>
              <w:jc w:val="left"/>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5"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Príloha II.</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tabs>
                <w:tab w:val="left" w:pos="426"/>
              </w:tabs>
              <w:rPr>
                <w:rFonts w:ascii="Times New Roman" w:hAnsi="Times New Roman" w:cs="Times New Roman"/>
                <w:b/>
                <w:sz w:val="18"/>
                <w:szCs w:val="18"/>
              </w:rPr>
            </w:pPr>
            <w:r>
              <w:rPr>
                <w:rFonts w:ascii="Times New Roman" w:hAnsi="Times New Roman" w:cs="Times New Roman"/>
                <w:b/>
                <w:sz w:val="18"/>
                <w:szCs w:val="18"/>
              </w:rPr>
              <w:t>DOPLNKOVÝ DOZOR POISŤOVACÍCH SPOLOČNOSTÍ KTORÉ SÚ DCÉRSKYMI SPOLOČNOSŤAMI HOLDINGOVEJ POISŤOVACEJ SPOLOČNOSTI, ZAISŤOVACEJ SPOLOČNOSTI, ALEBO POISŤOVACEJ  SPOLOČNOSTI  NEČLENSKÉHO  ŠTÁTU</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 1. V prípade dvoch alebo viacerých poisťovacích spoločností, uvedených v článku 2(2), ktoré sú dcérskymi spoločnosťami holdingovej poisťovacej spoločnosti, zaisťovacej spoločnosti, alebo poisťovacej spoločnosti nečlenského štátu a ktoré pôsobia  v rôznych členských štátoch, príslušné orgány zabezpečia</w:t>
            </w:r>
            <w:r>
              <w:rPr>
                <w:rFonts w:ascii="Times New Roman" w:hAnsi="Times New Roman" w:cs="Times New Roman"/>
                <w:sz w:val="18"/>
                <w:szCs w:val="18"/>
              </w:rPr>
              <w:t>, aby bola metóda opísaná v tejto prílohe uplatnená harmonicky.</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Príslušné orgány uplatnia doplnkový dozor rovnako často ako to stanovujú smernice 73/239/EHS a 79/267/EHS pre výpočet rozpätia solventnosti poisťovacích spoločností.</w:t>
            </w:r>
          </w:p>
          <w:p>
            <w:pPr>
              <w:pStyle w:val="BodyText"/>
              <w:tabs>
                <w:tab w:val="left" w:pos="426"/>
              </w:tabs>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2. Členské štáty môžu odstúpiť od výpočtu uvedeného v tejto prílohe vo vzťahu k poisťovacej spoločnosti: </w:t>
            </w:r>
          </w:p>
          <w:p>
            <w:pPr>
              <w:pStyle w:val="BodyText"/>
              <w:tabs>
                <w:tab w:val="left" w:pos="426"/>
              </w:tabs>
              <w:rPr>
                <w:rFonts w:ascii="Times New Roman" w:hAnsi="Times New Roman" w:cs="Times New Roman"/>
                <w:sz w:val="18"/>
                <w:szCs w:val="18"/>
              </w:rPr>
            </w:pP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ak je táto poisťovacia spoločnosť príbuzná spoločnosť inej poisťovacej spoločnosti, a ak sa to vezme do úvahy pri výpočte uvedenom v tejto prílohe,  ktorý sa uskutoční pre tú druhú spoločnosť, </w:t>
            </w:r>
          </w:p>
          <w:p>
            <w:pPr>
              <w:pStyle w:val="BodyText"/>
              <w:tabs>
                <w:tab w:val="left" w:pos="426"/>
              </w:tabs>
              <w:rPr>
                <w:rFonts w:ascii="Times New Roman" w:hAnsi="Times New Roman" w:cs="Times New Roman"/>
                <w:sz w:val="18"/>
                <w:szCs w:val="18"/>
              </w:rPr>
            </w:pP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ak táto poisťovacia spoločnosť a jedna alebo viac poisťovacích spoločností ktoré majú povolenie v rovnakom členskom štáte ako ich materská spoločnosť, tá istá holdingová poisťovacia spoločnosť, zaisťovacia spoločnosť, alebo poisťovaciu spoločnosť v nečlenskom štáte a poisťovacia spoločnosť sa berie do úvahy pri výpočte  uvedenom v tejto prílohe, ktorý sa vykonáva pre jednu z týchto spoločností, </w:t>
            </w:r>
          </w:p>
          <w:p>
            <w:pPr>
              <w:pStyle w:val="BodyText"/>
              <w:tabs>
                <w:tab w:val="left" w:pos="426"/>
              </w:tabs>
              <w:rPr>
                <w:rFonts w:ascii="Times New Roman" w:hAnsi="Times New Roman" w:cs="Times New Roman"/>
                <w:sz w:val="18"/>
                <w:szCs w:val="18"/>
              </w:rPr>
            </w:pP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ak poisťovacia spoločnosť a jedna alebo viac poisťovacích spoločností, ktoré majú povolenie v druhých členských štátoch, majú materskú spoločnosť tú istú holdingovú poisťovaciu spoločnosť , zaisťovaciu spoločnosť, alebo poisťovaciu spoločnosť v nečlenskom štáte, a dohoda o povolení vykonania doplnkového dozoru, uvedená v tejto prílohe, dozornými orgánmi druhého členského štátu, bola uzavretá v súlade s článkom 4(2).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V prípade následnej účasti (napr.: holdingová poisťovacia spoločnosť alebo zaisťovacia spoločnosť, ktorá je sama vlastnená druhou holdingovou poisťovacou spoločnosťou, zaisťovacou spoločnosťou, alebo poisťovacou spoločnosťou nečlenského štátu), členské štáty môžu uplatniť výpočet upravený v tejto prílohe, len na úrovni konečnej materskej spoločnosti poisťovacej spoločnosti, ktorá je holdingovou poisťovacou spoločnosťou, zaisťovacou spoločnosťou, alebo poisťovacou spoločnosťou nečlenskej krajiny. </w:t>
            </w:r>
          </w:p>
          <w:p>
            <w:pPr>
              <w:pStyle w:val="BodyText"/>
              <w:tabs>
                <w:tab w:val="left" w:pos="426"/>
              </w:tabs>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3. Príslušné orgány zabezpečia, že na úrovni holdingovej poisťovacej spoločnosti, zaisťovacej spoločnosti, alebo poisťovacej spoločnosti nečlenskej krajiny sa uskutočnia výpočty podobné tým</w:t>
            </w:r>
            <w:r>
              <w:rPr>
                <w:rFonts w:ascii="Times New Roman" w:hAnsi="Times New Roman" w:cs="Times New Roman"/>
                <w:sz w:val="18"/>
                <w:szCs w:val="18"/>
              </w:rPr>
              <w:t xml:space="preserve">, ktoré sú opísané v prílohe I. </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Analógia spočíva v uplatnení všeobecných zásad a metód opísaných v prílohe I na úrovni holdingovej poisťovacej spoločnosti, zaisťovacej spoločnosti, alebo poisťovacej spoločnosti nečlenskej krajiny. </w:t>
            </w: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Výlučne pre účel tohto výpočtu, sa bude materská spoločnosť považovať za poisťovaciu spoločnosť, ktorá je predmetom: </w:t>
            </w:r>
          </w:p>
          <w:p>
            <w:pPr>
              <w:pStyle w:val="BodyText"/>
              <w:tabs>
                <w:tab w:val="left" w:pos="426"/>
              </w:tabs>
              <w:rPr>
                <w:rFonts w:ascii="Times New Roman" w:hAnsi="Times New Roman" w:cs="Times New Roman"/>
                <w:sz w:val="18"/>
                <w:szCs w:val="18"/>
              </w:rPr>
            </w:pP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nulovej požiadavky solventnosti, ak ide o holdingovú poisťovaciu spoločnosť,</w:t>
            </w: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 </w:t>
            </w: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 xml:space="preserve">požiadavky predpokladanej solventnosti tak, ako je uvedená v oddiele 2.2 prílohy I, ak ide o zaisťovaciu spoločnosť, alebo podľa oddielu 2.4 (B) prílohy I, ak ide o zaisťovaciu spoločnosť so sídlom v nečlenskej krajine, </w:t>
            </w:r>
          </w:p>
          <w:p>
            <w:pPr>
              <w:pStyle w:val="BodyText"/>
              <w:tabs>
                <w:tab w:val="left" w:pos="426"/>
              </w:tabs>
              <w:rPr>
                <w:rFonts w:ascii="Times New Roman" w:hAnsi="Times New Roman" w:cs="Times New Roman"/>
                <w:sz w:val="18"/>
                <w:szCs w:val="18"/>
              </w:rPr>
            </w:pPr>
          </w:p>
          <w:p>
            <w:pPr>
              <w:pStyle w:val="BodyText"/>
              <w:numPr>
                <w:ilvl w:val="0"/>
                <w:numId w:val="5"/>
              </w:numPr>
              <w:tabs>
                <w:tab w:val="left" w:pos="360"/>
                <w:tab w:val="left" w:pos="426"/>
              </w:tabs>
              <w:rPr>
                <w:rFonts w:ascii="Times New Roman" w:hAnsi="Times New Roman" w:cs="Times New Roman"/>
                <w:sz w:val="18"/>
                <w:szCs w:val="18"/>
              </w:rPr>
            </w:pPr>
            <w:r>
              <w:rPr>
                <w:rFonts w:ascii="Times New Roman" w:hAnsi="Times New Roman" w:cs="Times New Roman"/>
                <w:sz w:val="18"/>
                <w:szCs w:val="18"/>
              </w:rPr>
              <w:t>požiadavka solventnosti určená podľa zásad oddielu 2.4(A) prílohy I, ak ide o poisťovaciu spoločnosť nečlenskej kr</w:t>
            </w:r>
            <w:r>
              <w:rPr>
                <w:rFonts w:ascii="Times New Roman" w:hAnsi="Times New Roman" w:cs="Times New Roman"/>
                <w:sz w:val="18"/>
                <w:szCs w:val="18"/>
              </w:rPr>
              <w:t>ajiny,</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a je predmetom rovnakých podmienok než, ako sú stanovené v článku 16(1) smernice 73/239/EHS, alebo v článku 18 smernice 79/267/EHS vo vzťahu k prvkom započítateľným do rozpätia solventnosti.</w:t>
            </w:r>
          </w:p>
          <w:p>
            <w:pPr>
              <w:pStyle w:val="BodyText"/>
              <w:tabs>
                <w:tab w:val="left" w:pos="426"/>
              </w:tabs>
              <w:rPr>
                <w:rFonts w:ascii="Times New Roman" w:hAnsi="Times New Roman" w:cs="Times New Roman"/>
                <w:sz w:val="18"/>
                <w:szCs w:val="18"/>
              </w:rPr>
            </w:pPr>
          </w:p>
          <w:p>
            <w:pPr>
              <w:pStyle w:val="BodyText"/>
              <w:rPr>
                <w:rFonts w:ascii="Times New Roman" w:hAnsi="Times New Roman" w:cs="Times New Roman"/>
                <w:b/>
                <w:sz w:val="18"/>
                <w:szCs w:val="18"/>
              </w:rPr>
            </w:pPr>
            <w:r>
              <w:rPr>
                <w:rFonts w:ascii="Times New Roman" w:hAnsi="Times New Roman" w:cs="Times New Roman"/>
                <w:b/>
                <w:sz w:val="18"/>
                <w:szCs w:val="18"/>
              </w:rPr>
              <w:t>4. Neprístupnosť potrebných informácií</w:t>
            </w:r>
          </w:p>
          <w:p>
            <w:pPr>
              <w:pStyle w:val="BodyText"/>
              <w:tabs>
                <w:tab w:val="left" w:pos="426"/>
              </w:tabs>
              <w:rPr>
                <w:rFonts w:ascii="Times New Roman" w:hAnsi="Times New Roman" w:cs="Times New Roman"/>
                <w:sz w:val="18"/>
                <w:szCs w:val="18"/>
              </w:rPr>
            </w:pPr>
          </w:p>
          <w:p>
            <w:pPr>
              <w:pStyle w:val="BodyText"/>
              <w:tabs>
                <w:tab w:val="left" w:pos="426"/>
              </w:tabs>
              <w:rPr>
                <w:rFonts w:ascii="Times New Roman" w:hAnsi="Times New Roman" w:cs="Times New Roman"/>
                <w:sz w:val="18"/>
                <w:szCs w:val="18"/>
              </w:rPr>
            </w:pPr>
            <w:r>
              <w:rPr>
                <w:rFonts w:ascii="Times New Roman" w:hAnsi="Times New Roman" w:cs="Times New Roman"/>
                <w:sz w:val="18"/>
                <w:szCs w:val="18"/>
              </w:rPr>
              <w:t xml:space="preserve"> Ak informácie potrebné pre výpočet uvedený v tejto prílohe, týkajúci sa príbuzných spoločností so sídlom v členskom štáte, alebo nečlenskej krajine, nie sú k dispozícii príslušným orgánom z akéhokoľvek dôvodu, účtovná hodnota tejto spoločnosti v podieľajúcej sa spoločnosti sa odpočíta od prvkov, ktoré sa započítavajú do výpočtu upravenom v tejto prílohe. V tomto prípade, nedosiahnuté výnosy spojené s týmto podielom by sa nemali povoliť ako prvok započítavaný do výpočtu.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95/2002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 31</w:t>
            </w:r>
          </w:p>
          <w:p>
            <w:pPr>
              <w:pStyle w:val="TABUKA-textsmernice"/>
              <w:rPr>
                <w:rFonts w:ascii="Times New Roman" w:hAnsi="Times New Roman" w:cs="Times New Roman"/>
                <w:sz w:val="18"/>
                <w:szCs w:val="18"/>
              </w:rPr>
            </w:pPr>
            <w:r>
              <w:rPr>
                <w:rFonts w:ascii="Times New Roman" w:hAnsi="Times New Roman" w:cs="Times New Roman"/>
                <w:sz w:val="18"/>
                <w:szCs w:val="18"/>
              </w:rPr>
              <w:t>ods. 16</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(16) Všeobecne záväzný</w:t>
            </w:r>
            <w:r>
              <w:rPr>
                <w:rFonts w:ascii="Times New Roman" w:hAnsi="Times New Roman" w:cs="Times New Roman"/>
                <w:bCs/>
                <w:i/>
                <w:sz w:val="18"/>
                <w:szCs w:val="18"/>
                <w:lang w:val="sk-SK"/>
              </w:rPr>
              <w:t xml:space="preserve"> právny predpis, ktorý vydá ministerstvo ustanoví spôsob</w:t>
            </w:r>
          </w:p>
          <w:p>
            <w:pPr>
              <w:spacing w:after="0"/>
              <w:rPr>
                <w:rFonts w:ascii="Times New Roman" w:hAnsi="Times New Roman" w:cs="Times New Roman"/>
                <w:bCs/>
                <w:i/>
                <w:sz w:val="18"/>
                <w:szCs w:val="18"/>
                <w:lang w:val="sk-SK"/>
              </w:rPr>
            </w:pPr>
          </w:p>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 xml:space="preserve">c) výpočtu,  preukazovania a lehotu na preukázanie upravenej skutočnej miery solventnosti, </w:t>
            </w:r>
          </w:p>
          <w:p>
            <w:pPr>
              <w:spacing w:after="0"/>
              <w:rPr>
                <w:rFonts w:ascii="Times New Roman" w:hAnsi="Times New Roman" w:cs="Times New Roman"/>
                <w:bCs/>
                <w:i/>
                <w:sz w:val="18"/>
                <w:szCs w:val="18"/>
                <w:lang w:val="sk-SK"/>
              </w:rPr>
            </w:pPr>
          </w:p>
          <w:p>
            <w:pPr>
              <w:spacing w:after="0"/>
              <w:rPr>
                <w:rFonts w:ascii="Times New Roman" w:hAnsi="Times New Roman" w:cs="Times New Roman"/>
                <w:bCs/>
                <w:i/>
                <w:sz w:val="18"/>
                <w:szCs w:val="18"/>
                <w:lang w:val="sk-SK"/>
              </w:rPr>
            </w:pPr>
            <w:r>
              <w:rPr>
                <w:rFonts w:ascii="Times New Roman" w:hAnsi="Times New Roman" w:cs="Times New Roman"/>
                <w:bCs/>
                <w:i/>
                <w:sz w:val="18"/>
                <w:szCs w:val="18"/>
                <w:lang w:val="sk-SK"/>
              </w:rPr>
              <w:t xml:space="preserve">d) výpočtu upravenej požadovanej miery solventnosti. </w:t>
            </w:r>
          </w:p>
          <w:p>
            <w:pPr>
              <w:pStyle w:val="TABUKA-textsmernice"/>
              <w:rPr>
                <w:rFonts w:ascii="Times New Roman" w:hAnsi="Times New Roman" w:cs="Times New Roman"/>
                <w:i/>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24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autoSpaceDE/>
              <w:autoSpaceDN/>
              <w:jc w:val="left"/>
              <w:rPr>
                <w:rFonts w:ascii="Times New Roman" w:hAnsi="Times New Roman" w:cs="Times New Roman"/>
                <w:bCs/>
                <w:color w:val="000000"/>
                <w:sz w:val="18"/>
                <w:szCs w:val="18"/>
                <w:lang w:val="sk-SK"/>
              </w:rPr>
            </w:pPr>
            <w:r>
              <w:rPr>
                <w:rFonts w:ascii="Times New Roman" w:hAnsi="Times New Roman" w:cs="Times New Roman"/>
                <w:bCs/>
                <w:color w:val="000000"/>
                <w:sz w:val="18"/>
                <w:szCs w:val="18"/>
                <w:lang w:val="sk-SK"/>
              </w:rPr>
              <w:t>Vyhl. č. …/2004 Z.z. o spôsobe výpočtu a preukazovania skutočnej miery solventnosti, o spôsobe výpočtu požadovanej miery solventnosti a o rizikovom kapitále poisťovne a pobočky zahraničnej poisťovne</w:t>
            </w:r>
          </w:p>
          <w:p>
            <w:pPr>
              <w:pStyle w:val="TABUKA-textsmernice"/>
              <w:jc w:val="left"/>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bl>
    <w:p>
      <w:pPr>
        <w:pStyle w:val="TABUKA-textsmernice"/>
        <w:rPr>
          <w:rFonts w:ascii="Times New Roman" w:hAnsi="Times New Roman" w:cs="Times New Roman"/>
          <w:sz w:val="18"/>
          <w:szCs w:val="18"/>
        </w:rPr>
      </w:pPr>
    </w:p>
    <w:sectPr>
      <w:footerReference w:type="even" r:id="rId4"/>
      <w:footerReference w:type="default" r:id="rId5"/>
      <w:pgSz w:w="16840" w:h="11907" w:orient="landscape" w:code="9"/>
      <w:pgMar w:top="851" w:right="851" w:bottom="851" w:left="85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611"/>
    <w:multiLevelType w:val="singleLevel"/>
    <w:tmpl w:val="B2701478"/>
    <w:lvl w:ilvl="0">
      <w:start w:val="1"/>
      <w:numFmt w:val="lowerRoman"/>
      <w:lvlText w:val="(%1)"/>
      <w:lvlJc w:val="left"/>
      <w:pPr>
        <w:tabs>
          <w:tab w:val="num" w:pos="720"/>
        </w:tabs>
        <w:ind w:left="720" w:hanging="720"/>
      </w:pPr>
    </w:lvl>
  </w:abstractNum>
  <w:abstractNum w:abstractNumId="1">
    <w:nsid w:val="058B4420"/>
    <w:multiLevelType w:val="hybridMultilevel"/>
    <w:tmpl w:val="CE9610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7214B"/>
    <w:multiLevelType w:val="singleLevel"/>
    <w:tmpl w:val="48A0A206"/>
    <w:lvl w:ilvl="0">
      <w:start w:val="1"/>
      <w:numFmt w:val="decimal"/>
      <w:lvlText w:val="%1."/>
      <w:lvlJc w:val="left"/>
      <w:pPr>
        <w:tabs>
          <w:tab w:val="num" w:pos="360"/>
        </w:tabs>
        <w:ind w:left="360" w:hanging="360"/>
      </w:pPr>
    </w:lvl>
  </w:abstractNum>
  <w:abstractNum w:abstractNumId="3">
    <w:nsid w:val="11255E89"/>
    <w:multiLevelType w:val="singleLevel"/>
    <w:tmpl w:val="DD4C6EEE"/>
    <w:lvl w:ilvl="0">
      <w:start w:val="811"/>
      <w:numFmt w:val="bullet"/>
      <w:lvlText w:val="-"/>
      <w:lvlJc w:val="left"/>
      <w:pPr>
        <w:tabs>
          <w:tab w:val="num" w:pos="360"/>
        </w:tabs>
        <w:ind w:left="360" w:hanging="360"/>
      </w:pPr>
    </w:lvl>
  </w:abstractNum>
  <w:abstractNum w:abstractNumId="4">
    <w:nsid w:val="1263252C"/>
    <w:multiLevelType w:val="singleLevel"/>
    <w:tmpl w:val="6D62AB58"/>
    <w:lvl w:ilvl="0">
      <w:start w:val="1"/>
      <w:numFmt w:val="upperLetter"/>
      <w:lvlText w:val="%1."/>
      <w:lvlJc w:val="left"/>
      <w:pPr>
        <w:tabs>
          <w:tab w:val="num" w:pos="360"/>
        </w:tabs>
        <w:ind w:left="360" w:hanging="360"/>
      </w:pPr>
    </w:lvl>
  </w:abstractNum>
  <w:abstractNum w:abstractNumId="5">
    <w:nsid w:val="1C2A31E6"/>
    <w:multiLevelType w:val="singleLevel"/>
    <w:tmpl w:val="20362B9A"/>
    <w:lvl w:ilvl="0">
      <w:start w:val="1"/>
      <w:numFmt w:val="lowerLetter"/>
      <w:lvlText w:val="(%1)"/>
      <w:lvlJc w:val="left"/>
      <w:pPr>
        <w:tabs>
          <w:tab w:val="num" w:pos="405"/>
        </w:tabs>
        <w:ind w:left="405" w:hanging="405"/>
      </w:pPr>
    </w:lvl>
  </w:abstractNum>
  <w:abstractNum w:abstractNumId="6">
    <w:nsid w:val="1C6C11AE"/>
    <w:multiLevelType w:val="singleLevel"/>
    <w:tmpl w:val="C9F8D9D0"/>
    <w:lvl w:ilvl="0">
      <w:start w:val="1"/>
      <w:numFmt w:val="upperLetter"/>
      <w:lvlText w:val="%1."/>
      <w:lvlJc w:val="left"/>
      <w:pPr>
        <w:tabs>
          <w:tab w:val="num" w:pos="810"/>
        </w:tabs>
        <w:ind w:left="810" w:hanging="450"/>
      </w:pPr>
    </w:lvl>
  </w:abstractNum>
  <w:abstractNum w:abstractNumId="7">
    <w:nsid w:val="1CB75A6D"/>
    <w:multiLevelType w:val="hybridMultilevel"/>
    <w:tmpl w:val="C0C25362"/>
    <w:lvl w:ilvl="0">
      <w:start w:val="1"/>
      <w:numFmt w:val="lowerLetter"/>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A772BB"/>
    <w:multiLevelType w:val="multilevel"/>
    <w:tmpl w:val="A636F90E"/>
    <w:lvl w:ilvl="0">
      <w:start w:val="1"/>
      <w:numFmt w:val="decimal"/>
      <w:lvlText w:val="%1."/>
      <w:lvlJc w:val="left"/>
      <w:pPr>
        <w:tabs>
          <w:tab w:val="num" w:pos="360"/>
        </w:tabs>
        <w:ind w:left="360" w:hanging="360"/>
      </w:pPr>
    </w:lvl>
    <w:lvl w:ilvl="1">
      <w:start w:val="4"/>
      <w:numFmt w:val="decimal"/>
      <w:isLgl/>
      <w:lvlText w:val="%1.%2"/>
      <w:lvlJc w:val="left"/>
      <w:pPr>
        <w:tabs>
          <w:tab w:val="num" w:pos="555"/>
        </w:tabs>
        <w:ind w:left="555" w:hanging="55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nsid w:val="26D32DE2"/>
    <w:multiLevelType w:val="singleLevel"/>
    <w:tmpl w:val="03C4B2FC"/>
    <w:lvl w:ilvl="0">
      <w:start w:val="1"/>
      <w:numFmt w:val="decimal"/>
      <w:lvlText w:val="%1."/>
      <w:lvlJc w:val="left"/>
      <w:pPr>
        <w:tabs>
          <w:tab w:val="num" w:pos="405"/>
        </w:tabs>
        <w:ind w:left="405" w:hanging="405"/>
      </w:pPr>
    </w:lvl>
  </w:abstractNum>
  <w:abstractNum w:abstractNumId="10">
    <w:nsid w:val="270829FF"/>
    <w:multiLevelType w:val="singleLevel"/>
    <w:tmpl w:val="48A0A206"/>
    <w:lvl w:ilvl="0">
      <w:start w:val="1"/>
      <w:numFmt w:val="decimal"/>
      <w:lvlText w:val="%1."/>
      <w:lvlJc w:val="left"/>
      <w:pPr>
        <w:tabs>
          <w:tab w:val="num" w:pos="360"/>
        </w:tabs>
        <w:ind w:left="360" w:hanging="360"/>
      </w:pPr>
    </w:lvl>
  </w:abstractNum>
  <w:abstractNum w:abstractNumId="11">
    <w:nsid w:val="2C0F7897"/>
    <w:multiLevelType w:val="multilevel"/>
    <w:tmpl w:val="4F40C138"/>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31525716"/>
    <w:multiLevelType w:val="singleLevel"/>
    <w:tmpl w:val="833658C4"/>
    <w:lvl w:ilvl="0">
      <w:start w:val="1"/>
      <w:numFmt w:val="decimal"/>
      <w:lvlText w:val="%1."/>
      <w:lvlJc w:val="left"/>
      <w:pPr>
        <w:tabs>
          <w:tab w:val="num" w:pos="435"/>
        </w:tabs>
        <w:ind w:left="435" w:hanging="360"/>
      </w:pPr>
    </w:lvl>
  </w:abstractNum>
  <w:abstractNum w:abstractNumId="13">
    <w:nsid w:val="358A402F"/>
    <w:multiLevelType w:val="singleLevel"/>
    <w:tmpl w:val="48A0A206"/>
    <w:lvl w:ilvl="0">
      <w:start w:val="1"/>
      <w:numFmt w:val="decimal"/>
      <w:lvlText w:val="%1."/>
      <w:lvlJc w:val="left"/>
      <w:pPr>
        <w:tabs>
          <w:tab w:val="num" w:pos="360"/>
        </w:tabs>
        <w:ind w:left="360" w:hanging="360"/>
      </w:pPr>
    </w:lvl>
  </w:abstractNum>
  <w:abstractNum w:abstractNumId="14">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5">
    <w:nsid w:val="3CA3776C"/>
    <w:multiLevelType w:val="singleLevel"/>
    <w:tmpl w:val="9312860E"/>
    <w:lvl w:ilvl="0">
      <w:start w:val="1"/>
      <w:numFmt w:val="lowerLetter"/>
      <w:lvlText w:val="(%1)"/>
      <w:lvlJc w:val="left"/>
      <w:pPr>
        <w:tabs>
          <w:tab w:val="num" w:pos="510"/>
        </w:tabs>
        <w:ind w:left="510" w:hanging="510"/>
      </w:pPr>
    </w:lvl>
  </w:abstractNum>
  <w:abstractNum w:abstractNumId="16">
    <w:nsid w:val="3E214060"/>
    <w:multiLevelType w:val="hybridMultilevel"/>
    <w:tmpl w:val="4432C4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503124"/>
    <w:multiLevelType w:val="singleLevel"/>
    <w:tmpl w:val="CBF4E936"/>
    <w:lvl w:ilvl="0">
      <w:start w:val="1"/>
      <w:numFmt w:val="decimal"/>
      <w:lvlText w:val="(%1)"/>
      <w:lvlJc w:val="left"/>
      <w:pPr>
        <w:tabs>
          <w:tab w:val="num" w:pos="360"/>
        </w:tabs>
        <w:ind w:left="360" w:hanging="360"/>
      </w:pPr>
    </w:lvl>
  </w:abstractNum>
  <w:abstractNum w:abstractNumId="18">
    <w:nsid w:val="3FB304B4"/>
    <w:multiLevelType w:val="singleLevel"/>
    <w:tmpl w:val="52BC4958"/>
    <w:lvl w:ilvl="0">
      <w:start w:val="1"/>
      <w:numFmt w:val="lowerLetter"/>
      <w:lvlText w:val="(%1)"/>
      <w:lvlJc w:val="left"/>
      <w:pPr>
        <w:tabs>
          <w:tab w:val="num" w:pos="735"/>
        </w:tabs>
        <w:ind w:left="735" w:hanging="375"/>
      </w:pPr>
    </w:lvl>
  </w:abstractNum>
  <w:abstractNum w:abstractNumId="19">
    <w:nsid w:val="47927542"/>
    <w:multiLevelType w:val="singleLevel"/>
    <w:tmpl w:val="8A58B532"/>
    <w:lvl w:ilvl="0">
      <w:start w:val="1"/>
      <w:numFmt w:val="lowerRoman"/>
      <w:lvlText w:val="(%1)"/>
      <w:lvlJc w:val="left"/>
      <w:pPr>
        <w:tabs>
          <w:tab w:val="num" w:pos="1428"/>
        </w:tabs>
        <w:ind w:left="1428" w:hanging="720"/>
      </w:pPr>
    </w:lvl>
  </w:abstractNum>
  <w:abstractNum w:abstractNumId="20">
    <w:nsid w:val="4CBB6E74"/>
    <w:multiLevelType w:val="singleLevel"/>
    <w:tmpl w:val="6EFAFBF0"/>
    <w:lvl w:ilvl="0">
      <w:start w:val="1"/>
      <w:numFmt w:val="lowerLetter"/>
      <w:lvlText w:val="(%1)"/>
      <w:lvlJc w:val="left"/>
      <w:pPr>
        <w:tabs>
          <w:tab w:val="num" w:pos="795"/>
        </w:tabs>
        <w:ind w:left="795" w:hanging="375"/>
      </w:pPr>
    </w:lvl>
  </w:abstractNum>
  <w:abstractNum w:abstractNumId="21">
    <w:nsid w:val="56BF208A"/>
    <w:multiLevelType w:val="singleLevel"/>
    <w:tmpl w:val="072C747A"/>
    <w:lvl w:ilvl="0">
      <w:start w:val="1"/>
      <w:numFmt w:val="lowerLetter"/>
      <w:lvlText w:val="(%1)"/>
      <w:lvlJc w:val="left"/>
      <w:pPr>
        <w:tabs>
          <w:tab w:val="num" w:pos="1080"/>
        </w:tabs>
        <w:ind w:left="1080" w:hanging="720"/>
      </w:pPr>
    </w:lvl>
  </w:abstractNum>
  <w:abstractNum w:abstractNumId="22">
    <w:nsid w:val="5A831FD8"/>
    <w:multiLevelType w:val="singleLevel"/>
    <w:tmpl w:val="934684D4"/>
    <w:lvl w:ilvl="0">
      <w:start w:val="1"/>
      <w:numFmt w:val="lowerLetter"/>
      <w:lvlText w:val="(%1)"/>
      <w:lvlJc w:val="left"/>
      <w:pPr>
        <w:tabs>
          <w:tab w:val="num" w:pos="375"/>
        </w:tabs>
        <w:ind w:left="375" w:hanging="375"/>
      </w:pPr>
    </w:lvl>
  </w:abstractNum>
  <w:abstractNum w:abstractNumId="23">
    <w:nsid w:val="5B104882"/>
    <w:multiLevelType w:val="singleLevel"/>
    <w:tmpl w:val="DD905844"/>
    <w:lvl w:ilvl="0">
      <w:start w:val="1"/>
      <w:numFmt w:val="lowerRoman"/>
      <w:lvlText w:val="(%1)"/>
      <w:lvlJc w:val="left"/>
      <w:pPr>
        <w:tabs>
          <w:tab w:val="num" w:pos="1428"/>
        </w:tabs>
        <w:ind w:left="1428" w:hanging="720"/>
      </w:pPr>
    </w:lvl>
  </w:abstractNum>
  <w:abstractNum w:abstractNumId="24">
    <w:nsid w:val="5CC837BD"/>
    <w:multiLevelType w:val="singleLevel"/>
    <w:tmpl w:val="7CC4DBB8"/>
    <w:lvl w:ilvl="0">
      <w:start w:val="0"/>
      <w:numFmt w:val="bullet"/>
      <w:lvlText w:val="-"/>
      <w:lvlJc w:val="left"/>
      <w:pPr>
        <w:tabs>
          <w:tab w:val="num" w:pos="1080"/>
        </w:tabs>
        <w:ind w:left="1080" w:hanging="360"/>
      </w:pPr>
    </w:lvl>
  </w:abstractNum>
  <w:abstractNum w:abstractNumId="25">
    <w:nsid w:val="630F0677"/>
    <w:multiLevelType w:val="hybridMultilevel"/>
    <w:tmpl w:val="A6D0E79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81042A"/>
    <w:multiLevelType w:val="singleLevel"/>
    <w:tmpl w:val="BF12BE1A"/>
    <w:lvl w:ilvl="0">
      <w:start w:val="1"/>
      <w:numFmt w:val="decimal"/>
      <w:lvlText w:val="%1."/>
      <w:lvlJc w:val="left"/>
      <w:pPr>
        <w:tabs>
          <w:tab w:val="num" w:pos="405"/>
        </w:tabs>
        <w:ind w:left="405" w:hanging="405"/>
      </w:pPr>
    </w:lvl>
  </w:abstractNum>
  <w:abstractNum w:abstractNumId="27">
    <w:nsid w:val="68F70B65"/>
    <w:multiLevelType w:val="singleLevel"/>
    <w:tmpl w:val="A4ACFB00"/>
    <w:lvl w:ilvl="0">
      <w:start w:val="1"/>
      <w:numFmt w:val="lowerRoman"/>
      <w:lvlText w:val="(%1)"/>
      <w:lvlJc w:val="left"/>
      <w:pPr>
        <w:tabs>
          <w:tab w:val="num" w:pos="720"/>
        </w:tabs>
        <w:ind w:left="720" w:hanging="720"/>
      </w:pPr>
    </w:lvl>
  </w:abstractNum>
  <w:abstractNum w:abstractNumId="28">
    <w:nsid w:val="745B0547"/>
    <w:multiLevelType w:val="singleLevel"/>
    <w:tmpl w:val="48A0A206"/>
    <w:lvl w:ilvl="0">
      <w:start w:val="1"/>
      <w:numFmt w:val="decimal"/>
      <w:lvlText w:val="%1."/>
      <w:lvlJc w:val="left"/>
      <w:pPr>
        <w:tabs>
          <w:tab w:val="num" w:pos="360"/>
        </w:tabs>
        <w:ind w:left="360" w:hanging="360"/>
      </w:pPr>
    </w:lvl>
  </w:abstractNum>
  <w:abstractNum w:abstractNumId="29">
    <w:nsid w:val="74633A7F"/>
    <w:multiLevelType w:val="hybridMultilevel"/>
    <w:tmpl w:val="376A6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A5555E2"/>
    <w:multiLevelType w:val="singleLevel"/>
    <w:tmpl w:val="48A0A206"/>
    <w:lvl w:ilvl="0">
      <w:start w:val="1"/>
      <w:numFmt w:val="decimal"/>
      <w:lvlText w:val="%1."/>
      <w:lvlJc w:val="left"/>
      <w:pPr>
        <w:tabs>
          <w:tab w:val="num" w:pos="360"/>
        </w:tabs>
        <w:ind w:left="360" w:hanging="360"/>
      </w:pPr>
    </w:lvl>
  </w:abstractNum>
  <w:abstractNum w:abstractNumId="31">
    <w:nsid w:val="7F801900"/>
    <w:multiLevelType w:val="singleLevel"/>
    <w:tmpl w:val="48A0A206"/>
    <w:lvl w:ilvl="0">
      <w:start w:val="1"/>
      <w:numFmt w:val="decimal"/>
      <w:lvlText w:val="%1."/>
      <w:lvlJc w:val="left"/>
      <w:pPr>
        <w:tabs>
          <w:tab w:val="num" w:pos="360"/>
        </w:tabs>
        <w:ind w:left="360" w:hanging="360"/>
      </w:pPr>
    </w:lvl>
  </w:abstractNum>
  <w:num w:numId="1">
    <w:abstractNumId w:val="14"/>
  </w:num>
  <w:num w:numId="2">
    <w:abstractNumId w:val="15"/>
  </w:num>
  <w:num w:numId="3">
    <w:abstractNumId w:val="10"/>
  </w:num>
  <w:num w:numId="4">
    <w:abstractNumId w:val="9"/>
  </w:num>
  <w:num w:numId="5">
    <w:abstractNumId w:val="3"/>
  </w:num>
  <w:num w:numId="6">
    <w:abstractNumId w:val="17"/>
  </w:num>
  <w:num w:numId="7">
    <w:abstractNumId w:val="2"/>
  </w:num>
  <w:num w:numId="8">
    <w:abstractNumId w:val="30"/>
  </w:num>
  <w:num w:numId="9">
    <w:abstractNumId w:val="31"/>
  </w:num>
  <w:num w:numId="10">
    <w:abstractNumId w:val="13"/>
  </w:num>
  <w:num w:numId="11">
    <w:abstractNumId w:val="8"/>
  </w:num>
  <w:num w:numId="12">
    <w:abstractNumId w:val="18"/>
  </w:num>
  <w:num w:numId="13">
    <w:abstractNumId w:val="23"/>
  </w:num>
  <w:num w:numId="14">
    <w:abstractNumId w:val="19"/>
  </w:num>
  <w:num w:numId="15">
    <w:abstractNumId w:val="28"/>
  </w:num>
  <w:num w:numId="16">
    <w:abstractNumId w:val="12"/>
  </w:num>
  <w:num w:numId="17">
    <w:abstractNumId w:val="26"/>
  </w:num>
  <w:num w:numId="18">
    <w:abstractNumId w:val="11"/>
  </w:num>
  <w:num w:numId="19">
    <w:abstractNumId w:val="6"/>
  </w:num>
  <w:num w:numId="20">
    <w:abstractNumId w:val="4"/>
  </w:num>
  <w:num w:numId="21">
    <w:abstractNumId w:val="0"/>
  </w:num>
  <w:num w:numId="22">
    <w:abstractNumId w:val="20"/>
  </w:num>
  <w:num w:numId="23">
    <w:abstractNumId w:val="21"/>
  </w:num>
  <w:num w:numId="24">
    <w:abstractNumId w:val="27"/>
  </w:num>
  <w:num w:numId="25">
    <w:abstractNumId w:val="22"/>
  </w:num>
  <w:num w:numId="26">
    <w:abstractNumId w:val="5"/>
  </w:num>
  <w:num w:numId="27">
    <w:abstractNumId w:val="24"/>
  </w:num>
  <w:num w:numId="28">
    <w:abstractNumId w:val="7"/>
  </w:num>
  <w:num w:numId="29">
    <w:abstractNumId w:val="1"/>
  </w:num>
  <w:num w:numId="30">
    <w:abstractNumId w:val="29"/>
  </w:num>
  <w:num w:numId="31">
    <w:abstractNumId w:val="1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pPr>
      <w:widowControl w:val="0"/>
      <w:autoSpaceDE w:val="0"/>
      <w:autoSpaceDN w:val="0"/>
      <w:bidi w:val="0"/>
      <w:adjustRightInd w:val="0"/>
      <w:spacing w:after="120"/>
      <w:ind w:left="0" w:right="0"/>
      <w:jc w:val="both"/>
      <w:textAlignment w:val="auto"/>
    </w:pPr>
    <w:rPr>
      <w:sz w:val="24"/>
      <w:szCs w:val="24"/>
      <w:rtl w:val="0"/>
      <w:lang w:val="en-US" w:bidi="ar-SA"/>
    </w:rPr>
  </w:style>
  <w:style w:type="paragraph" w:styleId="Heading1">
    <w:name w:val="heading 1"/>
    <w:basedOn w:val="Normal"/>
    <w:next w:val="Normal"/>
    <w:uiPriority w:val="9"/>
    <w:qFormat/>
    <w:pPr>
      <w:keepNext/>
      <w:jc w:val="both"/>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ABUKA-nadpis">
    <w:name w:val="TABUĽKA-nadpis"/>
    <w:pPr>
      <w:widowControl w:val="0"/>
      <w:autoSpaceDE w:val="0"/>
      <w:autoSpaceDN w:val="0"/>
      <w:bidi w:val="0"/>
      <w:adjustRightInd w:val="0"/>
      <w:ind w:left="0" w:right="0"/>
      <w:jc w:val="center"/>
      <w:textAlignment w:val="auto"/>
    </w:pPr>
    <w:rPr>
      <w:b/>
      <w:sz w:val="24"/>
      <w:szCs w:val="24"/>
      <w:rtl w:val="0"/>
      <w:lang w:val="sk-SK" w:bidi="ar-SA"/>
    </w:rPr>
  </w:style>
  <w:style w:type="paragraph" w:styleId="NormalWeb">
    <w:name w:val="Normal (Web)"/>
    <w:basedOn w:val="Normal"/>
    <w:pPr>
      <w:jc w:val="both"/>
    </w:pPr>
  </w:style>
  <w:style w:type="paragraph" w:customStyle="1" w:styleId="TABUKA-nadpismal">
    <w:name w:val="TABUĽKA-nadpis malý"/>
    <w:pPr>
      <w:widowControl w:val="0"/>
      <w:autoSpaceDE w:val="0"/>
      <w:autoSpaceDN w:val="0"/>
      <w:bidi w:val="0"/>
      <w:adjustRightInd w:val="0"/>
      <w:ind w:left="0" w:right="0"/>
      <w:jc w:val="left"/>
      <w:textAlignment w:val="auto"/>
    </w:pPr>
    <w:rPr>
      <w:b/>
      <w:sz w:val="24"/>
      <w:szCs w:val="24"/>
      <w:rtl w:val="0"/>
      <w:lang w:val="sk-SK" w:bidi="ar-SA"/>
    </w:rPr>
  </w:style>
  <w:style w:type="paragraph" w:styleId="Title">
    <w:name w:val="Title"/>
    <w:basedOn w:val="Normal"/>
    <w:uiPriority w:val="10"/>
    <w:qFormat/>
    <w:pPr>
      <w:spacing w:after="0"/>
      <w:jc w:val="center"/>
    </w:pPr>
    <w:rPr>
      <w:b/>
      <w:szCs w:val="20"/>
      <w:lang w:val="sk-SK"/>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customStyle="1" w:styleId="TABUKA-nadpisstpcov">
    <w:name w:val="TABUĽKA-nadpis stĺpcov"/>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textsmernice">
    <w:name w:val="TABUĽKA-text smernice"/>
    <w:pPr>
      <w:widowControl w:val="0"/>
      <w:autoSpaceDE w:val="0"/>
      <w:autoSpaceDN w:val="0"/>
      <w:bidi w:val="0"/>
      <w:adjustRightInd w:val="0"/>
      <w:ind w:left="0" w:right="0"/>
      <w:jc w:val="both"/>
      <w:textAlignment w:val="auto"/>
    </w:pPr>
    <w:rPr>
      <w:sz w:val="20"/>
      <w:szCs w:val="24"/>
      <w:rtl w:val="0"/>
      <w:lang w:val="sk-SK" w:bidi="ar-SA"/>
    </w:rPr>
  </w:style>
  <w:style w:type="paragraph" w:styleId="BodyText">
    <w:name w:val="Body Text"/>
    <w:basedOn w:val="Normal"/>
    <w:pPr>
      <w:spacing w:after="0"/>
      <w:jc w:val="both"/>
    </w:pPr>
    <w:rPr>
      <w:sz w:val="28"/>
      <w:szCs w:val="20"/>
      <w:lang w:val="sk-SK"/>
    </w:rPr>
  </w:style>
  <w:style w:type="paragraph" w:styleId="FootnoteText">
    <w:name w:val="footnote text"/>
    <w:basedOn w:val="Normal"/>
    <w:semiHidden/>
    <w:pPr>
      <w:spacing w:after="0"/>
      <w:jc w:val="left"/>
    </w:pPr>
    <w:rPr>
      <w:sz w:val="20"/>
      <w:szCs w:val="20"/>
      <w:lang w:val="sk-SK"/>
    </w:rPr>
  </w:style>
  <w:style w:type="character" w:styleId="FootnoteReference">
    <w:name w:val="footnote reference"/>
    <w:basedOn w:val="DefaultParagraphFont"/>
    <w:semiHidden/>
    <w:rPr>
      <w:vertAlign w:val="superscript"/>
    </w:rPr>
  </w:style>
  <w:style w:type="paragraph" w:styleId="BodyTextIndent">
    <w:name w:val="Body Text Indent"/>
    <w:basedOn w:val="Normal"/>
    <w:pPr>
      <w:ind w:left="283"/>
      <w:jc w:val="both"/>
    </w:pPr>
  </w:style>
  <w:style w:type="paragraph" w:styleId="BodyText2">
    <w:name w:val="Body Text 2"/>
    <w:basedOn w:val="Normal"/>
    <w:pPr>
      <w:overflowPunct w:val="0"/>
      <w:autoSpaceDE/>
      <w:autoSpaceDN/>
      <w:spacing w:after="0" w:line="360" w:lineRule="auto"/>
      <w:jc w:val="both"/>
      <w:textAlignment w:val="baseline"/>
    </w:pPr>
    <w:rPr>
      <w:szCs w:val="20"/>
      <w:lang w:val="sk-SK"/>
    </w:rPr>
  </w:style>
  <w:style w:type="paragraph" w:styleId="BodyTextIndent2">
    <w:name w:val="Body Text Indent 2"/>
    <w:basedOn w:val="Normal"/>
    <w:pPr>
      <w:autoSpaceDE/>
      <w:autoSpaceDN/>
      <w:spacing w:after="0"/>
      <w:ind w:left="360" w:firstLine="360"/>
      <w:jc w:val="both"/>
    </w:pPr>
    <w:rPr>
      <w:sz w:val="20"/>
      <w:lang w:val="sk-SK"/>
    </w:rPr>
  </w:style>
  <w:style w:type="paragraph" w:styleId="BodyText3">
    <w:name w:val="Body Text 3"/>
    <w:basedOn w:val="Normal"/>
    <w:pPr>
      <w:spacing w:after="0"/>
      <w:jc w:val="both"/>
    </w:pPr>
    <w:rPr>
      <w:i/>
      <w:iCs/>
      <w:lang w:val="sk-SK"/>
    </w:rPr>
  </w:style>
  <w:style w:type="paragraph" w:styleId="BodyTextIndent3">
    <w:name w:val="Body Text Indent 3"/>
    <w:basedOn w:val="Normal"/>
    <w:pPr>
      <w:ind w:left="360" w:hanging="360"/>
      <w:jc w:val="both"/>
    </w:pPr>
    <w:rPr>
      <w:color w:val="000000"/>
      <w:sz w:val="18"/>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11</Pages>
  <Words>7058</Words>
  <Characters>40235</Characters>
  <Application>Microsoft Office Word</Application>
  <DocSecurity>0</DocSecurity>
  <Lines>0</Lines>
  <Paragraphs>0</Paragraphs>
  <ScaleCrop>false</ScaleCrop>
  <Company>Ministry of Finance</Company>
  <LinksUpToDate>false</LinksUpToDate>
  <CharactersWithSpaces>49411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Daša Kučerová</cp:lastModifiedBy>
  <cp:revision>2</cp:revision>
  <cp:lastPrinted>2000-06-12T08:21:00Z</cp:lastPrinted>
  <dcterms:created xsi:type="dcterms:W3CDTF">2004-06-24T10:27:00Z</dcterms:created>
  <dcterms:modified xsi:type="dcterms:W3CDTF">2004-06-24T10:27:00Z</dcterms:modified>
</cp:coreProperties>
</file>