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ascii="Times New Roman" w:hAnsi="Times New Roman" w:cs="Times New Roman"/>
          <w:b/>
          <w:bCs/>
          <w:sz w:val="28"/>
        </w:rPr>
      </w:pPr>
      <w:r>
        <w:rPr>
          <w:rFonts w:ascii="Times New Roman" w:hAnsi="Times New Roman" w:cs="Times New Roman"/>
          <w:b/>
          <w:bCs/>
          <w:sz w:val="28"/>
        </w:rPr>
        <w:t>Osobitná časť</w:t>
      </w:r>
    </w:p>
    <w:p>
      <w:pPr>
        <w:jc w:val="center"/>
        <w:rPr>
          <w:rFonts w:ascii="Times New Roman" w:hAnsi="Times New Roman" w:cs="Times New Roman"/>
          <w:b/>
          <w:bCs/>
        </w:rPr>
      </w:pPr>
    </w:p>
    <w:p>
      <w:pPr>
        <w:jc w:val="center"/>
        <w:rPr>
          <w:rFonts w:ascii="Times New Roman" w:hAnsi="Times New Roman" w:cs="Times New Roman"/>
          <w:b/>
          <w:bCs/>
          <w:sz w:val="28"/>
        </w:rPr>
      </w:pPr>
    </w:p>
    <w:p>
      <w:pPr>
        <w:jc w:val="center"/>
        <w:rPr>
          <w:rFonts w:ascii="Times New Roman" w:hAnsi="Times New Roman" w:cs="Times New Roman"/>
          <w:b/>
          <w:bCs/>
          <w:sz w:val="28"/>
        </w:rPr>
      </w:pPr>
    </w:p>
    <w:p>
      <w:pPr>
        <w:pStyle w:val="Heading1"/>
        <w:rPr>
          <w:rFonts w:ascii="Times New Roman" w:hAnsi="Times New Roman" w:cs="Times New Roman"/>
          <w:sz w:val="24"/>
        </w:rPr>
      </w:pPr>
      <w:r>
        <w:rPr>
          <w:rFonts w:ascii="Times New Roman" w:hAnsi="Times New Roman" w:cs="Times New Roman"/>
          <w:sz w:val="24"/>
        </w:rPr>
        <w:t>K Čl. I</w:t>
      </w:r>
    </w:p>
    <w:p>
      <w:pPr>
        <w:rPr>
          <w:rFonts w:ascii="Times New Roman" w:hAnsi="Times New Roman" w:cs="Times New Roman"/>
          <w:b/>
          <w:bCs/>
        </w:rPr>
      </w:pPr>
    </w:p>
    <w:p>
      <w:pPr>
        <w:rPr>
          <w:rFonts w:ascii="Times New Roman" w:hAnsi="Times New Roman" w:cs="Times New Roman"/>
          <w:b/>
          <w:bCs/>
        </w:rPr>
      </w:pPr>
      <w:r>
        <w:rPr>
          <w:rFonts w:ascii="Times New Roman" w:hAnsi="Times New Roman" w:cs="Times New Roman"/>
          <w:b/>
          <w:bCs/>
        </w:rPr>
        <w:t>K bodu 1:</w:t>
      </w:r>
    </w:p>
    <w:p>
      <w:pPr>
        <w:rPr>
          <w:rFonts w:ascii="Times New Roman" w:hAnsi="Times New Roman" w:cs="Times New Roman"/>
          <w:b/>
          <w:bCs/>
        </w:rPr>
      </w:pPr>
    </w:p>
    <w:p>
      <w:pPr>
        <w:pStyle w:val="BodyText"/>
        <w:tabs>
          <w:tab w:val="left" w:pos="-1418"/>
        </w:tabs>
        <w:jc w:val="both"/>
        <w:rPr>
          <w:rFonts w:ascii="Times New Roman" w:hAnsi="Times New Roman" w:cs="Times New Roman"/>
          <w:sz w:val="24"/>
          <w:lang w:val="sk-SK"/>
        </w:rPr>
      </w:pPr>
      <w:r>
        <w:rPr>
          <w:rFonts w:ascii="Times New Roman" w:hAnsi="Times New Roman" w:cs="Times New Roman"/>
          <w:sz w:val="24"/>
          <w:lang w:val="sk-SK"/>
        </w:rPr>
        <w:tab/>
        <w:t>Pôvodné ustanovenie § 3 písm. f), ktoré sa týka definície kontroly  bolo potrebné upraviť v súlade so smernicou č. 2002/87/ES.</w:t>
      </w:r>
    </w:p>
    <w:p>
      <w:pPr>
        <w:pStyle w:val="BodyText"/>
        <w:tabs>
          <w:tab w:val="left" w:pos="-1418"/>
        </w:tabs>
        <w:jc w:val="both"/>
        <w:rPr>
          <w:rFonts w:ascii="Times New Roman" w:hAnsi="Times New Roman" w:cs="Times New Roman"/>
          <w:sz w:val="24"/>
          <w:lang w:val="sk-SK"/>
        </w:rPr>
      </w:pPr>
    </w:p>
    <w:p>
      <w:pPr>
        <w:autoSpaceDE/>
        <w:autoSpaceDN/>
        <w:spacing w:line="240" w:lineRule="atLeast"/>
        <w:jc w:val="both"/>
        <w:rPr>
          <w:rFonts w:ascii="Times New Roman" w:hAnsi="Times New Roman" w:cs="Times New Roman"/>
          <w:b/>
          <w:bCs/>
        </w:rPr>
      </w:pPr>
      <w:r>
        <w:rPr>
          <w:rFonts w:ascii="Times New Roman" w:hAnsi="Times New Roman" w:cs="Times New Roman"/>
          <w:b/>
          <w:bCs/>
        </w:rPr>
        <w:t>K bodu 2:</w:t>
      </w:r>
    </w:p>
    <w:p>
      <w:pPr>
        <w:autoSpaceDE/>
        <w:autoSpaceDN/>
        <w:spacing w:line="240" w:lineRule="atLeast"/>
        <w:jc w:val="both"/>
        <w:rPr>
          <w:rFonts w:ascii="Times New Roman" w:hAnsi="Times New Roman" w:cs="Times New Roman"/>
          <w:b/>
          <w:bCs/>
        </w:rPr>
      </w:pPr>
    </w:p>
    <w:p>
      <w:pPr>
        <w:autoSpaceDE/>
        <w:autoSpaceDN/>
        <w:spacing w:line="240" w:lineRule="atLeast"/>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V ustanovení paragrafu sa zavádza legislatívna skratka.</w:t>
      </w:r>
    </w:p>
    <w:p>
      <w:pPr>
        <w:pStyle w:val="a2"/>
        <w:autoSpaceDE/>
        <w:autoSpaceDN/>
        <w:spacing w:line="240" w:lineRule="atLeast"/>
        <w:rPr>
          <w:rFonts w:ascii="Times New Roman" w:hAnsi="Times New Roman" w:cs="Times New Roman"/>
          <w:szCs w:val="24"/>
          <w:lang w:val="sk-SK" w:eastAsia="sk-SK"/>
        </w:rPr>
      </w:pPr>
    </w:p>
    <w:p>
      <w:pPr>
        <w:pStyle w:val="BodyText3"/>
        <w:autoSpaceDE/>
        <w:autoSpaceDN/>
        <w:spacing w:line="240" w:lineRule="atLeast"/>
        <w:rPr>
          <w:rFonts w:ascii="Times New Roman" w:hAnsi="Times New Roman" w:cs="Times New Roman"/>
        </w:rPr>
      </w:pPr>
      <w:r>
        <w:rPr>
          <w:rFonts w:ascii="Times New Roman" w:hAnsi="Times New Roman" w:cs="Times New Roman"/>
        </w:rPr>
        <w:t>K bodu 3:</w:t>
      </w:r>
    </w:p>
    <w:p>
      <w:pPr>
        <w:autoSpaceDE/>
        <w:autoSpaceDN/>
        <w:spacing w:line="240" w:lineRule="atLeast"/>
        <w:jc w:val="both"/>
        <w:rPr>
          <w:rFonts w:ascii="Times New Roman" w:hAnsi="Times New Roman" w:cs="Times New Roman"/>
          <w:b/>
          <w:bCs/>
        </w:rPr>
      </w:pPr>
    </w:p>
    <w:p>
      <w:pPr>
        <w:autoSpaceDE/>
        <w:autoSpaceDN/>
        <w:spacing w:line="240" w:lineRule="atLeast"/>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Ide o leg</w:t>
      </w:r>
      <w:r>
        <w:rPr>
          <w:rFonts w:ascii="Times New Roman" w:hAnsi="Times New Roman" w:cs="Times New Roman"/>
        </w:rPr>
        <w:t>islatívnotechnickú úpravu § 4.</w:t>
      </w:r>
    </w:p>
    <w:p>
      <w:pPr>
        <w:autoSpaceDE/>
        <w:autoSpaceDN/>
        <w:spacing w:line="240" w:lineRule="atLeast"/>
        <w:jc w:val="both"/>
        <w:rPr>
          <w:rFonts w:ascii="Times New Roman" w:hAnsi="Times New Roman" w:cs="Times New Roman"/>
        </w:rPr>
      </w:pPr>
    </w:p>
    <w:p>
      <w:pPr>
        <w:autoSpaceDE/>
        <w:autoSpaceDN/>
        <w:spacing w:line="240" w:lineRule="atLeast"/>
        <w:jc w:val="both"/>
        <w:rPr>
          <w:rFonts w:ascii="Times New Roman" w:hAnsi="Times New Roman" w:cs="Times New Roman"/>
          <w:b/>
          <w:bCs/>
        </w:rPr>
      </w:pPr>
    </w:p>
    <w:p>
      <w:pPr>
        <w:autoSpaceDE/>
        <w:autoSpaceDN/>
        <w:spacing w:line="240" w:lineRule="atLeast"/>
        <w:jc w:val="both"/>
        <w:rPr>
          <w:rFonts w:ascii="Times New Roman" w:hAnsi="Times New Roman" w:cs="Times New Roman"/>
          <w:b/>
          <w:bCs/>
        </w:rPr>
      </w:pPr>
      <w:r>
        <w:rPr>
          <w:rFonts w:ascii="Times New Roman" w:hAnsi="Times New Roman" w:cs="Times New Roman"/>
          <w:b/>
          <w:bCs/>
        </w:rPr>
        <w:t>K bodu 4:</w:t>
      </w:r>
    </w:p>
    <w:p>
      <w:pPr>
        <w:autoSpaceDE/>
        <w:autoSpaceDN/>
        <w:spacing w:line="240" w:lineRule="atLeast"/>
        <w:jc w:val="both"/>
        <w:rPr>
          <w:rFonts w:ascii="Times New Roman" w:hAnsi="Times New Roman" w:cs="Times New Roman"/>
          <w:b/>
          <w:bCs/>
        </w:rPr>
      </w:pPr>
    </w:p>
    <w:p>
      <w:pPr>
        <w:pStyle w:val="BodyText"/>
        <w:tabs>
          <w:tab w:val="left" w:pos="-1418"/>
        </w:tabs>
        <w:jc w:val="both"/>
        <w:rPr>
          <w:rFonts w:ascii="Times New Roman" w:hAnsi="Times New Roman" w:cs="Times New Roman"/>
          <w:sz w:val="24"/>
          <w:lang w:val="sk-SK"/>
        </w:rPr>
      </w:pPr>
      <w:r>
        <w:rPr>
          <w:rFonts w:ascii="Times New Roman" w:hAnsi="Times New Roman" w:cs="Times New Roman"/>
          <w:lang w:val="sk-SK"/>
        </w:rPr>
        <w:tab/>
      </w:r>
      <w:r>
        <w:rPr>
          <w:rFonts w:ascii="Times New Roman" w:hAnsi="Times New Roman" w:cs="Times New Roman"/>
          <w:sz w:val="24"/>
          <w:lang w:val="sk-SK"/>
        </w:rPr>
        <w:t>V súlade s čl. 13 smernice EÚ č. 2002/87/ES sa dopĺňa nová podmienka na udelenie povolenia na vykonávanie poisťovacej činnosti o preukázanie vhodnosti a odbornej spôsobilosti osôb riadiacich zmiešanú finančnú spoločnosť, ktorá kontroluje finančný konglomerát, ktorého súčasťou je poisťovňa alebo zaisťovňa.</w:t>
      </w:r>
    </w:p>
    <w:p>
      <w:pPr>
        <w:pStyle w:val="BodyText"/>
        <w:tabs>
          <w:tab w:val="left" w:pos="-1418"/>
        </w:tabs>
        <w:jc w:val="both"/>
        <w:rPr>
          <w:rFonts w:ascii="Times New Roman" w:hAnsi="Times New Roman" w:cs="Times New Roman"/>
          <w:sz w:val="24"/>
          <w:lang w:val="sk-SK"/>
        </w:rPr>
      </w:pPr>
    </w:p>
    <w:p>
      <w:pPr>
        <w:autoSpaceDE/>
        <w:autoSpaceDN/>
        <w:spacing w:line="240" w:lineRule="atLeast"/>
        <w:jc w:val="both"/>
        <w:rPr>
          <w:rFonts w:ascii="Times New Roman" w:hAnsi="Times New Roman" w:cs="Times New Roman"/>
          <w:b/>
          <w:bCs/>
          <w:color w:val="000000"/>
          <w:szCs w:val="20"/>
        </w:rPr>
      </w:pPr>
      <w:r>
        <w:rPr>
          <w:rFonts w:ascii="Times New Roman" w:hAnsi="Times New Roman" w:cs="Times New Roman"/>
          <w:b/>
          <w:bCs/>
          <w:color w:val="000000"/>
          <w:szCs w:val="20"/>
        </w:rPr>
        <w:t>K bodu 5:</w:t>
      </w:r>
    </w:p>
    <w:p>
      <w:pPr>
        <w:autoSpaceDE/>
        <w:autoSpaceDN/>
        <w:spacing w:line="240" w:lineRule="atLeast"/>
        <w:jc w:val="both"/>
        <w:rPr>
          <w:rFonts w:ascii="Times New Roman" w:hAnsi="Times New Roman" w:cs="Times New Roman"/>
          <w:b/>
          <w:bCs/>
          <w:color w:val="000000"/>
          <w:szCs w:val="20"/>
        </w:rPr>
      </w:pPr>
    </w:p>
    <w:p>
      <w:pPr>
        <w:autoSpaceDE/>
        <w:autoSpaceDN/>
        <w:spacing w:line="240" w:lineRule="atLeast"/>
        <w:jc w:val="both"/>
        <w:rPr>
          <w:rFonts w:ascii="Times New Roman" w:hAnsi="Times New Roman" w:cs="Times New Roman"/>
          <w:color w:val="000000"/>
          <w:szCs w:val="20"/>
        </w:rPr>
      </w:pPr>
      <w:r>
        <w:rPr>
          <w:rFonts w:ascii="Times New Roman" w:hAnsi="Times New Roman" w:cs="Times New Roman"/>
          <w:color w:val="000000"/>
          <w:szCs w:val="20"/>
        </w:rPr>
        <w:tab/>
        <w:t xml:space="preserve">Pri osobe navrhovanej za zodpovedného aktuára sa upravuje spôsob preukazovania jeho odbornej spôsobilosti. </w:t>
      </w:r>
    </w:p>
    <w:p>
      <w:pPr>
        <w:autoSpaceDE/>
        <w:autoSpaceDN/>
        <w:spacing w:line="240" w:lineRule="atLeast"/>
        <w:jc w:val="both"/>
        <w:rPr>
          <w:rFonts w:ascii="Times New Roman" w:hAnsi="Times New Roman" w:cs="Times New Roman"/>
          <w:b/>
          <w:bCs/>
          <w:color w:val="000000"/>
          <w:szCs w:val="20"/>
        </w:rPr>
      </w:pPr>
    </w:p>
    <w:p>
      <w:pPr>
        <w:autoSpaceDE/>
        <w:autoSpaceDN/>
        <w:spacing w:line="240" w:lineRule="atLeast"/>
        <w:jc w:val="both"/>
        <w:rPr>
          <w:rFonts w:ascii="Times New Roman" w:hAnsi="Times New Roman" w:cs="Times New Roman"/>
          <w:b/>
          <w:bCs/>
          <w:color w:val="000000"/>
          <w:szCs w:val="20"/>
        </w:rPr>
      </w:pPr>
      <w:r>
        <w:rPr>
          <w:rFonts w:ascii="Times New Roman" w:hAnsi="Times New Roman" w:cs="Times New Roman"/>
          <w:b/>
          <w:bCs/>
          <w:color w:val="000000"/>
          <w:szCs w:val="20"/>
        </w:rPr>
        <w:t>K bodu 6:</w:t>
      </w:r>
    </w:p>
    <w:p>
      <w:pPr>
        <w:autoSpaceDE/>
        <w:autoSpaceDN/>
        <w:spacing w:line="240" w:lineRule="atLeast"/>
        <w:jc w:val="both"/>
        <w:rPr>
          <w:rFonts w:ascii="Times New Roman" w:hAnsi="Times New Roman" w:cs="Times New Roman"/>
          <w:b/>
          <w:bCs/>
          <w:color w:val="000000"/>
          <w:szCs w:val="20"/>
        </w:rPr>
      </w:pPr>
    </w:p>
    <w:p>
      <w:pPr>
        <w:pStyle w:val="BodyText"/>
        <w:tabs>
          <w:tab w:val="left" w:pos="-1418"/>
        </w:tabs>
        <w:jc w:val="both"/>
        <w:rPr>
          <w:rFonts w:ascii="Times New Roman" w:hAnsi="Times New Roman" w:cs="Times New Roman"/>
          <w:sz w:val="24"/>
          <w:lang w:val="sk-SK"/>
        </w:rPr>
      </w:pPr>
      <w:r>
        <w:rPr>
          <w:rFonts w:ascii="Times New Roman" w:hAnsi="Times New Roman" w:cs="Times New Roman"/>
          <w:b/>
          <w:bCs/>
          <w:lang w:val="sk-SK"/>
        </w:rPr>
        <w:tab/>
      </w:r>
      <w:r>
        <w:rPr>
          <w:rFonts w:ascii="Times New Roman" w:hAnsi="Times New Roman" w:cs="Times New Roman"/>
          <w:sz w:val="24"/>
          <w:lang w:val="sk-SK"/>
        </w:rPr>
        <w:t xml:space="preserve">Jedná sa o úpravu, ktorá rozširuje povinnosť Úradu pre finančný trh (ďalej len „úrad“) </w:t>
      </w:r>
    </w:p>
    <w:p>
      <w:pPr>
        <w:pStyle w:val="BodyText"/>
        <w:tabs>
          <w:tab w:val="left" w:pos="-1418"/>
        </w:tabs>
        <w:jc w:val="both"/>
        <w:rPr>
          <w:rFonts w:ascii="Times New Roman" w:hAnsi="Times New Roman" w:cs="Times New Roman"/>
          <w:sz w:val="24"/>
          <w:lang w:val="sk-SK"/>
        </w:rPr>
      </w:pPr>
      <w:r>
        <w:rPr>
          <w:rFonts w:ascii="Times New Roman" w:hAnsi="Times New Roman" w:cs="Times New Roman"/>
          <w:sz w:val="24"/>
          <w:lang w:val="sk-SK"/>
        </w:rPr>
        <w:t>prerokovať s príslušnými orgánmi dohľadu iných členských štátov pred udelením povolenia právnickým osobám z iného členského štátu v súlade s čl. 27 smernice č. 2002/87/ES. Jedná sa najmä o situácie, ak by poisťovňa bola majetkovo prepojená s finančnými inštitúciami členských štátov EÚ. Príslušné kompetentné orgány sa musia navzájom informovať aj o skutočnostiach, ktoré sa týkajú vhodnosti akcionárov, vedúcich pracovníkov z hľadiska dôveryhodnosti. Tieto informácie sú dôležité pre ostatné zainteresované príslušné orgány dohľadu pri udeľovaní povolenia ako aj pri dodržiavaní podmienok na udelenie povolenia.</w:t>
      </w:r>
    </w:p>
    <w:p>
      <w:pPr>
        <w:pStyle w:val="BodyText"/>
        <w:tabs>
          <w:tab w:val="left" w:pos="-1418"/>
        </w:tabs>
        <w:jc w:val="both"/>
        <w:rPr>
          <w:rFonts w:ascii="Times New Roman" w:hAnsi="Times New Roman" w:cs="Times New Roman"/>
          <w:sz w:val="24"/>
          <w:lang w:val="sk-SK"/>
        </w:rPr>
      </w:pPr>
    </w:p>
    <w:p>
      <w:pPr>
        <w:autoSpaceDE/>
        <w:autoSpaceDN/>
        <w:spacing w:line="240" w:lineRule="atLeast"/>
        <w:jc w:val="both"/>
        <w:rPr>
          <w:rFonts w:ascii="Times New Roman" w:hAnsi="Times New Roman" w:cs="Times New Roman"/>
          <w:b/>
          <w:bCs/>
          <w:color w:val="000000"/>
          <w:szCs w:val="20"/>
        </w:rPr>
      </w:pPr>
      <w:r>
        <w:rPr>
          <w:rFonts w:ascii="Times New Roman" w:hAnsi="Times New Roman" w:cs="Times New Roman"/>
          <w:b/>
          <w:bCs/>
          <w:color w:val="000000"/>
          <w:szCs w:val="20"/>
        </w:rPr>
        <w:t xml:space="preserve">K bodu 7: </w:t>
      </w:r>
    </w:p>
    <w:p>
      <w:pPr>
        <w:autoSpaceDE/>
        <w:autoSpaceDN/>
        <w:spacing w:line="240" w:lineRule="atLeast"/>
        <w:jc w:val="both"/>
        <w:rPr>
          <w:rFonts w:ascii="Times New Roman" w:hAnsi="Times New Roman" w:cs="Times New Roman"/>
          <w:b/>
          <w:bCs/>
          <w:color w:val="000000"/>
          <w:szCs w:val="20"/>
        </w:rPr>
      </w:pPr>
    </w:p>
    <w:p>
      <w:pPr>
        <w:autoSpaceDE/>
        <w:autoSpaceDN/>
        <w:spacing w:line="240" w:lineRule="atLeast"/>
        <w:jc w:val="both"/>
        <w:rPr>
          <w:rFonts w:ascii="Times New Roman" w:hAnsi="Times New Roman" w:cs="Times New Roman"/>
          <w:color w:val="000000"/>
          <w:szCs w:val="20"/>
        </w:rPr>
      </w:pPr>
      <w:r>
        <w:rPr>
          <w:rFonts w:ascii="Times New Roman" w:hAnsi="Times New Roman" w:cs="Times New Roman"/>
          <w:color w:val="000000"/>
          <w:szCs w:val="20"/>
        </w:rPr>
        <w:tab/>
        <w:t>V súlade s čl. 63 smernice č. 2002/83/ES sa upresňuje oznamovacia povinnosť úradu vo vzťahu ku Komisii Európskych spoločenstiev týkajúca sa údajov uvádzaných v tomto ustanovení.</w:t>
      </w:r>
    </w:p>
    <w:p>
      <w:pPr>
        <w:autoSpaceDE/>
        <w:autoSpaceDN/>
        <w:spacing w:line="240" w:lineRule="atLeast"/>
        <w:jc w:val="both"/>
        <w:rPr>
          <w:rFonts w:ascii="Times New Roman" w:hAnsi="Times New Roman" w:cs="Times New Roman"/>
          <w:color w:val="000000"/>
          <w:szCs w:val="20"/>
        </w:rPr>
      </w:pPr>
    </w:p>
    <w:p>
      <w:pPr>
        <w:autoSpaceDE/>
        <w:autoSpaceDN/>
        <w:spacing w:line="240" w:lineRule="atLeast"/>
        <w:jc w:val="both"/>
        <w:rPr>
          <w:rFonts w:ascii="Times New Roman" w:hAnsi="Times New Roman" w:cs="Times New Roman"/>
          <w:b/>
          <w:bCs/>
          <w:color w:val="000000"/>
          <w:szCs w:val="20"/>
        </w:rPr>
      </w:pPr>
    </w:p>
    <w:p>
      <w:pPr>
        <w:pStyle w:val="BodyText"/>
        <w:tabs>
          <w:tab w:val="left" w:pos="-1418"/>
        </w:tabs>
        <w:jc w:val="both"/>
        <w:rPr>
          <w:rFonts w:ascii="Times New Roman" w:hAnsi="Times New Roman" w:cs="Times New Roman"/>
          <w:b/>
          <w:bCs/>
          <w:sz w:val="24"/>
          <w:lang w:val="sk-SK"/>
        </w:rPr>
      </w:pPr>
      <w:r>
        <w:rPr>
          <w:rFonts w:ascii="Times New Roman" w:hAnsi="Times New Roman" w:cs="Times New Roman"/>
          <w:b/>
          <w:bCs/>
          <w:sz w:val="24"/>
          <w:lang w:val="sk-SK"/>
        </w:rPr>
        <w:t>K bodu 8:</w:t>
      </w:r>
    </w:p>
    <w:p>
      <w:pPr>
        <w:pStyle w:val="BodyText"/>
        <w:tabs>
          <w:tab w:val="left" w:pos="-1418"/>
        </w:tabs>
        <w:jc w:val="both"/>
        <w:rPr>
          <w:rFonts w:ascii="Times New Roman" w:hAnsi="Times New Roman" w:cs="Times New Roman"/>
          <w:sz w:val="24"/>
          <w:lang w:val="sk-SK"/>
        </w:rPr>
      </w:pPr>
    </w:p>
    <w:p>
      <w:pPr>
        <w:pStyle w:val="BodyText"/>
        <w:tabs>
          <w:tab w:val="left" w:pos="-1418"/>
        </w:tabs>
        <w:jc w:val="both"/>
        <w:rPr>
          <w:rFonts w:ascii="Times New Roman" w:hAnsi="Times New Roman" w:cs="Times New Roman"/>
          <w:sz w:val="24"/>
          <w:lang w:val="sk-SK"/>
        </w:rPr>
      </w:pPr>
      <w:r>
        <w:rPr>
          <w:rFonts w:ascii="Times New Roman" w:hAnsi="Times New Roman" w:cs="Times New Roman"/>
          <w:sz w:val="24"/>
          <w:lang w:val="sk-SK"/>
        </w:rPr>
        <w:tab/>
        <w:t>V tomto ustanovení sa rozširuje okruh položiek o ktoré sa znižuje skutočná miera solventnosti v súlade so smernicou č. 2002/12/ES, smernicou č. 93/22/EHS a smernicou č. 93/6/EHS.</w:t>
      </w:r>
    </w:p>
    <w:p>
      <w:pPr>
        <w:pStyle w:val="BodyText"/>
        <w:rPr>
          <w:rFonts w:ascii="Times New Roman" w:hAnsi="Times New Roman" w:cs="Times New Roman"/>
          <w:iCs/>
          <w:sz w:val="24"/>
          <w:szCs w:val="24"/>
          <w:lang w:val="sk-SK"/>
        </w:rPr>
      </w:pPr>
    </w:p>
    <w:p>
      <w:pPr>
        <w:pStyle w:val="BodyText"/>
        <w:tabs>
          <w:tab w:val="left" w:pos="-1418"/>
        </w:tabs>
        <w:jc w:val="both"/>
        <w:rPr>
          <w:rFonts w:ascii="Times New Roman" w:hAnsi="Times New Roman" w:cs="Times New Roman"/>
          <w:b/>
          <w:bCs/>
          <w:sz w:val="24"/>
          <w:lang w:val="sk-SK"/>
        </w:rPr>
      </w:pPr>
      <w:r>
        <w:rPr>
          <w:rFonts w:ascii="Times New Roman" w:hAnsi="Times New Roman" w:cs="Times New Roman"/>
          <w:b/>
          <w:bCs/>
          <w:sz w:val="24"/>
          <w:lang w:val="sk-SK"/>
        </w:rPr>
        <w:t>K bodom 9 až 11:</w:t>
      </w:r>
    </w:p>
    <w:p>
      <w:pPr>
        <w:pStyle w:val="BodyText"/>
        <w:tabs>
          <w:tab w:val="left" w:pos="-1418"/>
        </w:tabs>
        <w:jc w:val="both"/>
        <w:rPr>
          <w:rFonts w:ascii="Times New Roman" w:hAnsi="Times New Roman" w:cs="Times New Roman"/>
          <w:b/>
          <w:bCs/>
          <w:sz w:val="24"/>
          <w:lang w:val="sk-SK"/>
        </w:rPr>
      </w:pPr>
    </w:p>
    <w:p>
      <w:pPr>
        <w:pStyle w:val="BodyText"/>
        <w:tabs>
          <w:tab w:val="left" w:pos="-1418"/>
        </w:tabs>
        <w:jc w:val="both"/>
        <w:rPr>
          <w:rFonts w:ascii="Times New Roman" w:hAnsi="Times New Roman" w:cs="Times New Roman"/>
          <w:b/>
          <w:bCs/>
          <w:sz w:val="24"/>
          <w:lang w:val="sk-SK"/>
        </w:rPr>
      </w:pPr>
      <w:r>
        <w:rPr>
          <w:rFonts w:ascii="Times New Roman" w:hAnsi="Times New Roman" w:cs="Times New Roman"/>
          <w:b/>
          <w:bCs/>
          <w:sz w:val="24"/>
          <w:lang w:val="sk-SK"/>
        </w:rPr>
        <w:tab/>
      </w:r>
      <w:r>
        <w:rPr>
          <w:rFonts w:ascii="Times New Roman" w:hAnsi="Times New Roman" w:cs="Times New Roman"/>
          <w:sz w:val="24"/>
          <w:lang w:val="sk-SK"/>
        </w:rPr>
        <w:t>Jedná sa o legislatívnotechnické úpravy v nadväznosti na prijatie zákona č. 186/2004 Z. z., ktorým sa mení a dopĺňa zákon č. 95/2002 Z. z. o poisťovníctve a o zmene a doplnení niektorých zákonov.</w:t>
      </w:r>
      <w:r>
        <w:rPr>
          <w:rFonts w:ascii="Times New Roman" w:hAnsi="Times New Roman" w:cs="Times New Roman"/>
          <w:b/>
          <w:bCs/>
          <w:sz w:val="24"/>
          <w:lang w:val="sk-SK"/>
        </w:rPr>
        <w:t xml:space="preserve"> </w:t>
      </w:r>
    </w:p>
    <w:p>
      <w:pPr>
        <w:pStyle w:val="BodyText"/>
        <w:tabs>
          <w:tab w:val="left" w:pos="-1418"/>
        </w:tabs>
        <w:jc w:val="both"/>
        <w:rPr>
          <w:rFonts w:ascii="Times New Roman" w:hAnsi="Times New Roman" w:cs="Times New Roman"/>
          <w:b/>
          <w:bCs/>
          <w:sz w:val="24"/>
          <w:lang w:val="sk-SK"/>
        </w:rPr>
      </w:pPr>
    </w:p>
    <w:p>
      <w:pPr>
        <w:pStyle w:val="BodyText"/>
        <w:tabs>
          <w:tab w:val="left" w:pos="-1418"/>
        </w:tabs>
        <w:jc w:val="both"/>
        <w:rPr>
          <w:rFonts w:ascii="Times New Roman" w:hAnsi="Times New Roman" w:cs="Times New Roman"/>
          <w:b/>
          <w:bCs/>
          <w:sz w:val="24"/>
          <w:lang w:val="sk-SK"/>
        </w:rPr>
      </w:pPr>
      <w:r>
        <w:rPr>
          <w:rFonts w:ascii="Times New Roman" w:hAnsi="Times New Roman" w:cs="Times New Roman"/>
          <w:b/>
          <w:bCs/>
          <w:sz w:val="24"/>
          <w:lang w:val="sk-SK"/>
        </w:rPr>
        <w:t>K </w:t>
      </w:r>
      <w:r>
        <w:rPr>
          <w:rFonts w:ascii="Times New Roman" w:hAnsi="Times New Roman" w:cs="Times New Roman"/>
          <w:b/>
          <w:bCs/>
          <w:sz w:val="24"/>
          <w:lang w:val="sk-SK"/>
        </w:rPr>
        <w:t>bodu 12:</w:t>
      </w:r>
    </w:p>
    <w:p>
      <w:pPr>
        <w:pStyle w:val="BodyText"/>
        <w:tabs>
          <w:tab w:val="left" w:pos="-1418"/>
        </w:tabs>
        <w:jc w:val="both"/>
        <w:rPr>
          <w:rFonts w:ascii="Times New Roman" w:hAnsi="Times New Roman" w:cs="Times New Roman"/>
          <w:b/>
          <w:bCs/>
          <w:sz w:val="24"/>
          <w:lang w:val="sk-SK"/>
        </w:rPr>
      </w:pPr>
    </w:p>
    <w:p>
      <w:pPr>
        <w:pStyle w:val="BodyText"/>
        <w:tabs>
          <w:tab w:val="left" w:pos="-1418"/>
        </w:tabs>
        <w:jc w:val="both"/>
        <w:rPr>
          <w:rFonts w:ascii="Times New Roman" w:hAnsi="Times New Roman" w:cs="Times New Roman"/>
          <w:sz w:val="24"/>
          <w:lang w:val="sk-SK"/>
        </w:rPr>
      </w:pPr>
      <w:r>
        <w:rPr>
          <w:rFonts w:ascii="Times New Roman" w:hAnsi="Times New Roman" w:cs="Times New Roman"/>
          <w:sz w:val="24"/>
          <w:lang w:val="sk-SK"/>
        </w:rPr>
        <w:tab/>
        <w:t xml:space="preserve">Ustanovenie upravuje postup a povinnosť prerokovania úradu s príslušným orgánom dohľadu členského štátu pri udeľovaní predchádzajúceho súhlasu na nadobudnutie kvalifikovaných podielov v súlade s  čl. 24  smernice č. 2002/87/ES. </w:t>
      </w:r>
    </w:p>
    <w:p>
      <w:pPr>
        <w:pStyle w:val="BodyText"/>
        <w:tabs>
          <w:tab w:val="left" w:pos="-1418"/>
        </w:tabs>
        <w:jc w:val="both"/>
        <w:rPr>
          <w:rFonts w:ascii="Times New Roman" w:hAnsi="Times New Roman" w:cs="Times New Roman"/>
          <w:b/>
          <w:bCs/>
          <w:sz w:val="24"/>
          <w:lang w:val="sk-SK"/>
        </w:rPr>
      </w:pPr>
    </w:p>
    <w:p>
      <w:pPr>
        <w:pStyle w:val="BodyText"/>
        <w:tabs>
          <w:tab w:val="left" w:pos="-1418"/>
        </w:tabs>
        <w:jc w:val="both"/>
        <w:rPr>
          <w:rFonts w:ascii="Times New Roman" w:hAnsi="Times New Roman" w:cs="Times New Roman"/>
          <w:b/>
          <w:bCs/>
          <w:sz w:val="24"/>
          <w:lang w:val="sk-SK"/>
        </w:rPr>
      </w:pPr>
      <w:r>
        <w:rPr>
          <w:rFonts w:ascii="Times New Roman" w:hAnsi="Times New Roman" w:cs="Times New Roman"/>
          <w:b/>
          <w:bCs/>
          <w:sz w:val="24"/>
          <w:lang w:val="sk-SK"/>
        </w:rPr>
        <w:t>K bodu 13:</w:t>
      </w:r>
    </w:p>
    <w:p>
      <w:pPr>
        <w:pStyle w:val="BodyText"/>
        <w:tabs>
          <w:tab w:val="left" w:pos="-1418"/>
        </w:tabs>
        <w:jc w:val="both"/>
        <w:rPr>
          <w:rFonts w:ascii="Times New Roman" w:hAnsi="Times New Roman" w:cs="Times New Roman"/>
          <w:b/>
          <w:bCs/>
          <w:sz w:val="24"/>
          <w:lang w:val="sk-SK"/>
        </w:rPr>
      </w:pPr>
    </w:p>
    <w:p>
      <w:pPr>
        <w:pStyle w:val="BodyText"/>
        <w:tabs>
          <w:tab w:val="left" w:pos="-1418"/>
        </w:tabs>
        <w:jc w:val="both"/>
        <w:rPr>
          <w:rFonts w:ascii="Times New Roman" w:hAnsi="Times New Roman" w:cs="Times New Roman"/>
          <w:sz w:val="24"/>
          <w:lang w:val="sk-SK"/>
        </w:rPr>
      </w:pPr>
      <w:r>
        <w:rPr>
          <w:rFonts w:ascii="Times New Roman" w:hAnsi="Times New Roman" w:cs="Times New Roman"/>
          <w:sz w:val="24"/>
          <w:lang w:val="sk-SK"/>
        </w:rPr>
        <w:tab/>
        <w:t xml:space="preserve">V tomto ustanovení sa upravujú podmienky na udelenie predchádzajúceho súhlasu na nadobudnutie kvalifikovaných podielov poisťovne alebo zaisťovne v zmysle smernice čl. 27 smernice č. 2002/87/ES. </w:t>
      </w:r>
    </w:p>
    <w:p>
      <w:pPr>
        <w:pStyle w:val="BodyText"/>
        <w:tabs>
          <w:tab w:val="left" w:pos="-1418"/>
        </w:tabs>
        <w:jc w:val="both"/>
        <w:rPr>
          <w:rFonts w:ascii="Times New Roman" w:hAnsi="Times New Roman" w:cs="Times New Roman"/>
          <w:sz w:val="24"/>
          <w:lang w:val="sk-SK"/>
        </w:rPr>
      </w:pPr>
    </w:p>
    <w:p>
      <w:pPr>
        <w:pStyle w:val="BodyText"/>
        <w:tabs>
          <w:tab w:val="left" w:pos="-1418"/>
        </w:tabs>
        <w:jc w:val="both"/>
        <w:rPr>
          <w:rFonts w:ascii="Times New Roman" w:hAnsi="Times New Roman" w:cs="Times New Roman"/>
          <w:b/>
          <w:sz w:val="24"/>
          <w:lang w:val="sk-SK"/>
        </w:rPr>
      </w:pPr>
      <w:r>
        <w:rPr>
          <w:rFonts w:ascii="Times New Roman" w:hAnsi="Times New Roman" w:cs="Times New Roman"/>
          <w:b/>
          <w:sz w:val="24"/>
          <w:lang w:val="sk-SK"/>
        </w:rPr>
        <w:t>K bodu 14:</w:t>
      </w:r>
    </w:p>
    <w:p>
      <w:pPr>
        <w:pStyle w:val="BodyText"/>
        <w:tabs>
          <w:tab w:val="left" w:pos="-1418"/>
        </w:tabs>
        <w:jc w:val="both"/>
        <w:rPr>
          <w:rFonts w:ascii="Times New Roman" w:hAnsi="Times New Roman" w:cs="Times New Roman"/>
          <w:b/>
          <w:sz w:val="24"/>
          <w:lang w:val="sk-SK"/>
        </w:rPr>
      </w:pPr>
    </w:p>
    <w:p>
      <w:pPr>
        <w:pStyle w:val="BodyText"/>
        <w:tabs>
          <w:tab w:val="left" w:pos="-1418"/>
        </w:tabs>
        <w:jc w:val="both"/>
        <w:rPr>
          <w:rFonts w:ascii="Times New Roman" w:hAnsi="Times New Roman" w:cs="Times New Roman"/>
          <w:b/>
          <w:sz w:val="24"/>
          <w:lang w:val="sk-SK"/>
        </w:rPr>
      </w:pPr>
      <w:r>
        <w:rPr>
          <w:rFonts w:ascii="Times New Roman" w:hAnsi="Times New Roman" w:cs="Times New Roman"/>
          <w:bCs/>
          <w:sz w:val="24"/>
          <w:lang w:val="sk-SK"/>
        </w:rPr>
        <w:tab/>
        <w:t>Potreba úpravy vyplynula  z dôvodu, že doterajšie znenie ustanovenia nevyhovuje potrebám prevencie pred poisťovacími podvodmi, nakoľko sa vzťahuje len na vymedzené subjekty (napr. chýbajú leasingové spoločnosti a pod.) a dokonané trestné činy poisťovacieho podvodu. Bod. 2. je dôležitý najmä v poistných odvetviach životného poistenia.</w:t>
      </w:r>
    </w:p>
    <w:p>
      <w:pPr>
        <w:pStyle w:val="BodyText"/>
        <w:ind w:firstLine="708"/>
        <w:jc w:val="both"/>
        <w:rPr>
          <w:rFonts w:ascii="Times New Roman" w:hAnsi="Times New Roman" w:cs="Times New Roman"/>
          <w:sz w:val="24"/>
          <w:szCs w:val="24"/>
          <w:lang w:val="sk-SK"/>
        </w:rPr>
      </w:pPr>
    </w:p>
    <w:p>
      <w:pPr>
        <w:pStyle w:val="BodyText"/>
        <w:rPr>
          <w:rFonts w:ascii="Times New Roman" w:hAnsi="Times New Roman" w:cs="Times New Roman"/>
          <w:b/>
          <w:bCs/>
          <w:sz w:val="24"/>
          <w:szCs w:val="24"/>
          <w:lang w:val="sk-SK"/>
        </w:rPr>
      </w:pPr>
      <w:r>
        <w:rPr>
          <w:rFonts w:ascii="Times New Roman" w:hAnsi="Times New Roman" w:cs="Times New Roman"/>
          <w:b/>
          <w:bCs/>
          <w:sz w:val="24"/>
          <w:szCs w:val="24"/>
          <w:lang w:val="sk-SK"/>
        </w:rPr>
        <w:t>K bodu 15:</w:t>
      </w:r>
    </w:p>
    <w:p>
      <w:pPr>
        <w:pStyle w:val="BodyText"/>
        <w:ind w:firstLine="708"/>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lang w:val="sk-SK"/>
        </w:rPr>
      </w:pPr>
      <w:r>
        <w:rPr>
          <w:rFonts w:ascii="Times New Roman" w:hAnsi="Times New Roman" w:cs="Times New Roman"/>
          <w:b/>
          <w:bCs/>
          <w:lang w:val="sk-SK"/>
        </w:rPr>
        <w:tab/>
      </w:r>
      <w:r>
        <w:rPr>
          <w:rFonts w:ascii="Times New Roman" w:hAnsi="Times New Roman" w:cs="Times New Roman"/>
          <w:sz w:val="24"/>
          <w:lang w:val="sk-SK"/>
        </w:rPr>
        <w:t>V súlade s čl. 14 smernice č. 2002/87/ES sa upravuje ustanovenie o dohľade na konsolidovanom základe nad subjektami vykonávajúcimi poisťovaciu alebo zaisťovaciu činnosť rozšírením povinnosti pri predkladaní potr</w:t>
      </w:r>
      <w:r>
        <w:rPr>
          <w:rFonts w:ascii="Times New Roman" w:hAnsi="Times New Roman" w:cs="Times New Roman"/>
          <w:sz w:val="24"/>
          <w:lang w:val="sk-SK"/>
        </w:rPr>
        <w:t xml:space="preserve">ebných údajov úradu. </w:t>
      </w:r>
    </w:p>
    <w:p>
      <w:pPr>
        <w:pStyle w:val="BodyText"/>
        <w:ind w:firstLine="708"/>
        <w:jc w:val="both"/>
        <w:rPr>
          <w:rFonts w:ascii="Times New Roman" w:hAnsi="Times New Roman" w:cs="Times New Roman"/>
          <w:sz w:val="24"/>
          <w:szCs w:val="24"/>
          <w:lang w:val="sk-SK"/>
        </w:rPr>
      </w:pPr>
    </w:p>
    <w:p>
      <w:pPr>
        <w:pStyle w:val="BodyText"/>
        <w:jc w:val="both"/>
        <w:rPr>
          <w:rFonts w:ascii="Times New Roman" w:hAnsi="Times New Roman" w:cs="Times New Roman"/>
          <w:b/>
          <w:bCs/>
          <w:sz w:val="24"/>
          <w:szCs w:val="24"/>
          <w:lang w:val="sk-SK"/>
        </w:rPr>
      </w:pPr>
      <w:r>
        <w:rPr>
          <w:rFonts w:ascii="Times New Roman" w:hAnsi="Times New Roman" w:cs="Times New Roman"/>
          <w:b/>
          <w:bCs/>
          <w:sz w:val="24"/>
          <w:szCs w:val="24"/>
          <w:lang w:val="sk-SK"/>
        </w:rPr>
        <w:t>K bodu 16:</w:t>
      </w:r>
    </w:p>
    <w:p>
      <w:pPr>
        <w:pStyle w:val="BodyText"/>
        <w:jc w:val="both"/>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sz w:val="24"/>
          <w:lang w:val="sk-SK"/>
        </w:rPr>
      </w:pPr>
      <w:r>
        <w:rPr>
          <w:rFonts w:ascii="Times New Roman" w:hAnsi="Times New Roman" w:cs="Times New Roman"/>
          <w:bCs/>
          <w:sz w:val="24"/>
          <w:lang w:val="sk-SK"/>
        </w:rPr>
        <w:tab/>
      </w:r>
      <w:r>
        <w:rPr>
          <w:rFonts w:ascii="Times New Roman" w:hAnsi="Times New Roman" w:cs="Times New Roman"/>
          <w:sz w:val="24"/>
          <w:lang w:val="sk-SK"/>
        </w:rPr>
        <w:t xml:space="preserve">V súlade s čl. 26 smernice č. 2002/87/ES sa upravujú ustanovenia o dohľade na konsolidovanom základe nad poisťovňou alebo zaisťovňou zavedením zmiešaného konsolidovaného a subkonsolidovaného celku ako aj povinností, ktoré sa na ne vzťahujú.  </w:t>
      </w:r>
    </w:p>
    <w:p>
      <w:pPr>
        <w:pStyle w:val="BodyText"/>
        <w:tabs>
          <w:tab w:val="left" w:pos="-1418"/>
        </w:tabs>
        <w:jc w:val="both"/>
        <w:rPr>
          <w:rFonts w:ascii="Times New Roman" w:hAnsi="Times New Roman" w:cs="Times New Roman"/>
          <w:bCs/>
          <w:sz w:val="24"/>
          <w:lang w:val="sk-SK"/>
        </w:rPr>
      </w:pPr>
    </w:p>
    <w:p>
      <w:pPr>
        <w:pStyle w:val="BodyText2"/>
        <w:rPr>
          <w:rFonts w:ascii="Times New Roman" w:hAnsi="Times New Roman" w:cs="Times New Roman"/>
        </w:rPr>
      </w:pPr>
      <w:r>
        <w:rPr>
          <w:rFonts w:ascii="Times New Roman" w:hAnsi="Times New Roman" w:cs="Times New Roman"/>
          <w:bCs/>
        </w:rPr>
        <w:tab/>
      </w:r>
      <w:r>
        <w:rPr>
          <w:rFonts w:ascii="Times New Roman" w:hAnsi="Times New Roman" w:cs="Times New Roman"/>
        </w:rPr>
        <w:t xml:space="preserve">V nadväznosti na čl. 29 smernice č. 2002/87/ES sa upravuje postup pri výkone dohľadu dohľade na konsolidovanom základe v prípade ak konsolidovaný celok, ktorého súčasťou je poisťovňa alebo zaisťovňa so sídlom v SR je  kontrolovaný osobou z nečlenského štátu. Úrad je povinný preveriť či sa v takom prípade poisťovňa alebo zaisťovňa </w:t>
      </w:r>
      <w:r>
        <w:rPr>
          <w:rFonts w:ascii="Times New Roman" w:hAnsi="Times New Roman" w:cs="Times New Roman"/>
          <w:color w:val="000000"/>
        </w:rPr>
        <w:t>podlieha dohľadu na konsolidovanom v nečlenskom štáte, ktorý je rovnocenný s dohľadom na konsolidovanom základe podľa tohto zákona. V prípade ak poisťovňa alebo zaisťovňa</w:t>
      </w:r>
      <w:r>
        <w:rPr>
          <w:rFonts w:ascii="Times New Roman" w:hAnsi="Times New Roman" w:cs="Times New Roman"/>
        </w:rPr>
        <w:t xml:space="preserve"> takémuto </w:t>
      </w:r>
      <w:r>
        <w:rPr>
          <w:rFonts w:ascii="Times New Roman" w:hAnsi="Times New Roman" w:cs="Times New Roman"/>
          <w:color w:val="000000"/>
        </w:rPr>
        <w:t>dohľadu v nečlenskom štáte nepodlieha, úrad je povinný vykonávať dohľad na konsolidovanom základe podľa tohto zákona.</w:t>
      </w:r>
    </w:p>
    <w:p>
      <w:pPr>
        <w:pStyle w:val="BodyText"/>
        <w:rPr>
          <w:rFonts w:ascii="Times New Roman" w:hAnsi="Times New Roman" w:cs="Times New Roman"/>
          <w:sz w:val="24"/>
          <w:lang w:val="sk-SK"/>
        </w:rPr>
      </w:pPr>
    </w:p>
    <w:p>
      <w:pPr>
        <w:pStyle w:val="BodyText"/>
        <w:rPr>
          <w:rFonts w:ascii="Times New Roman" w:hAnsi="Times New Roman" w:cs="Times New Roman"/>
          <w:sz w:val="24"/>
          <w:szCs w:val="24"/>
          <w:lang w:val="sk-SK"/>
        </w:rPr>
      </w:pPr>
      <w:r>
        <w:rPr>
          <w:rFonts w:ascii="Times New Roman" w:hAnsi="Times New Roman" w:cs="Times New Roman"/>
          <w:b/>
          <w:sz w:val="24"/>
          <w:lang w:val="sk-SK"/>
        </w:rPr>
        <w:t>K bodu 17:</w:t>
      </w:r>
    </w:p>
    <w:p>
      <w:pPr>
        <w:pStyle w:val="BodyText"/>
        <w:tabs>
          <w:tab w:val="left" w:pos="-1418"/>
        </w:tabs>
        <w:jc w:val="both"/>
        <w:rPr>
          <w:rFonts w:ascii="Times New Roman" w:hAnsi="Times New Roman" w:cs="Times New Roman"/>
          <w:b/>
          <w:sz w:val="24"/>
          <w:lang w:val="sk-SK"/>
        </w:rPr>
      </w:pPr>
    </w:p>
    <w:p>
      <w:pPr>
        <w:pStyle w:val="BodyText"/>
        <w:tabs>
          <w:tab w:val="left" w:pos="-1418"/>
        </w:tabs>
        <w:jc w:val="both"/>
        <w:rPr>
          <w:rFonts w:ascii="Times New Roman" w:hAnsi="Times New Roman" w:cs="Times New Roman"/>
          <w:bCs/>
          <w:sz w:val="24"/>
          <w:lang w:val="sk-SK"/>
        </w:rPr>
      </w:pPr>
      <w:r>
        <w:rPr>
          <w:rFonts w:ascii="Times New Roman" w:hAnsi="Times New Roman" w:cs="Times New Roman"/>
          <w:bCs/>
          <w:sz w:val="24"/>
          <w:lang w:val="sk-SK"/>
        </w:rPr>
        <w:tab/>
        <w:t xml:space="preserve">Ustanoveniami § 48a až 48o sa zavádza </w:t>
      </w:r>
      <w:r>
        <w:rPr>
          <w:rFonts w:ascii="Times New Roman" w:hAnsi="Times New Roman" w:cs="Times New Roman"/>
          <w:sz w:val="24"/>
          <w:lang w:val="sk-SK"/>
        </w:rPr>
        <w:t xml:space="preserve">doplňujúci dohľad nad finančnými konglomerátmi (ďalej len „doplňujúci dohľad“). Povinnosť zaviesť tento typ dohľadu vyplýva zo smernice č. 2002/87/ES. Na rozdiel od dohľadu na konsolidovanom základe, je cieľom tohto dohľadu vymedzeného v § 48a sledovanie a obmedzenie regulácie rizík, ktorým sú poisťovne alebo zaisťovne a ďalšie regulované finančné inštitúcie vystavené v dôsledku ich účasti v skupinách tvorených finančnými inštitúciami pôsobiacich v rôznych finančných sektoroch. </w:t>
      </w:r>
    </w:p>
    <w:p>
      <w:pPr>
        <w:pStyle w:val="BodyText"/>
        <w:tabs>
          <w:tab w:val="left" w:pos="-1418"/>
        </w:tabs>
        <w:jc w:val="both"/>
        <w:rPr>
          <w:rFonts w:ascii="Times New Roman" w:hAnsi="Times New Roman" w:cs="Times New Roman"/>
          <w:bCs/>
          <w:sz w:val="24"/>
          <w:lang w:val="sk-SK"/>
        </w:rPr>
      </w:pPr>
    </w:p>
    <w:p>
      <w:pPr>
        <w:pStyle w:val="BodyText"/>
        <w:tabs>
          <w:tab w:val="left" w:pos="-1418"/>
        </w:tabs>
        <w:jc w:val="both"/>
        <w:rPr>
          <w:rFonts w:ascii="Times New Roman" w:hAnsi="Times New Roman" w:cs="Times New Roman"/>
          <w:sz w:val="24"/>
          <w:lang w:val="sk-SK"/>
        </w:rPr>
      </w:pPr>
      <w:r>
        <w:rPr>
          <w:rFonts w:ascii="Times New Roman" w:hAnsi="Times New Roman" w:cs="Times New Roman"/>
          <w:bCs/>
          <w:sz w:val="24"/>
          <w:lang w:val="sk-SK"/>
        </w:rPr>
        <w:tab/>
        <w:t>V</w:t>
      </w:r>
      <w:r>
        <w:rPr>
          <w:rFonts w:ascii="Times New Roman" w:hAnsi="Times New Roman" w:cs="Times New Roman"/>
          <w:sz w:val="24"/>
          <w:lang w:val="sk-SK"/>
        </w:rPr>
        <w:t xml:space="preserve"> súlade s čl. 2 smernice č. 2002/87/ES sa v ustanovení § 48b definujú niektoré pojmy potrebné pre výkon doplňujúceho dohľadu, najmä čo sa rozumie finančným konglomerátom,  skupinou finančného konglomerátu  a vymedzujú sa  jednotlivé finančné sektory, ktoré môžu byť zastúpené vo finančnom konglomeráte, a to sektor bankový, sektor poisťovníctva a sektor investičných služieb.</w:t>
      </w:r>
    </w:p>
    <w:p>
      <w:pPr>
        <w:pStyle w:val="BodyText"/>
        <w:tabs>
          <w:tab w:val="left" w:pos="-1418"/>
        </w:tabs>
        <w:jc w:val="both"/>
        <w:rPr>
          <w:rFonts w:ascii="Times New Roman" w:hAnsi="Times New Roman" w:cs="Times New Roman"/>
          <w:bCs/>
          <w:sz w:val="24"/>
          <w:lang w:val="sk-SK"/>
        </w:rPr>
      </w:pPr>
    </w:p>
    <w:p>
      <w:pPr>
        <w:tabs>
          <w:tab w:val="left" w:pos="0"/>
        </w:tabs>
        <w:jc w:val="both"/>
        <w:rPr>
          <w:rFonts w:ascii="Times New Roman" w:hAnsi="Times New Roman" w:cs="Times New Roman"/>
        </w:rPr>
      </w:pPr>
      <w:r>
        <w:rPr>
          <w:rFonts w:ascii="Times New Roman" w:hAnsi="Times New Roman" w:cs="Times New Roman"/>
          <w:bCs/>
        </w:rPr>
        <w:tab/>
        <w:t xml:space="preserve">Ustanovenie </w:t>
      </w:r>
      <w:r>
        <w:rPr>
          <w:rFonts w:ascii="Times New Roman" w:hAnsi="Times New Roman" w:cs="Times New Roman"/>
        </w:rPr>
        <w:t xml:space="preserve">§ 48c v  súlade s čl. 10 smernice č. 2002/87/ES určuje kedy doplňujúci dohľad (t.j. úlohu tzv. koordinátora) nad finančným konglomerátom vykonáva úrad. Ide o dve skupiny prípadov ak je finančný konglomerát kontrolovaný poisťovňou alebo zaisťovňou a ak je finančný konglomerát kontrolovaný zmiešanou finančnou spoločnosťou a najvýznamnejším finančným sektorom finančného konglomerátu je sektor poisťovníctva, pričom treba zobrať do úvahy, kde má sídlo zmiešaná finančná spoločnosť. </w:t>
      </w:r>
    </w:p>
    <w:p>
      <w:pPr>
        <w:tabs>
          <w:tab w:val="left" w:pos="0"/>
        </w:tabs>
        <w:jc w:val="both"/>
        <w:rPr>
          <w:rFonts w:ascii="Times New Roman" w:hAnsi="Times New Roman" w:cs="Times New Roman"/>
        </w:rPr>
      </w:pPr>
    </w:p>
    <w:p>
      <w:pPr>
        <w:tabs>
          <w:tab w:val="left" w:pos="0"/>
        </w:tabs>
        <w:jc w:val="both"/>
        <w:rPr>
          <w:rFonts w:ascii="Times New Roman" w:hAnsi="Times New Roman" w:cs="Times New Roman"/>
        </w:rPr>
      </w:pPr>
      <w:r>
        <w:rPr>
          <w:rFonts w:ascii="Times New Roman" w:hAnsi="Times New Roman" w:cs="Times New Roman"/>
        </w:rPr>
        <w:tab/>
        <w:t xml:space="preserve">Zvlášť dôležitá je spolupráca medzi úradom NBS a príslušnými orgánmi dohľadu členských štátov, zodpovedných za dohľad nad regulovanými osobami tvoriacimi finančný konglomerát pri určení koordinátora v prípade ak je finančný konglomerát kontrolovaný zmiešanou finančnou spoločnosťou a konglomerát  tvoria regulované osoby so sídlom v rôznych členských štátoch. </w:t>
      </w:r>
    </w:p>
    <w:p>
      <w:pPr>
        <w:tabs>
          <w:tab w:val="left" w:pos="0"/>
        </w:tabs>
        <w:jc w:val="both"/>
        <w:rPr>
          <w:rFonts w:ascii="Times New Roman" w:hAnsi="Times New Roman" w:cs="Times New Roman"/>
        </w:rPr>
      </w:pPr>
    </w:p>
    <w:p>
      <w:pPr>
        <w:tabs>
          <w:tab w:val="left" w:pos="0"/>
        </w:tabs>
        <w:jc w:val="both"/>
        <w:rPr>
          <w:rFonts w:ascii="Times New Roman" w:hAnsi="Times New Roman" w:cs="Times New Roman"/>
        </w:rPr>
      </w:pPr>
      <w:r>
        <w:rPr>
          <w:rFonts w:ascii="Times New Roman" w:hAnsi="Times New Roman" w:cs="Times New Roman"/>
        </w:rPr>
        <w:tab/>
        <w:t>Druhý a tretí odsek upravujú možné výnimky zo zákonom určeného postupu, a to v podobe rozšírenia, t.j. prevzatia výkonu doplňujúceho dohľadu alebo zúženia, t.j.  prenechanie výkonu dohľadu tejto novej pôsobnosti úradu. Výnimky závisia od konkrétnej situácie, to znamená štruktúry finančného konglomerátu a sú založené na dohode úradu s NBS ako orgánom, ktorý sa nachádza v úlohe koordinátora vo vzťahu k iným finančným konglomerátom, vymedzeným zákonom o bankách, prípadne s príslušným orgánom členského štátu.</w:t>
      </w:r>
    </w:p>
    <w:p>
      <w:pPr>
        <w:pStyle w:val="BodyText"/>
        <w:tabs>
          <w:tab w:val="left" w:pos="-1418"/>
        </w:tabs>
        <w:jc w:val="both"/>
        <w:rPr>
          <w:rFonts w:ascii="Times New Roman" w:hAnsi="Times New Roman" w:cs="Times New Roman"/>
          <w:bCs/>
          <w:sz w:val="24"/>
          <w:lang w:val="sk-SK"/>
        </w:rPr>
      </w:pPr>
    </w:p>
    <w:p>
      <w:pPr>
        <w:pStyle w:val="BodyText"/>
        <w:tabs>
          <w:tab w:val="left" w:pos="-1418"/>
        </w:tabs>
        <w:jc w:val="both"/>
        <w:rPr>
          <w:rFonts w:ascii="Times New Roman" w:hAnsi="Times New Roman" w:cs="Times New Roman"/>
          <w:sz w:val="24"/>
          <w:lang w:val="sk-SK"/>
        </w:rPr>
      </w:pPr>
      <w:r>
        <w:rPr>
          <w:rFonts w:ascii="Times New Roman" w:hAnsi="Times New Roman" w:cs="Times New Roman"/>
          <w:bCs/>
          <w:sz w:val="24"/>
          <w:lang w:val="sk-SK"/>
        </w:rPr>
        <w:tab/>
        <w:t xml:space="preserve">V súlade s čl. 4 smernice č. 2002/87/ES sa v </w:t>
      </w:r>
      <w:r>
        <w:rPr>
          <w:rFonts w:ascii="Times New Roman" w:hAnsi="Times New Roman" w:cs="Times New Roman"/>
          <w:sz w:val="24"/>
          <w:lang w:val="sk-SK"/>
        </w:rPr>
        <w:t>§ 48d stanovuje úradu povinnosť  spolupráce s NBS a príslušnými orgánmi dohľadu členských štátov vykonať identifikáciu finančných konglomerátov podliehajúcich doplňujúcemu dohľadu a oznámiť túto skutočnosť osobe kontrolujúcej finančný konglomerát.</w:t>
        <w:tab/>
        <w:t>Úrad pri tejto identifikácii postupuje v súčinnosti s NBS a s príslušnými orgánmi dohľadu členských štátov Európskej únie, vykonávajúcimi dohľad nad regulovanými osobami, ktoré sú súčasťou príslušných finančných konglomerátov a týmito finančnými konglomerátmi. Ustanovenie upravuje aj samotný postup pri určovaní, identifikácii, že konkrétny finančný konglomerát bude podliehať doplňujúcemu dohľadu vykonávaného úradom.</w:t>
      </w:r>
    </w:p>
    <w:p>
      <w:pPr>
        <w:jc w:val="both"/>
        <w:rPr>
          <w:rFonts w:ascii="Times New Roman" w:hAnsi="Times New Roman" w:cs="Times New Roman"/>
        </w:rPr>
      </w:pPr>
    </w:p>
    <w:p>
      <w:pPr>
        <w:pStyle w:val="BodyText"/>
        <w:tabs>
          <w:tab w:val="left" w:pos="-1418"/>
        </w:tabs>
        <w:jc w:val="both"/>
        <w:rPr>
          <w:rFonts w:ascii="Times New Roman" w:hAnsi="Times New Roman" w:cs="Times New Roman"/>
          <w:sz w:val="24"/>
          <w:lang w:val="sk-SK"/>
        </w:rPr>
      </w:pPr>
      <w:r>
        <w:rPr>
          <w:rFonts w:ascii="Times New Roman" w:hAnsi="Times New Roman" w:cs="Times New Roman"/>
          <w:sz w:val="24"/>
          <w:lang w:val="sk-SK"/>
        </w:rPr>
        <w:tab/>
        <w:t xml:space="preserve">V  § 48e  sa určujú kritériá na určenie toho, či skupinu podnikateľských subjektov možno považovať za finančný konglomerát na účely výkonu doplňujúceho dohľadu. Určuje sa najmä či činnosti vo finančnom sektore v skupine sú významné, viac ako 40% podiel na celkových aktívach skupiny, a či sú medzisektorové činnosti významné, t. j. viac ako 10% podiel  celkových aktív jedného finančného sektora k celkovým aktívam subjektov finančného sektora v skupine a podiel minimálnej výšky vlastných zdrojov jedného finančného sektora k súčtu minimálnej výšky vlastných zdrojov osôb finančného sektora v skupine.  </w:t>
      </w:r>
    </w:p>
    <w:p>
      <w:pPr>
        <w:pStyle w:val="BodyText"/>
        <w:tabs>
          <w:tab w:val="left" w:pos="-1418"/>
        </w:tabs>
        <w:jc w:val="both"/>
        <w:rPr>
          <w:rFonts w:ascii="Times New Roman" w:hAnsi="Times New Roman" w:cs="Times New Roman"/>
          <w:sz w:val="24"/>
          <w:lang w:val="sk-SK"/>
        </w:rPr>
      </w:pPr>
    </w:p>
    <w:p>
      <w:pPr>
        <w:pStyle w:val="BodyText"/>
        <w:tabs>
          <w:tab w:val="left" w:pos="-1418"/>
        </w:tabs>
        <w:jc w:val="both"/>
        <w:rPr>
          <w:rFonts w:ascii="Times New Roman" w:hAnsi="Times New Roman" w:cs="Times New Roman"/>
          <w:bCs/>
          <w:sz w:val="24"/>
          <w:lang w:val="sk-SK"/>
        </w:rPr>
      </w:pPr>
      <w:r>
        <w:rPr>
          <w:rFonts w:ascii="Times New Roman" w:hAnsi="Times New Roman" w:cs="Times New Roman"/>
          <w:sz w:val="24"/>
          <w:lang w:val="sk-SK"/>
        </w:rPr>
        <w:tab/>
        <w:t>V záujme plnenia cieľov doplňujúceho dohľadu v odsekoch 5 až 12 tohto ustanovenia sa umožňuje úradu po dohode s NBS a s príslušnými orgánmi dohľadu členských štátov v odôvodnených prípadoch upustiť od zaradenia skupiny do doplňujúceho dohľadu resp. kritériá pri výpočte podielov podľa odsekov 1 až 3 nahradiť alebo doplniť kritériami založenými na celkových aktívach, kritériami založenými na štruktúre príjmov a podsúvahových činnostiach. Navrhované znenie je v súlade s čl. 3 smernice č. 2002/87/ES.</w:t>
      </w:r>
    </w:p>
    <w:p>
      <w:pPr>
        <w:pStyle w:val="BodyText"/>
        <w:tabs>
          <w:tab w:val="left" w:pos="-1418"/>
        </w:tabs>
        <w:jc w:val="both"/>
        <w:rPr>
          <w:rFonts w:ascii="Times New Roman" w:hAnsi="Times New Roman" w:cs="Times New Roman"/>
          <w:bCs/>
          <w:sz w:val="24"/>
          <w:lang w:val="sk-SK"/>
        </w:rPr>
      </w:pPr>
    </w:p>
    <w:p>
      <w:pPr>
        <w:ind w:firstLine="720"/>
        <w:jc w:val="both"/>
        <w:rPr>
          <w:rFonts w:ascii="Times New Roman" w:hAnsi="Times New Roman" w:cs="Times New Roman"/>
        </w:rPr>
      </w:pPr>
      <w:r>
        <w:rPr>
          <w:rFonts w:ascii="Times New Roman" w:hAnsi="Times New Roman" w:cs="Times New Roman"/>
        </w:rPr>
        <w:t xml:space="preserve">V § 48f ods. 1 a 2 sa v súlade s čl. 5 smernice č. 2002/87/ES  upravujú povinnosti poisťovne alebo zaisťovne, ktorá je súčasťou finančného konglomerátu dodržiavať podmienky dodržiavania solventnosti, koncentrácie rizík, obmedzenia vnútroskupinových transakcií a riadenia a monitorovania rizík na úrovni finančného konglomerátu. Tieto požiadavky sú podrobnejšie upravené v § 48g až 48k. </w:t>
      </w:r>
    </w:p>
    <w:p>
      <w:pPr>
        <w:ind w:firstLine="720"/>
        <w:jc w:val="both"/>
        <w:rPr>
          <w:rFonts w:ascii="Times New Roman" w:hAnsi="Times New Roman" w:cs="Times New Roman"/>
        </w:rPr>
      </w:pPr>
    </w:p>
    <w:p>
      <w:pPr>
        <w:ind w:firstLine="720"/>
        <w:jc w:val="both"/>
        <w:rPr>
          <w:rFonts w:ascii="Times New Roman" w:hAnsi="Times New Roman" w:cs="Times New Roman"/>
        </w:rPr>
      </w:pPr>
      <w:r>
        <w:rPr>
          <w:rFonts w:ascii="Times New Roman" w:hAnsi="Times New Roman" w:cs="Times New Roman"/>
        </w:rPr>
        <w:t xml:space="preserve">Navrhovaná úprava odsekov 3 až 5 § 48f) je v súlade s čl. 5 smernice č. 2002/87/ES. Upravuje sa skutočnosť, ak je finančný konglomerát kontrolovaný zmiešanou finančnou spoločnosťou so sídlom v nečlenskom štáte, a v tomto štáte nie je vykonávaný dohľad nad finančnými konglomerátmi, ktorý je  rovnocenný doplňujúcemu dohľadu podľa tohto zákona. V takom prípade úrad môže určiť v záujme plnenia cieľov doplňujúceho dohľadu, že poisťovňa alebo zaisťovňa, ktorá je súčasťou takéhoto finančného konglomerátu bude predkladať úradu osobitné výkazy, hlásenia a správy o účasti v tomto finančnom konglomeráte a môže obmedziť alebo zakázať tejto poisťovni alebo zaisťovni  vnútroskupinové transakcie, ktoré by mohli mať vplyv na plnenie podmienok primeranosti vlastných zdrojov  poisťovne alebo zaisťovne. Zámerom týchto ustanovení je predísť regulačnej arbitráži a vyhnúť sa doplňujúceho dohľadu presunom osoby kontrolujúcej finančný konglomerát do nečlenského štátu s nízkou mierou regulácie.   </w:t>
      </w:r>
    </w:p>
    <w:p>
      <w:pPr>
        <w:pStyle w:val="BodyText"/>
        <w:tabs>
          <w:tab w:val="left" w:pos="-1418"/>
        </w:tabs>
        <w:jc w:val="both"/>
        <w:rPr>
          <w:rFonts w:ascii="Times New Roman" w:hAnsi="Times New Roman" w:cs="Times New Roman"/>
          <w:sz w:val="24"/>
          <w:lang w:val="sk-SK"/>
        </w:rPr>
      </w:pPr>
      <w:r>
        <w:rPr>
          <w:rFonts w:ascii="Times New Roman" w:hAnsi="Times New Roman" w:cs="Times New Roman"/>
          <w:sz w:val="24"/>
          <w:lang w:val="sk-SK"/>
        </w:rPr>
        <w:tab/>
      </w:r>
    </w:p>
    <w:p>
      <w:pPr>
        <w:pStyle w:val="BodyText"/>
        <w:tabs>
          <w:tab w:val="left" w:pos="-1418"/>
        </w:tabs>
        <w:jc w:val="both"/>
        <w:rPr>
          <w:rFonts w:ascii="Times New Roman" w:hAnsi="Times New Roman" w:cs="Times New Roman"/>
          <w:bCs/>
          <w:sz w:val="24"/>
          <w:lang w:val="sk-SK"/>
        </w:rPr>
      </w:pPr>
      <w:r>
        <w:rPr>
          <w:rFonts w:ascii="Times New Roman" w:hAnsi="Times New Roman" w:cs="Times New Roman"/>
          <w:sz w:val="24"/>
          <w:lang w:val="sk-SK"/>
        </w:rPr>
        <w:tab/>
        <w:t>Pravidlá primeranosti vlastných zdrojov na úrovni finančného konglomerátu sú upravené v § 48g návrhu zákona v súlade s čl. 6 smernice č. 2002/87/ES. Hlavným zámerom je zabezpečenie a udržanie dostatočnej a bezpečnej výšky vlastných zdrojov na úrovni finančného konglomerátu. V návrhu zákona je stanovená základná povinnosť zabezpečiť dostatočnú výšku vlastných zdrojov, ako aj povinnosť predkladať úradu požadované údaje o výške vlastných zdrojov a tiež vymedzenie dostatočnosti vlastných zdrojov. Podrobnosti o vlastných zdrojoch na úrovni finančného konglomerátu, minimálnu výšku vlastných zdrojov osôb v skupine a metódy ich výpočtu ustanoví všeobecne záväzný právny predpis, ktorý vydá Ministerstvo financií SR.</w:t>
      </w:r>
      <w:r>
        <w:rPr>
          <w:rFonts w:ascii="Times New Roman" w:hAnsi="Times New Roman" w:cs="Times New Roman"/>
          <w:bCs/>
          <w:sz w:val="24"/>
          <w:lang w:val="sk-SK"/>
        </w:rPr>
        <w:tab/>
      </w:r>
    </w:p>
    <w:p>
      <w:pPr>
        <w:pStyle w:val="BodyText"/>
        <w:tabs>
          <w:tab w:val="left" w:pos="-1418"/>
        </w:tabs>
        <w:jc w:val="both"/>
        <w:rPr>
          <w:rFonts w:ascii="Times New Roman" w:hAnsi="Times New Roman" w:cs="Times New Roman"/>
          <w:sz w:val="24"/>
          <w:lang w:val="sk-SK"/>
        </w:rPr>
      </w:pPr>
    </w:p>
    <w:p>
      <w:pPr>
        <w:pStyle w:val="BodyText"/>
        <w:tabs>
          <w:tab w:val="left" w:pos="-1418"/>
        </w:tabs>
        <w:jc w:val="both"/>
        <w:rPr>
          <w:rFonts w:ascii="Times New Roman" w:hAnsi="Times New Roman" w:cs="Times New Roman"/>
          <w:bCs/>
          <w:sz w:val="24"/>
          <w:lang w:val="sk-SK"/>
        </w:rPr>
      </w:pPr>
      <w:r>
        <w:rPr>
          <w:rFonts w:ascii="Times New Roman" w:hAnsi="Times New Roman" w:cs="Times New Roman"/>
          <w:sz w:val="24"/>
          <w:lang w:val="sk-SK"/>
        </w:rPr>
        <w:tab/>
        <w:t>V § 48h v súlade s čl. 7 smernice č. 2002/87/ES sa stanovujú pravidlá pre koncentráciu rizík na úrovni finančného konglomerátu a taktiež povinnosť hlásiť úradu najmenej raz ročne každú významnú koncentráciu rizík. Vo finančnom konglomeráte, keďže ide o veľké finančné skupiny, by nadmerná koncentrácia rizík mohla spôsobiť problémy v celom finančnom systéme. Účelom týchto ustanovení je preto obmedziť koncentráciu rizík na úrovni finančného konglomerátu. Významnou koncentráciou rizík finančného konglomerátu na účely doplňujúceho dohľadu sa rozumie veľká majetková angažovanosť definovaná v návrhu zákona pre sektor poisťovníctva.</w:t>
      </w:r>
      <w:r>
        <w:rPr>
          <w:rFonts w:ascii="Times New Roman" w:hAnsi="Times New Roman" w:cs="Times New Roman"/>
          <w:bCs/>
          <w:sz w:val="24"/>
          <w:lang w:val="sk-SK"/>
        </w:rPr>
        <w:t xml:space="preserve">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V návrhu zákona v § 48i sa stanovujú pravidlá pre vnútroskupinové transakcie vo finančnom konglomeráte a povinnosť hlásiť úradu najmenej raz ročne každú významnú vnútroskupinovú transakciu, medzi členmi skupiny prevyšujúci 5% minimálnych vlastných zdrojov na úrovni finančného konglomerátu, za účelom obmedzenia rizík pre finančný konglomerát v súlade s čl. 8 smernice č. 2002/87/ES.</w:t>
      </w:r>
    </w:p>
    <w:p>
      <w:pPr>
        <w:pStyle w:val="BodyText2"/>
        <w:rPr>
          <w:rFonts w:ascii="Times New Roman" w:hAnsi="Times New Roman" w:cs="Times New Roman"/>
        </w:rPr>
      </w:pPr>
    </w:p>
    <w:p>
      <w:pPr>
        <w:pStyle w:val="BodyText2"/>
        <w:ind w:firstLine="708"/>
        <w:rPr>
          <w:rFonts w:ascii="Times New Roman" w:hAnsi="Times New Roman" w:cs="Times New Roman"/>
        </w:rPr>
      </w:pPr>
      <w:r>
        <w:rPr>
          <w:rFonts w:ascii="Times New Roman" w:hAnsi="Times New Roman" w:cs="Times New Roman"/>
        </w:rPr>
        <w:t>V súlade s čl. 9 smernice č. 2002/87/ES sa v § 48j určuje v záujme dosiahnutia cieľov doplňujúceho dohľadu nad finančnými konglomerátmi povinnosť regulovať aj vnútorné riadenie a postupy v osobách tvoriacich finančný konglomerát. Na základe uvedeného sa poisťovni alebo zaisťovni, ktorá je súčasťou finančného konglomerátu stanovuje povinnosť vytvoriť systém riadenia rizík  a systém vnútornej kontroly za účelom sledovania dodržiavania solventnosti, koncentrácie rizík a obmedzenia vnútroskupinových transakcií na úrovni finančného konglomerátu.</w:t>
      </w:r>
    </w:p>
    <w:p>
      <w:pPr>
        <w:pStyle w:val="BodyText"/>
        <w:tabs>
          <w:tab w:val="left" w:pos="-1418"/>
        </w:tabs>
        <w:jc w:val="both"/>
        <w:rPr>
          <w:rFonts w:ascii="Times New Roman" w:hAnsi="Times New Roman" w:cs="Times New Roman"/>
          <w:bCs/>
          <w:sz w:val="24"/>
          <w:lang w:val="sk-SK"/>
        </w:rPr>
      </w:pPr>
    </w:p>
    <w:p>
      <w:pPr>
        <w:tabs>
          <w:tab w:val="left" w:pos="0"/>
        </w:tabs>
        <w:ind w:firstLine="360"/>
        <w:jc w:val="both"/>
        <w:rPr>
          <w:rFonts w:ascii="Times New Roman" w:hAnsi="Times New Roman" w:cs="Times New Roman"/>
        </w:rPr>
      </w:pPr>
      <w:r>
        <w:rPr>
          <w:rFonts w:ascii="Times New Roman" w:hAnsi="Times New Roman" w:cs="Times New Roman"/>
          <w:bCs/>
        </w:rPr>
        <w:tab/>
        <w:t>Ustanovenie</w:t>
      </w:r>
      <w:r>
        <w:rPr>
          <w:rFonts w:ascii="Times New Roman" w:hAnsi="Times New Roman" w:cs="Times New Roman"/>
          <w:bCs/>
        </w:rPr>
        <w:t xml:space="preserve"> </w:t>
      </w:r>
      <w:r>
        <w:rPr>
          <w:rFonts w:ascii="Times New Roman" w:hAnsi="Times New Roman" w:cs="Times New Roman"/>
        </w:rPr>
        <w:t xml:space="preserve">§ 48k v súlade s čl. 11 smernice č. 2002/87/ES upravuje právomoci úradu pri výkone doplňujúceho dohľadu nad finančným konglomerátom, ktorý v zmysle § 48c podlieha jeho dohľadu. </w:t>
      </w:r>
    </w:p>
    <w:p>
      <w:pPr>
        <w:tabs>
          <w:tab w:val="left" w:pos="0"/>
        </w:tabs>
        <w:ind w:firstLine="360"/>
        <w:jc w:val="both"/>
        <w:rPr>
          <w:rFonts w:ascii="Times New Roman" w:hAnsi="Times New Roman" w:cs="Times New Roman"/>
        </w:rPr>
      </w:pPr>
      <w:r>
        <w:rPr>
          <w:rFonts w:ascii="Times New Roman" w:hAnsi="Times New Roman" w:cs="Times New Roman"/>
        </w:rPr>
        <w:t xml:space="preserve">Úlohou úradu je najmä výkon funkcie koordinátora  zhromažďovania a rozširovania informácií potrebných na sledovanie činnosti finančného konglomerátu a plánovanie a koordinovanie výkonu doplňujúceho dohľadu v spolupráci s NBS a s príslušnými orgánmi dohľadu iných štátov vykonávajúcimi dohľad nad regulovanými osobami tvoriacimi finančný konglomerát. </w:t>
      </w:r>
    </w:p>
    <w:p>
      <w:pPr>
        <w:pStyle w:val="BodyText"/>
        <w:tabs>
          <w:tab w:val="left" w:pos="-1418"/>
          <w:tab w:val="left" w:pos="0"/>
        </w:tabs>
        <w:ind w:firstLine="360"/>
        <w:jc w:val="both"/>
        <w:rPr>
          <w:rFonts w:ascii="Times New Roman" w:hAnsi="Times New Roman" w:cs="Times New Roman"/>
          <w:bCs/>
          <w:sz w:val="24"/>
          <w:lang w:val="sk-SK"/>
        </w:rPr>
      </w:pPr>
    </w:p>
    <w:p>
      <w:pPr>
        <w:pStyle w:val="BodyText"/>
        <w:tabs>
          <w:tab w:val="left" w:pos="-1418"/>
          <w:tab w:val="left" w:pos="0"/>
        </w:tabs>
        <w:ind w:firstLine="360"/>
        <w:jc w:val="both"/>
        <w:rPr>
          <w:rFonts w:ascii="Times New Roman" w:hAnsi="Times New Roman" w:cs="Times New Roman"/>
          <w:sz w:val="24"/>
          <w:lang w:val="sk-SK"/>
        </w:rPr>
      </w:pPr>
      <w:r>
        <w:rPr>
          <w:rFonts w:ascii="Times New Roman" w:hAnsi="Times New Roman" w:cs="Times New Roman"/>
          <w:sz w:val="24"/>
          <w:lang w:val="sk-SK"/>
        </w:rPr>
        <w:tab/>
        <w:t xml:space="preserve">Upravuje sa rozsah spolupráce úradu,  NBS  a príslušných orgánov dohľadu členských štátov, vrátane rozsahu výmeny informácií potrebných na výkon doplňujúceho dohľadu.  Ustanovenie § 48 l v súlade s čl. 12 smernice č. 2002/87/ES ukladá povinnosť úradu spolupracovať pri výkone doplňujúceho dohľadu s NBS a s príslušnými dohliadacimi orgánmi členských štátov, a to aj vtedy, ak plnia funkciu koordinátorov voči iným finančným konglomerátom, než sú tie, voči ktorým je koordinátorom úrad a poskytovať si potrebné informácie. </w:t>
      </w:r>
    </w:p>
    <w:p>
      <w:pPr>
        <w:pStyle w:val="BodyText"/>
        <w:tabs>
          <w:tab w:val="left" w:pos="-1418"/>
          <w:tab w:val="left" w:pos="0"/>
        </w:tabs>
        <w:ind w:firstLine="360"/>
        <w:jc w:val="both"/>
        <w:rPr>
          <w:rFonts w:ascii="Times New Roman" w:hAnsi="Times New Roman" w:cs="Times New Roman"/>
          <w:sz w:val="24"/>
          <w:lang w:val="sk-SK"/>
        </w:rPr>
      </w:pPr>
      <w:r>
        <w:rPr>
          <w:rFonts w:ascii="Times New Roman" w:hAnsi="Times New Roman" w:cs="Times New Roman"/>
          <w:sz w:val="24"/>
          <w:lang w:val="sk-SK"/>
        </w:rPr>
        <w:t>Spolupráca pozostáva nielen z výmeny určených informácií potrebných pre výkon tohto doplňujúceho dohľadu ale aj povinnosti prerokovať pripravované rozhodnutia o nadobudnutí podielu na základnom imaní regulovaných osôb a rozho</w:t>
      </w:r>
      <w:r>
        <w:rPr>
          <w:rFonts w:ascii="Times New Roman" w:hAnsi="Times New Roman" w:cs="Times New Roman"/>
          <w:sz w:val="24"/>
          <w:lang w:val="sk-SK"/>
        </w:rPr>
        <w:t>dnutia o udelení sankcií.</w:t>
      </w:r>
    </w:p>
    <w:p>
      <w:pPr>
        <w:pStyle w:val="BodyText"/>
        <w:tabs>
          <w:tab w:val="left" w:pos="-1418"/>
        </w:tabs>
        <w:jc w:val="both"/>
        <w:rPr>
          <w:rFonts w:ascii="Times New Roman" w:hAnsi="Times New Roman" w:cs="Times New Roman"/>
          <w:bCs/>
          <w:sz w:val="24"/>
          <w:lang w:val="sk-SK"/>
        </w:rPr>
      </w:pPr>
    </w:p>
    <w:p>
      <w:pPr>
        <w:jc w:val="both"/>
        <w:rPr>
          <w:rFonts w:ascii="Times New Roman" w:hAnsi="Times New Roman" w:cs="Times New Roman"/>
        </w:rPr>
      </w:pPr>
      <w:r>
        <w:rPr>
          <w:rFonts w:ascii="Times New Roman" w:hAnsi="Times New Roman" w:cs="Times New Roman"/>
        </w:rPr>
        <w:tab/>
        <w:t>V § 48m v súlade s čl. 14 smernice č. 2002/87/ES sa ustanovuje povinnosť členov finančného konglomerátu, bez ohľadu na to, či sú regulovanými osobami v zmysle § 48b písm. e), poskytovať si navzájom informácie potrebné na plnenie povinností podľa tohto návrhu zákona a úradu na účely doplňujúceho dohľadu. Rozsah týchto informácií je určený v ustanoveniach § 48g až § 48j.</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V zmysle čl. 15 smernice č. 2002/87/ES sa v § 48n ustanovuje postup v prípade, ak bol úrad požiadaný príslušným orgánom dohľadu členského štátu o preverenie  informácie potrebnej na výkon doplňujúceho dohľadu o osobách so sídlom v Slovenskej republike  alebo preverí tieto informácie prostredníctvom povereným osôb. </w:t>
      </w:r>
    </w:p>
    <w:p>
      <w:pPr>
        <w:ind w:firstLine="708"/>
        <w:jc w:val="both"/>
        <w:rPr>
          <w:rFonts w:ascii="Times New Roman" w:hAnsi="Times New Roman" w:cs="Times New Roman"/>
        </w:rPr>
      </w:pPr>
      <w:r>
        <w:rPr>
          <w:rFonts w:ascii="Times New Roman" w:hAnsi="Times New Roman" w:cs="Times New Roman"/>
        </w:rPr>
        <w:t xml:space="preserve">Príslušný orgán dohľadu členského štátu môže toto preverovanie vykonať aj samostatne úradom  alebo prostredníctvom poverených osôb. Recipročne môže úrad požiadať príslušný orgán dohľadu členského štátu o preverenie  informácie potrebnej na výkon doplňujúceho dohľadu o osobách so sídlom v členskom štáte alebo takéto preverenie aj sám vykonať.  </w:t>
      </w:r>
    </w:p>
    <w:p>
      <w:pPr>
        <w:pStyle w:val="BodyText"/>
        <w:tabs>
          <w:tab w:val="left" w:pos="-1418"/>
        </w:tabs>
        <w:jc w:val="both"/>
        <w:rPr>
          <w:rFonts w:ascii="Times New Roman" w:hAnsi="Times New Roman" w:cs="Times New Roman"/>
          <w:bCs/>
          <w:sz w:val="24"/>
          <w:lang w:val="sk-SK"/>
        </w:rPr>
      </w:pPr>
    </w:p>
    <w:p>
      <w:pPr>
        <w:pStyle w:val="BodyText2"/>
        <w:rPr>
          <w:rFonts w:ascii="Times New Roman" w:hAnsi="Times New Roman" w:cs="Times New Roman"/>
        </w:rPr>
      </w:pPr>
      <w:r>
        <w:rPr>
          <w:rFonts w:ascii="Times New Roman" w:hAnsi="Times New Roman" w:cs="Times New Roman"/>
        </w:rPr>
        <w:tab/>
        <w:t xml:space="preserve">Podrobnosti o poskytovaní údajov, správ a hlásení o kapitálovej primeranosti, koncentrácií rizík a vnútroskupinových transakciách sú upravené v návrhu zákona v § 48o. Predkladané údaje, správy a hlásenia musia byť zrozumiteľné, prehľadné, preukazné, musia poskytovať pravdivý obraz o hlásených skutočnostiach a musia byť predložené včas. </w:t>
      </w:r>
    </w:p>
    <w:p>
      <w:pPr>
        <w:pStyle w:val="BodyText2"/>
        <w:ind w:firstLine="708"/>
        <w:rPr>
          <w:rFonts w:ascii="Times New Roman" w:hAnsi="Times New Roman" w:cs="Times New Roman"/>
          <w:bCs/>
        </w:rPr>
      </w:pPr>
      <w:r>
        <w:rPr>
          <w:rFonts w:ascii="Times New Roman" w:hAnsi="Times New Roman" w:cs="Times New Roman"/>
        </w:rPr>
        <w:t xml:space="preserve">Obsah, formu, členenie, termíny, spôsob a miesto predkladania týchto údajov, správ a hlásení ustanoví všeobecne záväzný právny predpis, ktorý vydá Ministerstvo financií SR. Ak vzniknú dôvodné pochybnosti o správnosti alebo úplnosti predložených správ alebo  údajov je úrad oprávnený vyžiadať si doplňujúce podklady a vysvetlenie v určenej lehote.  </w:t>
      </w:r>
    </w:p>
    <w:p>
      <w:pPr>
        <w:ind w:firstLine="708"/>
        <w:jc w:val="both"/>
        <w:rPr>
          <w:rFonts w:ascii="Times New Roman" w:hAnsi="Times New Roman" w:cs="Times New Roman"/>
        </w:rPr>
      </w:pPr>
      <w:r>
        <w:rPr>
          <w:rFonts w:ascii="Times New Roman" w:hAnsi="Times New Roman" w:cs="Times New Roman"/>
        </w:rPr>
        <w:t xml:space="preserve">Úprava povinnosti zmiešanej finančnej spoločnosti, ktorá má vo finančnom konglomeráte postavenie upravené v § 48c, týkajúcej sa vypracúvania a poskytovania určených výkazov, hlásení a iných správ úradu slúži na zabezpečenie toku informácií potrebných pre úrad pri výkone doplňujúceho dohľadu. </w:t>
      </w:r>
    </w:p>
    <w:p>
      <w:pPr>
        <w:jc w:val="both"/>
        <w:rPr>
          <w:rFonts w:ascii="Times New Roman" w:hAnsi="Times New Roman" w:cs="Times New Roman"/>
        </w:rPr>
      </w:pPr>
    </w:p>
    <w:p>
      <w:pPr>
        <w:pStyle w:val="Heading2"/>
        <w:rPr>
          <w:rFonts w:ascii="Times New Roman" w:hAnsi="Times New Roman" w:cs="Times New Roman"/>
        </w:rPr>
      </w:pPr>
      <w:r>
        <w:rPr>
          <w:rFonts w:ascii="Times New Roman" w:hAnsi="Times New Roman" w:cs="Times New Roman"/>
        </w:rPr>
        <w:t>K bodom 18 a 20:</w:t>
      </w:r>
    </w:p>
    <w:p>
      <w:pPr>
        <w:pStyle w:val="Heading2"/>
        <w:rPr>
          <w:rFonts w:ascii="Times New Roman" w:hAnsi="Times New Roman" w:cs="Times New Roman"/>
        </w:rPr>
      </w:pPr>
    </w:p>
    <w:p>
      <w:pPr>
        <w:pStyle w:val="Heading2"/>
        <w:rPr>
          <w:rFonts w:ascii="Times New Roman" w:hAnsi="Times New Roman" w:cs="Times New Roman"/>
        </w:rPr>
      </w:pPr>
      <w:r>
        <w:rPr>
          <w:rFonts w:ascii="Times New Roman" w:hAnsi="Times New Roman" w:cs="Times New Roman"/>
        </w:rPr>
        <w:tab/>
      </w:r>
      <w:r>
        <w:rPr>
          <w:rFonts w:ascii="Times New Roman" w:hAnsi="Times New Roman" w:cs="Times New Roman"/>
          <w:b w:val="0"/>
          <w:bCs w:val="0"/>
        </w:rPr>
        <w:t xml:space="preserve"> V ustanovení návrhu zákona  sa menia kritériá tak, aby bolo možné porušenia zákona posudzovať objektívnejšie.</w:t>
      </w:r>
      <w:r>
        <w:rPr>
          <w:rFonts w:ascii="Times New Roman" w:hAnsi="Times New Roman" w:cs="Times New Roman"/>
        </w:rPr>
        <w:t xml:space="preserve"> </w:t>
      </w:r>
    </w:p>
    <w:p>
      <w:pPr>
        <w:pStyle w:val="Heading2"/>
        <w:rPr>
          <w:rFonts w:ascii="Times New Roman" w:hAnsi="Times New Roman" w:cs="Times New Roman"/>
        </w:rPr>
      </w:pPr>
    </w:p>
    <w:p>
      <w:pPr>
        <w:pStyle w:val="Heading2"/>
        <w:rPr>
          <w:rFonts w:ascii="Times New Roman" w:hAnsi="Times New Roman" w:cs="Times New Roman"/>
        </w:rPr>
      </w:pPr>
      <w:r>
        <w:rPr>
          <w:rFonts w:ascii="Times New Roman" w:hAnsi="Times New Roman" w:cs="Times New Roman"/>
        </w:rPr>
        <w:t>K bodom 19 a 21:</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b/>
        <w:t>Úpravou sa zavádza dolná hranica pri ukladaní pokút za porušenie ustanovení zákona.</w:t>
      </w:r>
    </w:p>
    <w:p>
      <w:pPr>
        <w:pStyle w:val="Heading2"/>
        <w:rPr>
          <w:rFonts w:ascii="Times New Roman" w:hAnsi="Times New Roman" w:cs="Times New Roman"/>
        </w:rPr>
      </w:pPr>
    </w:p>
    <w:p>
      <w:pPr>
        <w:pStyle w:val="Heading2"/>
        <w:rPr>
          <w:rFonts w:ascii="Times New Roman" w:hAnsi="Times New Roman" w:cs="Times New Roman"/>
        </w:rPr>
      </w:pPr>
      <w:r>
        <w:rPr>
          <w:rFonts w:ascii="Times New Roman" w:hAnsi="Times New Roman" w:cs="Times New Roman"/>
        </w:rPr>
        <w:t>K bodom 22 až 24:</w:t>
      </w:r>
    </w:p>
    <w:p>
      <w:pPr>
        <w:rPr>
          <w:rFonts w:ascii="Times New Roman" w:hAnsi="Times New Roman" w:cs="Times New Roman"/>
        </w:rPr>
      </w:pPr>
    </w:p>
    <w:p>
      <w:pPr>
        <w:pStyle w:val="Heading2"/>
        <w:rPr>
          <w:rFonts w:ascii="Times New Roman" w:hAnsi="Times New Roman" w:cs="Times New Roman"/>
          <w:b w:val="0"/>
          <w:bCs w:val="0"/>
        </w:rPr>
      </w:pPr>
      <w:r>
        <w:rPr>
          <w:rFonts w:ascii="Times New Roman" w:hAnsi="Times New Roman" w:cs="Times New Roman"/>
          <w:b w:val="0"/>
          <w:bCs w:val="0"/>
        </w:rPr>
        <w:tab/>
        <w:t>Ide o rozšírenie sankcií, ktoré je úrad oprávnený uložiť. V súlade s čl. 17 smernice č. 2002/87/ES je úrad oprávnený uložiť sankcie aj členovi predstavenstva alebo vedúcemu zamestnancovi zmiešanej finančnej  spoločnosti za účelom splnenia si povinností súvisiacich s výkonom doplňujúceho dohľadu.</w:t>
        <w:tab/>
        <w:t>Taktiež sa v zmysle smernice 2002/87/ES čl. 17 rozširuje okruh sankcií, ktoré môže úrad udeliť zmiešanej finančnej spoločnosti a iným osobám, ktoré sú zahrnuté do finančného konglomerátu.</w:t>
      </w:r>
    </w:p>
    <w:p>
      <w:pPr>
        <w:pStyle w:val="BodyTextIndent"/>
        <w:ind w:firstLine="0"/>
        <w:rPr>
          <w:rFonts w:ascii="Times New Roman" w:hAnsi="Times New Roman" w:cs="Times New Roman"/>
          <w:b w:val="0"/>
          <w:bCs w:val="0"/>
          <w:szCs w:val="20"/>
          <w:lang w:eastAsia="en-US"/>
        </w:rPr>
      </w:pPr>
    </w:p>
    <w:p>
      <w:pPr>
        <w:pStyle w:val="BodyTextIndent"/>
        <w:ind w:firstLine="0"/>
        <w:rPr>
          <w:rFonts w:ascii="Times New Roman" w:hAnsi="Times New Roman" w:cs="Times New Roman"/>
          <w:szCs w:val="20"/>
          <w:lang w:eastAsia="en-US"/>
        </w:rPr>
      </w:pPr>
      <w:r>
        <w:rPr>
          <w:rFonts w:ascii="Times New Roman" w:hAnsi="Times New Roman" w:cs="Times New Roman"/>
          <w:szCs w:val="20"/>
          <w:lang w:eastAsia="en-US"/>
        </w:rPr>
        <w:t>K bodu 25:</w:t>
      </w:r>
    </w:p>
    <w:p>
      <w:pPr>
        <w:pStyle w:val="BodyTextIndent"/>
        <w:ind w:firstLine="0"/>
        <w:rPr>
          <w:rFonts w:ascii="Times New Roman" w:hAnsi="Times New Roman" w:cs="Times New Roman"/>
          <w:szCs w:val="20"/>
          <w:lang w:eastAsia="en-US"/>
        </w:rPr>
      </w:pPr>
    </w:p>
    <w:p>
      <w:pPr>
        <w:pStyle w:val="BodyTextIndent"/>
        <w:ind w:firstLine="0"/>
        <w:rPr>
          <w:rFonts w:ascii="Times New Roman" w:hAnsi="Times New Roman" w:cs="Times New Roman"/>
          <w:szCs w:val="20"/>
          <w:lang w:eastAsia="en-US"/>
        </w:rPr>
      </w:pPr>
      <w:r>
        <w:rPr>
          <w:rFonts w:ascii="Times New Roman" w:hAnsi="Times New Roman" w:cs="Times New Roman"/>
          <w:b w:val="0"/>
          <w:bCs w:val="0"/>
          <w:szCs w:val="20"/>
          <w:lang w:eastAsia="en-US"/>
        </w:rPr>
        <w:tab/>
        <w:t>V súlade s čl. 14 smernice č. 2002/83/ES sa zavádza povinnosť úradu zverejniť rozhodnutie o schválení prevodu poistného kmeňa alebo jeho časti v rámci členských štátov.</w:t>
      </w:r>
    </w:p>
    <w:p>
      <w:pPr>
        <w:pStyle w:val="BodyTextIndent"/>
        <w:ind w:firstLine="0"/>
        <w:rPr>
          <w:rFonts w:ascii="Times New Roman" w:hAnsi="Times New Roman" w:cs="Times New Roman"/>
          <w:szCs w:val="20"/>
          <w:lang w:eastAsia="en-US"/>
        </w:rPr>
      </w:pPr>
    </w:p>
    <w:p>
      <w:pPr>
        <w:pStyle w:val="BodyTextIndent"/>
        <w:ind w:firstLine="0"/>
        <w:rPr>
          <w:rFonts w:ascii="Times New Roman" w:hAnsi="Times New Roman" w:cs="Times New Roman"/>
          <w:szCs w:val="20"/>
          <w:lang w:eastAsia="en-US"/>
        </w:rPr>
      </w:pPr>
      <w:r>
        <w:rPr>
          <w:rFonts w:ascii="Times New Roman" w:hAnsi="Times New Roman" w:cs="Times New Roman"/>
          <w:szCs w:val="20"/>
          <w:lang w:eastAsia="en-US"/>
        </w:rPr>
        <w:t>K bodu 26:</w:t>
      </w:r>
    </w:p>
    <w:p>
      <w:pPr>
        <w:pStyle w:val="BodyTextIndent"/>
        <w:rPr>
          <w:rFonts w:ascii="Times New Roman" w:hAnsi="Times New Roman" w:cs="Times New Roman"/>
          <w:b w:val="0"/>
          <w:bCs w:val="0"/>
        </w:rPr>
      </w:pPr>
    </w:p>
    <w:p>
      <w:pPr>
        <w:pStyle w:val="BodyText"/>
        <w:ind w:firstLine="708"/>
        <w:jc w:val="both"/>
        <w:rPr>
          <w:rFonts w:ascii="Times New Roman" w:hAnsi="Times New Roman" w:cs="Times New Roman"/>
          <w:sz w:val="24"/>
          <w:lang w:val="sk-SK"/>
        </w:rPr>
      </w:pPr>
      <w:r>
        <w:rPr>
          <w:rFonts w:ascii="Times New Roman" w:hAnsi="Times New Roman" w:cs="Times New Roman"/>
          <w:sz w:val="24"/>
          <w:lang w:val="sk-SK"/>
        </w:rPr>
        <w:t xml:space="preserve">V ustanoveniach § 65a sa upravujú obligatórne náležitosti poistnej zmluvy,  v súlade so smernicou č. 88/357/EEC a  smernicou č. 2002/83/ES sa upravuje problematika umiestnenia poistného rizika v rámci členských štátov. </w:t>
      </w:r>
    </w:p>
    <w:p>
      <w:pPr>
        <w:jc w:val="both"/>
        <w:rPr>
          <w:rFonts w:ascii="Times New Roman" w:hAnsi="Times New Roman" w:cs="Times New Roman"/>
          <w:b/>
          <w:bCs/>
        </w:rPr>
      </w:pPr>
    </w:p>
    <w:p>
      <w:pPr>
        <w:pStyle w:val="BodyText"/>
        <w:tabs>
          <w:tab w:val="left" w:pos="-1418"/>
        </w:tabs>
        <w:jc w:val="both"/>
        <w:rPr>
          <w:rFonts w:ascii="Times New Roman" w:hAnsi="Times New Roman" w:cs="Times New Roman"/>
          <w:b/>
          <w:sz w:val="24"/>
          <w:lang w:val="sk-SK"/>
        </w:rPr>
      </w:pPr>
      <w:r>
        <w:rPr>
          <w:rFonts w:ascii="Times New Roman" w:hAnsi="Times New Roman" w:cs="Times New Roman"/>
          <w:b/>
          <w:sz w:val="24"/>
          <w:lang w:val="sk-SK"/>
        </w:rPr>
        <w:t>K bodu 27:</w:t>
      </w:r>
    </w:p>
    <w:p>
      <w:pPr>
        <w:pStyle w:val="BodyText"/>
        <w:ind w:firstLine="708"/>
        <w:jc w:val="both"/>
        <w:rPr>
          <w:rFonts w:ascii="Times New Roman" w:hAnsi="Times New Roman" w:cs="Times New Roman"/>
          <w:sz w:val="24"/>
          <w:lang w:val="sk-SK"/>
        </w:rPr>
      </w:pPr>
    </w:p>
    <w:p>
      <w:pPr>
        <w:pStyle w:val="BodyText"/>
        <w:ind w:firstLine="708"/>
        <w:jc w:val="both"/>
        <w:rPr>
          <w:rFonts w:ascii="Times New Roman" w:hAnsi="Times New Roman" w:cs="Times New Roman"/>
          <w:sz w:val="24"/>
          <w:lang w:val="sk-SK"/>
        </w:rPr>
      </w:pPr>
      <w:r>
        <w:rPr>
          <w:rFonts w:ascii="Times New Roman" w:hAnsi="Times New Roman" w:cs="Times New Roman"/>
          <w:sz w:val="24"/>
          <w:lang w:val="sk-SK"/>
        </w:rPr>
        <w:t>Dopĺňajú sa spoločné, prechodné a záverečné ustanovenia zákona č. 95/2002 Z.z. o poisťovníctve a o zmene a doplnení niektorých zákonov o prílohu č. 3.</w:t>
      </w:r>
    </w:p>
    <w:p>
      <w:pPr>
        <w:pStyle w:val="BodyTextIndent"/>
        <w:ind w:firstLine="0"/>
        <w:jc w:val="left"/>
        <w:rPr>
          <w:rFonts w:ascii="Times New Roman" w:hAnsi="Times New Roman" w:cs="Times New Roman"/>
        </w:rPr>
      </w:pPr>
      <w:r>
        <w:rPr>
          <w:rFonts w:ascii="Times New Roman" w:hAnsi="Times New Roman" w:cs="Times New Roman"/>
        </w:rPr>
        <w:t>K bodu 28:</w:t>
      </w:r>
    </w:p>
    <w:p>
      <w:pPr>
        <w:pStyle w:val="BodyTextIndent"/>
        <w:rPr>
          <w:rFonts w:ascii="Times New Roman" w:hAnsi="Times New Roman" w:cs="Times New Roman"/>
        </w:rPr>
      </w:pPr>
    </w:p>
    <w:p>
      <w:pPr>
        <w:pStyle w:val="BodyTextIndent"/>
        <w:rPr>
          <w:rFonts w:ascii="Times New Roman" w:hAnsi="Times New Roman" w:cs="Times New Roman"/>
          <w:b w:val="0"/>
          <w:bCs w:val="0"/>
        </w:rPr>
      </w:pPr>
      <w:r>
        <w:rPr>
          <w:rFonts w:ascii="Times New Roman" w:hAnsi="Times New Roman" w:cs="Times New Roman"/>
          <w:b w:val="0"/>
          <w:bCs w:val="0"/>
        </w:rPr>
        <w:t>Jedná sa o legislatívnotechnickú úpravu, stanovenie výšky garančného fondu je upravené  v § 31 ods. 8.</w:t>
      </w:r>
    </w:p>
    <w:p>
      <w:pPr>
        <w:pStyle w:val="BodyTextIndent"/>
        <w:rPr>
          <w:rFonts w:ascii="Times New Roman" w:hAnsi="Times New Roman" w:cs="Times New Roman"/>
          <w:b w:val="0"/>
          <w:bCs w:val="0"/>
        </w:rPr>
      </w:pPr>
    </w:p>
    <w:p>
      <w:pPr>
        <w:pStyle w:val="BodyTextIndent"/>
        <w:ind w:firstLine="0"/>
        <w:rPr>
          <w:rFonts w:ascii="Times New Roman" w:hAnsi="Times New Roman" w:cs="Times New Roman"/>
        </w:rPr>
      </w:pPr>
    </w:p>
    <w:p>
      <w:pPr>
        <w:pStyle w:val="BodyTextIndent"/>
        <w:ind w:firstLine="0"/>
        <w:rPr>
          <w:rFonts w:ascii="Times New Roman" w:hAnsi="Times New Roman" w:cs="Times New Roman"/>
        </w:rPr>
      </w:pPr>
      <w:r>
        <w:rPr>
          <w:rFonts w:ascii="Times New Roman" w:hAnsi="Times New Roman" w:cs="Times New Roman"/>
        </w:rPr>
        <w:t>K bodu 29:</w:t>
      </w:r>
    </w:p>
    <w:p>
      <w:pPr>
        <w:pStyle w:val="BodyTextIndent"/>
        <w:ind w:firstLine="0"/>
        <w:rPr>
          <w:rFonts w:ascii="Times New Roman" w:hAnsi="Times New Roman" w:cs="Times New Roman"/>
        </w:rPr>
      </w:pPr>
    </w:p>
    <w:p>
      <w:pPr>
        <w:pStyle w:val="BodyTextIndent"/>
        <w:rPr>
          <w:rFonts w:ascii="Times New Roman" w:hAnsi="Times New Roman" w:cs="Times New Roman"/>
          <w:b w:val="0"/>
          <w:bCs w:val="0"/>
        </w:rPr>
      </w:pPr>
      <w:r>
        <w:rPr>
          <w:rFonts w:ascii="Times New Roman" w:hAnsi="Times New Roman" w:cs="Times New Roman"/>
          <w:b w:val="0"/>
          <w:bCs w:val="0"/>
        </w:rPr>
        <w:t>Týmto ustanovením sa určuje lehota na vykonávanie doplňujúceho dohľadu pri zohľadnení finančnej situácie a výsledku hospodárenia.</w:t>
      </w:r>
    </w:p>
    <w:p>
      <w:pPr>
        <w:pStyle w:val="BodyTextIndent"/>
        <w:rPr>
          <w:rFonts w:ascii="Times New Roman" w:hAnsi="Times New Roman" w:cs="Times New Roman"/>
          <w:b w:val="0"/>
          <w:bCs w:val="0"/>
        </w:rPr>
      </w:pPr>
    </w:p>
    <w:p>
      <w:pPr>
        <w:pStyle w:val="BodyTextIndent"/>
        <w:ind w:firstLine="0"/>
        <w:rPr>
          <w:rFonts w:ascii="Times New Roman" w:hAnsi="Times New Roman" w:cs="Times New Roman"/>
        </w:rPr>
      </w:pPr>
      <w:r>
        <w:rPr>
          <w:rFonts w:ascii="Times New Roman" w:hAnsi="Times New Roman" w:cs="Times New Roman"/>
        </w:rPr>
        <w:t>K bodu 30:</w:t>
      </w:r>
    </w:p>
    <w:p>
      <w:pPr>
        <w:pStyle w:val="BodyTextIndent"/>
        <w:ind w:firstLine="0"/>
        <w:rPr>
          <w:rFonts w:ascii="Times New Roman" w:hAnsi="Times New Roman" w:cs="Times New Roman"/>
        </w:rPr>
      </w:pPr>
    </w:p>
    <w:p>
      <w:pPr>
        <w:pStyle w:val="BodyText"/>
        <w:rPr>
          <w:rFonts w:ascii="Times New Roman" w:hAnsi="Times New Roman" w:cs="Times New Roman"/>
          <w:sz w:val="24"/>
          <w:szCs w:val="24"/>
          <w:lang w:val="sk-SK"/>
        </w:rPr>
      </w:pPr>
      <w:r>
        <w:rPr>
          <w:rFonts w:ascii="Times New Roman" w:hAnsi="Times New Roman" w:cs="Times New Roman"/>
          <w:sz w:val="24"/>
          <w:szCs w:val="24"/>
          <w:lang w:val="sk-SK"/>
        </w:rPr>
        <w:t>Týmto zákonom sa preberajú tieto právne záväzné akty Európskych spoločenstiev  Európskej únie.</w:t>
      </w:r>
    </w:p>
    <w:p>
      <w:pPr>
        <w:pStyle w:val="BodyText"/>
        <w:rPr>
          <w:rFonts w:ascii="Times New Roman" w:hAnsi="Times New Roman" w:cs="Times New Roman"/>
          <w:sz w:val="24"/>
          <w:szCs w:val="24"/>
          <w:lang w:val="sk-SK"/>
        </w:rPr>
      </w:pPr>
    </w:p>
    <w:p>
      <w:pPr>
        <w:pStyle w:val="Zkladntext"/>
        <w:spacing w:after="120"/>
        <w:ind w:left="720" w:hanging="720"/>
        <w:jc w:val="both"/>
        <w:rPr>
          <w:rFonts w:ascii="Times New Roman" w:hAnsi="Times New Roman" w:cs="Times New Roman"/>
        </w:rPr>
      </w:pPr>
      <w:r>
        <w:rPr>
          <w:rFonts w:ascii="Times New Roman" w:hAnsi="Times New Roman" w:cs="Times New Roman"/>
        </w:rPr>
        <w:t>1.</w:t>
        <w:tab/>
        <w:t>Smernica Rady 64/225/EHS z 25. februára 1964 o zrušení obmedzenia voľného pohybu osôb a voľného pohybu služieb v oblasti zaisťovania a retrocesií (Úradný vestník Európskych spoločenstiev L 56 zo 04.04.1964).</w:t>
      </w:r>
    </w:p>
    <w:p>
      <w:pPr>
        <w:pStyle w:val="Zkladntext"/>
        <w:spacing w:after="120"/>
        <w:ind w:left="720" w:hanging="720"/>
        <w:jc w:val="both"/>
        <w:rPr>
          <w:rFonts w:ascii="Times New Roman" w:hAnsi="Times New Roman" w:cs="Times New Roman"/>
        </w:rPr>
      </w:pPr>
      <w:r>
        <w:rPr>
          <w:rFonts w:ascii="Times New Roman" w:hAnsi="Times New Roman" w:cs="Times New Roman"/>
        </w:rPr>
        <w:t>2.</w:t>
        <w:tab/>
        <w:t>Smernica Rady 73/239/EHS z 24. júla 1973 o koordinácii zákonov, nariadení a administratívnych ustanovení týkajúcich sa zakladania a činnosti v oblasti priameho poistenia s výnimkou životného poistenia (Úradný vestník Európskych spoločenstiev L 228 zo 16.08.1973) v znení smernice Rady 84/641/EHS z 10. decembra 1984 (Úradný vestník Európskych spoločenstiev L 339 z 27.12.1984), v znení smernice Rady 87/343/EHS z 22.júna 1987 (Úradný vestník Európskych spoločenstiev L 185 zo 04.07.1987), v znení smernice Rady 87/344/EHS z 22. júna 1987 (Úradný vestník Európskych spoločenstiev L 185 zo 04.07.1987), v znení smernice Rady 88/357/EHS z 22.júna 1988 (Úradný vestník Európskych spoločenstiev L 172 zo 04.07.1988), v znení smernice Rady 90/618/EHS z 8.novembra 1990 (Úradný vestník Európskych spoločenstiev L 330 z 29.11.1990), v znení smernice Rady 92/49/EHS z 18. júna 1992 (Úradný vestník Európskych spoločenstiev L 228 z 11.08.1992), v znení smernice Európskeho parlamentu a Rady 95/26/ES z 29.júna 1995 (Úradný vestník Európskych spoločenstiev L 168 z 18.07.1995), v znení smernice Európskeho parlamentu a Rady 2000/26/ES zo 16. mája 2000 (Úradný vestník Európskych spoločenstiev L 181 z 20.07.2000), v znení smernice Európskeho parlamentu a Rady 2002/</w:t>
      </w:r>
      <w:r>
        <w:rPr>
          <w:rFonts w:ascii="Times New Roman" w:hAnsi="Times New Roman" w:cs="Times New Roman"/>
          <w:color w:val="auto"/>
          <w:szCs w:val="24"/>
        </w:rPr>
        <w:t xml:space="preserve">13/ES z 5.marca 2002 </w:t>
      </w:r>
      <w:r>
        <w:rPr>
          <w:rFonts w:ascii="Times New Roman" w:hAnsi="Times New Roman" w:cs="Times New Roman"/>
        </w:rPr>
        <w:t>(Úradný vestník Európskych spoločenstiev L 77 z 20.03.2002), v znení smernice Európskeho parlamentu a Rady 2002/87/ES z 16. decembra 2002 (Úradný vestník Európskych spoločenstiev L 345 z 19.12.2002).</w:t>
      </w:r>
    </w:p>
    <w:p>
      <w:pPr>
        <w:pStyle w:val="Zkladntext"/>
        <w:spacing w:after="120"/>
        <w:ind w:left="720" w:hanging="720"/>
        <w:jc w:val="both"/>
        <w:rPr>
          <w:rFonts w:ascii="Times New Roman" w:hAnsi="Times New Roman" w:cs="Times New Roman"/>
        </w:rPr>
      </w:pPr>
      <w:r>
        <w:rPr>
          <w:rFonts w:ascii="Times New Roman" w:hAnsi="Times New Roman" w:cs="Times New Roman"/>
        </w:rPr>
        <w:t xml:space="preserve">3. </w:t>
        <w:tab/>
        <w:t>Smernica Rady 77/92/EHS z 13. decembra 1976 o opatreniach na umožnenie efektívneho vykonávania práva na podnikanie a slobody poskytovania služieb v súvislosti s činnosťou poisťovacích agentov a sprostredkovateľov (ISIN Skupina 630) a predovšetkým o prechodných opatreniach pre tieto činnosti (Úradný vestník Európskych spoločenstiev L 26 z 31.07.1977).</w:t>
      </w:r>
    </w:p>
    <w:p>
      <w:pPr>
        <w:pStyle w:val="Zkladntext"/>
        <w:spacing w:after="120"/>
        <w:ind w:left="720" w:hanging="720"/>
        <w:jc w:val="both"/>
        <w:rPr>
          <w:rFonts w:ascii="Times New Roman" w:hAnsi="Times New Roman" w:cs="Times New Roman"/>
        </w:rPr>
      </w:pPr>
      <w:r>
        <w:rPr>
          <w:rFonts w:ascii="Times New Roman" w:hAnsi="Times New Roman" w:cs="Times New Roman"/>
        </w:rPr>
        <w:t>4.</w:t>
        <w:tab/>
        <w:t>Smernica Rady 88/357/EHS z 22. júna 1988 o koordinácii zákonov, nariadení a administratívnych ustanovení týkajúcich sa priameho neživotného poistenia, určujúcu opatrenia k umožneniu slobodného poskytovania služieb a doplňujúca smernicu 73/239/EHS (Úradný vestník Európskych spoločenstiev L 172 zo 04.07.1988) v znení smernice Rady 90/618/EHS z 8. novembra 1990 (Úradný vestník Európskych spoločenstiev L 330 z 29.11.1990), v znení smernice Rady 92/49/EHS z 18. júna 1992 (Úradný vestník Európskych spoločenstiev L 228 z 11.08.1992), v znení smernice Európskeho parlamentu a Rady 2000/26/ES zo 16. mája 2000 (Úradný vestník Európskych spoločenstiev L 181 z 20.07.2000).</w:t>
      </w:r>
    </w:p>
    <w:p>
      <w:pPr>
        <w:pStyle w:val="Zkladntext"/>
        <w:spacing w:after="120"/>
        <w:ind w:left="720" w:hanging="720"/>
        <w:jc w:val="both"/>
        <w:rPr>
          <w:rFonts w:ascii="Times New Roman" w:hAnsi="Times New Roman" w:cs="Times New Roman"/>
        </w:rPr>
      </w:pPr>
      <w:r>
        <w:rPr>
          <w:rFonts w:ascii="Times New Roman" w:hAnsi="Times New Roman" w:cs="Times New Roman"/>
        </w:rPr>
        <w:t xml:space="preserve">5. </w:t>
        <w:tab/>
        <w:t>Smernica Rady 92/49/EHS z 18. júna 1992 o koordinácii zákonov, nariadení a administratívnych ustanovení týkajúcich sa podnikania v oblasti priameho poistenia s výnimkou životného poistenia (Úradný vestník Európskych spoločenstiev L 228 z 11.08.1992) v znení smernice Európskeho parlamentu a Rady 95/26/ES z 29.júna 1995 (Úradný vestník Európskych spoločenstiev L 168 z 18.07.1995), v znení smernice Európskeho parlamentu a Rady 2000/64/ES zo 7.novembra 2000 (Úradný vestník Európskych spoločenstiev L 290 zo 17.11.2000), v znení smernice Európskeho parlamentu a Rady 2002/87/ES z 16.decembra 2002 (Úradný vestník Európskych spoločenstiev L 345 z 19.12.2002).</w:t>
      </w:r>
    </w:p>
    <w:p>
      <w:pPr>
        <w:pStyle w:val="Zkladntext"/>
        <w:spacing w:after="120"/>
        <w:ind w:left="720" w:hanging="720"/>
        <w:jc w:val="both"/>
        <w:rPr>
          <w:rFonts w:ascii="Times New Roman" w:hAnsi="Times New Roman" w:cs="Times New Roman"/>
        </w:rPr>
      </w:pPr>
      <w:r>
        <w:rPr>
          <w:rFonts w:ascii="Times New Roman" w:hAnsi="Times New Roman" w:cs="Times New Roman"/>
        </w:rPr>
        <w:t>6.</w:t>
        <w:tab/>
        <w:t>Smernica Európskeho parlamentu a Rady 98/78/ES z 27. októbra 1998 o doplnkovom dozore poisťovacích spoločností v skupine poisťovní (Úradný vestník Európskych spoločenstiev L 330 z 05.12.1998) v znení smernice Európskeho parlamentu a Rady 2002/87/ES z 16.decembra 2002 (Úradný vestník Európskych spoloče</w:t>
      </w:r>
      <w:r>
        <w:rPr>
          <w:rFonts w:ascii="Times New Roman" w:hAnsi="Times New Roman" w:cs="Times New Roman"/>
        </w:rPr>
        <w:t>nstiev L 345 z 19.12.2002).</w:t>
      </w:r>
    </w:p>
    <w:p>
      <w:pPr>
        <w:pStyle w:val="Zkladntext"/>
        <w:spacing w:after="120"/>
        <w:ind w:left="720" w:hanging="720"/>
        <w:jc w:val="both"/>
        <w:rPr>
          <w:rFonts w:ascii="Times New Roman" w:hAnsi="Times New Roman" w:cs="Times New Roman"/>
        </w:rPr>
      </w:pPr>
      <w:r>
        <w:rPr>
          <w:rFonts w:ascii="Times New Roman" w:hAnsi="Times New Roman" w:cs="Times New Roman"/>
        </w:rPr>
        <w:t>7.</w:t>
        <w:tab/>
        <w:t>Smernica Európskeho parlamentu a Rady 2001/17/ES z 19. marca 2001 o reorganizácii a likvidácii poisťovacích spoločností (Úradný vestník Európskych spoločenstiev L 110 z 20.04.2001).</w:t>
      </w:r>
    </w:p>
    <w:p>
      <w:pPr>
        <w:pStyle w:val="Zkladntext"/>
        <w:spacing w:after="120"/>
        <w:ind w:left="720" w:hanging="720"/>
        <w:jc w:val="both"/>
        <w:rPr>
          <w:rFonts w:ascii="Times New Roman" w:hAnsi="Times New Roman" w:cs="Times New Roman"/>
          <w:szCs w:val="24"/>
        </w:rPr>
      </w:pPr>
      <w:r>
        <w:rPr>
          <w:rFonts w:ascii="Times New Roman" w:hAnsi="Times New Roman" w:cs="Times New Roman"/>
        </w:rPr>
        <w:t>8.</w:t>
        <w:tab/>
        <w:t xml:space="preserve">Smernica Európskeho parlamentu a Rady 2002/83/ES z 5. novembra 2002 týkajúca sa životného poistenia ((Úradný vestník Európskych spoločenstiev </w:t>
      </w:r>
      <w:r>
        <w:rPr>
          <w:rFonts w:ascii="Times New Roman" w:hAnsi="Times New Roman" w:cs="Times New Roman"/>
          <w:szCs w:val="24"/>
        </w:rPr>
        <w:t>L 345 z 19.12.2002).</w:t>
      </w:r>
    </w:p>
    <w:p>
      <w:pPr>
        <w:pStyle w:val="Zkladntext"/>
        <w:spacing w:after="120"/>
        <w:ind w:left="720" w:hanging="720"/>
        <w:jc w:val="both"/>
        <w:rPr>
          <w:rFonts w:ascii="Times New Roman" w:hAnsi="Times New Roman" w:cs="Times New Roman"/>
          <w:color w:val="auto"/>
          <w:szCs w:val="24"/>
        </w:rPr>
      </w:pPr>
      <w:r>
        <w:rPr>
          <w:rFonts w:ascii="Times New Roman" w:hAnsi="Times New Roman" w:cs="Times New Roman"/>
          <w:color w:val="auto"/>
          <w:szCs w:val="24"/>
        </w:rPr>
        <w:t>9.</w:t>
        <w:tab/>
        <w:t xml:space="preserve">Smernica </w:t>
      </w:r>
      <w:r>
        <w:rPr>
          <w:rFonts w:ascii="Times New Roman" w:hAnsi="Times New Roman" w:cs="Times New Roman"/>
        </w:rPr>
        <w:t>Európskeho parlamentu a Rady 2002/87/</w:t>
      </w:r>
      <w:r>
        <w:rPr>
          <w:rFonts w:ascii="Times New Roman" w:hAnsi="Times New Roman" w:cs="Times New Roman"/>
          <w:color w:val="auto"/>
          <w:szCs w:val="24"/>
        </w:rPr>
        <w:t xml:space="preserve">ES zo 16. decembra 2002 o doplňujúcom dohľade nad úverovými ústavmi, poisťovňami a investičnými firmami vo finančnom konglomeráte, ktorou sa menia a dopĺňajú smernice Rady 73/239/EHS, 79/267/EHS, 92/49/EHS, 92/96/EHS, 93/6/EHS a 93/22/EHS a smernice 98/78/ES a 2000/12/ES Európskeho parlamentu a Rady </w:t>
      </w:r>
      <w:r>
        <w:rPr>
          <w:rFonts w:ascii="Times New Roman" w:hAnsi="Times New Roman" w:cs="Times New Roman"/>
        </w:rPr>
        <w:t>(Úradný vestník Európskych spoločenstie</w:t>
      </w:r>
      <w:r>
        <w:rPr>
          <w:rFonts w:ascii="Times New Roman" w:hAnsi="Times New Roman" w:cs="Times New Roman"/>
        </w:rPr>
        <w:t>v L 345 z 19.12.2002).</w:t>
      </w:r>
    </w:p>
    <w:p>
      <w:pPr>
        <w:pStyle w:val="BodyText"/>
        <w:rPr>
          <w:rFonts w:ascii="Times New Roman" w:hAnsi="Times New Roman" w:cs="Times New Roman"/>
          <w:sz w:val="24"/>
          <w:szCs w:val="24"/>
          <w:lang w:val="sk-SK"/>
        </w:rPr>
      </w:pPr>
    </w:p>
    <w:p>
      <w:pPr>
        <w:pStyle w:val="BodyText"/>
        <w:tabs>
          <w:tab w:val="left" w:pos="-1418"/>
        </w:tabs>
        <w:jc w:val="both"/>
        <w:rPr>
          <w:rFonts w:ascii="Times New Roman" w:hAnsi="Times New Roman" w:cs="Times New Roman"/>
          <w:b/>
          <w:bCs/>
          <w:sz w:val="24"/>
          <w:lang w:val="sk-SK"/>
        </w:rPr>
      </w:pPr>
      <w:r>
        <w:rPr>
          <w:rFonts w:ascii="Times New Roman" w:hAnsi="Times New Roman" w:cs="Times New Roman"/>
          <w:b/>
          <w:bCs/>
          <w:sz w:val="24"/>
          <w:lang w:val="sk-SK"/>
        </w:rPr>
        <w:t>K Čl. II</w:t>
      </w:r>
    </w:p>
    <w:p>
      <w:pPr>
        <w:pStyle w:val="BodyText"/>
        <w:tabs>
          <w:tab w:val="left" w:pos="-1418"/>
        </w:tabs>
        <w:jc w:val="both"/>
        <w:rPr>
          <w:rFonts w:ascii="Times New Roman" w:hAnsi="Times New Roman" w:cs="Times New Roman"/>
          <w:sz w:val="24"/>
          <w:lang w:val="sk-SK"/>
        </w:rPr>
      </w:pPr>
    </w:p>
    <w:p>
      <w:pPr>
        <w:pStyle w:val="BodyText"/>
        <w:jc w:val="both"/>
        <w:rPr>
          <w:rFonts w:ascii="Times New Roman" w:hAnsi="Times New Roman" w:cs="Times New Roman"/>
          <w:sz w:val="24"/>
          <w:szCs w:val="24"/>
          <w:lang w:val="sk-SK"/>
        </w:rPr>
      </w:pPr>
      <w:r>
        <w:rPr>
          <w:rFonts w:ascii="Times New Roman" w:hAnsi="Times New Roman" w:cs="Times New Roman"/>
          <w:sz w:val="24"/>
          <w:lang w:val="sk-SK"/>
        </w:rPr>
        <w:tab/>
        <w:t xml:space="preserve">Tento článok umožňuje informačnému stredisku Slovenskej kacelárie poisťovateľov poskytnúť údaje (meno a adresu) o likvidačných zástupcoch informačným strediskám členských štátov a preberá sa ním  čl. 5 bod 2 Štvrtej smernice o poistení motorových vozidiel (smernica č. 2000/26/ES). </w:t>
      </w:r>
      <w:r>
        <w:rPr>
          <w:rFonts w:ascii="Times New Roman" w:hAnsi="Times New Roman" w:cs="Times New Roman"/>
          <w:sz w:val="24"/>
          <w:szCs w:val="24"/>
          <w:lang w:val="sk-SK"/>
        </w:rPr>
        <w:t>Návrh zákona sa dopĺňa o prílohu, ktorej obsahom je zoznam preberaných záväzných aktov Európskych spoločenstiev a Európskej únie.</w:t>
      </w:r>
    </w:p>
    <w:p>
      <w:pPr>
        <w:pStyle w:val="BodyText"/>
        <w:tabs>
          <w:tab w:val="left" w:pos="-1418"/>
        </w:tabs>
        <w:jc w:val="both"/>
        <w:rPr>
          <w:rFonts w:ascii="Times New Roman" w:hAnsi="Times New Roman" w:cs="Times New Roman"/>
          <w:sz w:val="24"/>
          <w:lang w:val="sk-SK"/>
        </w:rPr>
      </w:pPr>
    </w:p>
    <w:p>
      <w:pPr>
        <w:pStyle w:val="BodyText"/>
        <w:tabs>
          <w:tab w:val="left" w:pos="-1418"/>
        </w:tabs>
        <w:jc w:val="both"/>
        <w:rPr>
          <w:rFonts w:ascii="Times New Roman" w:hAnsi="Times New Roman" w:cs="Times New Roman"/>
          <w:sz w:val="24"/>
          <w:lang w:val="sk-SK"/>
        </w:rPr>
      </w:pPr>
    </w:p>
    <w:p>
      <w:pPr>
        <w:pStyle w:val="BodyText"/>
        <w:tabs>
          <w:tab w:val="left" w:pos="-1418"/>
        </w:tabs>
        <w:jc w:val="both"/>
        <w:rPr>
          <w:rFonts w:ascii="Times New Roman" w:hAnsi="Times New Roman" w:cs="Times New Roman"/>
          <w:b/>
          <w:bCs/>
          <w:sz w:val="24"/>
          <w:lang w:val="sk-SK"/>
        </w:rPr>
      </w:pPr>
      <w:r>
        <w:rPr>
          <w:rFonts w:ascii="Times New Roman" w:hAnsi="Times New Roman" w:cs="Times New Roman"/>
          <w:b/>
          <w:bCs/>
          <w:sz w:val="24"/>
          <w:lang w:val="sk-SK"/>
        </w:rPr>
        <w:t>K Čl. III</w:t>
      </w:r>
    </w:p>
    <w:p>
      <w:pPr>
        <w:pStyle w:val="BodyText"/>
        <w:tabs>
          <w:tab w:val="left" w:pos="-1418"/>
        </w:tabs>
        <w:jc w:val="both"/>
        <w:rPr>
          <w:rFonts w:ascii="Times New Roman" w:hAnsi="Times New Roman" w:cs="Times New Roman"/>
          <w:b/>
          <w:bCs/>
          <w:sz w:val="24"/>
          <w:lang w:val="sk-SK"/>
        </w:rPr>
      </w:pPr>
    </w:p>
    <w:p>
      <w:pPr>
        <w:pStyle w:val="a2"/>
        <w:spacing w:line="240" w:lineRule="auto"/>
        <w:rPr>
          <w:rFonts w:ascii="Times New Roman" w:hAnsi="Times New Roman" w:cs="Times New Roman"/>
          <w:b/>
          <w:bCs/>
          <w:lang w:val="sk-SK"/>
        </w:rPr>
      </w:pPr>
      <w:r>
        <w:rPr>
          <w:rFonts w:ascii="Times New Roman" w:hAnsi="Times New Roman" w:cs="Times New Roman"/>
          <w:lang w:val="sk-SK"/>
        </w:rPr>
        <w:tab/>
        <w:t>Vzhľadom na skutočnosť, že rozsiahlosť predmetného návrhu zákona v ktorom sa menia a dopĺňajú ustanovenia platného zákona navrhuje sa, aby predseda Národnej rady Slovenskej republiky bol splnomocnený v Zbierke zákonov SR na vyhlásenie úplného znenia zákona č. 95/2002 Z. z. o poisťovníctve a o zmene a dopln</w:t>
      </w:r>
      <w:r>
        <w:rPr>
          <w:rFonts w:ascii="Times New Roman" w:hAnsi="Times New Roman" w:cs="Times New Roman"/>
          <w:lang w:val="sk-SK"/>
        </w:rPr>
        <w:t>ení niektorých zákonov v znení neskorších predpisov.</w:t>
      </w:r>
      <w:r>
        <w:rPr>
          <w:rFonts w:ascii="Times New Roman" w:hAnsi="Times New Roman" w:cs="Times New Roman"/>
          <w:b/>
          <w:bCs/>
          <w:lang w:val="sk-SK"/>
        </w:rPr>
        <w:t xml:space="preserve"> </w:t>
      </w:r>
    </w:p>
    <w:p>
      <w:pPr>
        <w:pStyle w:val="BodyText"/>
        <w:tabs>
          <w:tab w:val="left" w:pos="-1418"/>
        </w:tabs>
        <w:jc w:val="both"/>
        <w:rPr>
          <w:rFonts w:ascii="Times New Roman" w:hAnsi="Times New Roman" w:cs="Times New Roman"/>
          <w:b/>
          <w:bCs/>
          <w:sz w:val="24"/>
          <w:lang w:val="sk-SK"/>
        </w:rPr>
      </w:pPr>
    </w:p>
    <w:p>
      <w:pPr>
        <w:pStyle w:val="BodyText"/>
        <w:tabs>
          <w:tab w:val="left" w:pos="-1418"/>
        </w:tabs>
        <w:jc w:val="both"/>
        <w:rPr>
          <w:rFonts w:ascii="Times New Roman" w:hAnsi="Times New Roman" w:cs="Times New Roman"/>
          <w:b/>
          <w:bCs/>
          <w:sz w:val="24"/>
          <w:lang w:val="sk-SK"/>
        </w:rPr>
      </w:pPr>
    </w:p>
    <w:p>
      <w:pPr>
        <w:pStyle w:val="BodyText"/>
        <w:tabs>
          <w:tab w:val="left" w:pos="-1418"/>
        </w:tabs>
        <w:jc w:val="both"/>
        <w:rPr>
          <w:rFonts w:ascii="Times New Roman" w:hAnsi="Times New Roman" w:cs="Times New Roman"/>
          <w:b/>
          <w:bCs/>
          <w:sz w:val="24"/>
          <w:lang w:val="sk-SK"/>
        </w:rPr>
      </w:pPr>
    </w:p>
    <w:p>
      <w:pPr>
        <w:pStyle w:val="BodyText"/>
        <w:tabs>
          <w:tab w:val="left" w:pos="-1418"/>
        </w:tabs>
        <w:jc w:val="both"/>
        <w:rPr>
          <w:rFonts w:ascii="Times New Roman" w:hAnsi="Times New Roman" w:cs="Times New Roman"/>
          <w:b/>
          <w:bCs/>
          <w:sz w:val="24"/>
          <w:lang w:val="sk-SK"/>
        </w:rPr>
      </w:pPr>
      <w:r>
        <w:rPr>
          <w:rFonts w:ascii="Times New Roman" w:hAnsi="Times New Roman" w:cs="Times New Roman"/>
          <w:b/>
          <w:bCs/>
          <w:sz w:val="24"/>
          <w:lang w:val="sk-SK"/>
        </w:rPr>
        <w:t>K Čl. IV</w:t>
      </w:r>
    </w:p>
    <w:p>
      <w:pPr>
        <w:pStyle w:val="BodyText"/>
        <w:tabs>
          <w:tab w:val="left" w:pos="-1418"/>
        </w:tabs>
        <w:jc w:val="both"/>
        <w:rPr>
          <w:rFonts w:ascii="Times New Roman" w:hAnsi="Times New Roman" w:cs="Times New Roman"/>
          <w:b/>
          <w:bCs/>
          <w:sz w:val="24"/>
          <w:lang w:val="sk-SK"/>
        </w:rPr>
      </w:pPr>
    </w:p>
    <w:p>
      <w:pPr>
        <w:pStyle w:val="BodyText"/>
        <w:tabs>
          <w:tab w:val="left" w:pos="-1418"/>
        </w:tabs>
        <w:jc w:val="both"/>
        <w:rPr>
          <w:rFonts w:ascii="Times New Roman" w:hAnsi="Times New Roman" w:cs="Times New Roman"/>
          <w:sz w:val="24"/>
          <w:lang w:val="sk-SK"/>
        </w:rPr>
      </w:pPr>
      <w:r>
        <w:rPr>
          <w:rFonts w:ascii="Times New Roman" w:hAnsi="Times New Roman" w:cs="Times New Roman"/>
          <w:b/>
          <w:bCs/>
          <w:sz w:val="24"/>
          <w:lang w:val="sk-SK"/>
        </w:rPr>
        <w:tab/>
      </w:r>
      <w:r>
        <w:rPr>
          <w:rFonts w:ascii="Times New Roman" w:hAnsi="Times New Roman" w:cs="Times New Roman"/>
          <w:sz w:val="24"/>
          <w:lang w:val="sk-SK"/>
        </w:rPr>
        <w:t>Účinnosť zákona sa navrhuje 1. januára  2005.</w:t>
      </w:r>
    </w:p>
    <w:p>
      <w:pPr>
        <w:pStyle w:val="BodyText"/>
        <w:tabs>
          <w:tab w:val="left" w:pos="-1418"/>
        </w:tabs>
        <w:jc w:val="both"/>
        <w:rPr>
          <w:rFonts w:ascii="Times New Roman" w:hAnsi="Times New Roman" w:cs="Times New Roman"/>
          <w:sz w:val="24"/>
          <w:lang w:val="sk-SK"/>
        </w:rPr>
      </w:pPr>
    </w:p>
    <w:p>
      <w:pPr>
        <w:pStyle w:val="BodyText"/>
        <w:tabs>
          <w:tab w:val="left" w:pos="-1418"/>
        </w:tabs>
        <w:jc w:val="both"/>
        <w:rPr>
          <w:rFonts w:ascii="Times New Roman" w:hAnsi="Times New Roman" w:cs="Times New Roman"/>
          <w:sz w:val="24"/>
          <w:lang w:val="sk-SK"/>
        </w:rPr>
      </w:pPr>
    </w:p>
    <w:p>
      <w:pPr>
        <w:pStyle w:val="BodyText"/>
        <w:tabs>
          <w:tab w:val="left" w:pos="-1418"/>
        </w:tabs>
        <w:jc w:val="both"/>
        <w:rPr>
          <w:rFonts w:ascii="Times New Roman" w:hAnsi="Times New Roman" w:cs="Times New Roman"/>
          <w:sz w:val="24"/>
          <w:lang w:val="sk-SK"/>
        </w:rPr>
      </w:pPr>
    </w:p>
    <w:p>
      <w:pPr>
        <w:pStyle w:val="BodyText"/>
        <w:tabs>
          <w:tab w:val="left" w:pos="-1418"/>
        </w:tabs>
        <w:jc w:val="both"/>
        <w:rPr>
          <w:rFonts w:ascii="Times New Roman" w:hAnsi="Times New Roman" w:cs="Times New Roman"/>
          <w:sz w:val="24"/>
          <w:lang w:val="sk-SK"/>
        </w:rPr>
      </w:pPr>
    </w:p>
    <w:p>
      <w:pPr>
        <w:pStyle w:val="BodyText"/>
        <w:rPr>
          <w:rFonts w:ascii="Times New Roman" w:hAnsi="Times New Roman" w:cs="Times New Roman"/>
          <w:sz w:val="24"/>
        </w:rPr>
      </w:pPr>
      <w:r>
        <w:rPr>
          <w:rFonts w:ascii="Times New Roman" w:hAnsi="Times New Roman" w:cs="Times New Roman"/>
          <w:sz w:val="24"/>
        </w:rPr>
        <w:t>V Bratislave 24. júna 2004</w:t>
      </w:r>
    </w:p>
    <w:p>
      <w:pPr>
        <w:pStyle w:val="BodyText"/>
        <w:ind w:firstLine="708"/>
        <w:rPr>
          <w:rFonts w:ascii="Times New Roman" w:hAnsi="Times New Roman" w:cs="Times New Roman"/>
          <w:sz w:val="24"/>
        </w:rPr>
      </w:pPr>
    </w:p>
    <w:p>
      <w:pPr>
        <w:pStyle w:val="BodyText"/>
        <w:ind w:firstLine="708"/>
        <w:rPr>
          <w:rFonts w:ascii="Times New Roman" w:hAnsi="Times New Roman" w:cs="Times New Roman"/>
          <w:sz w:val="24"/>
        </w:rPr>
      </w:pPr>
    </w:p>
    <w:p>
      <w:pPr>
        <w:pStyle w:val="BodyText"/>
        <w:ind w:left="4248" w:firstLine="708"/>
        <w:rPr>
          <w:rFonts w:ascii="Times New Roman" w:hAnsi="Times New Roman" w:cs="Times New Roman"/>
          <w:b/>
          <w:bCs/>
          <w:sz w:val="24"/>
        </w:rPr>
      </w:pPr>
    </w:p>
    <w:p>
      <w:pPr>
        <w:pStyle w:val="BodyText"/>
        <w:ind w:left="4248" w:firstLine="708"/>
        <w:rPr>
          <w:rFonts w:ascii="Times New Roman" w:hAnsi="Times New Roman" w:cs="Times New Roman"/>
          <w:b/>
          <w:bCs/>
          <w:sz w:val="24"/>
        </w:rPr>
      </w:pPr>
    </w:p>
    <w:p>
      <w:pPr>
        <w:pStyle w:val="BodyText"/>
        <w:ind w:left="4248" w:firstLine="708"/>
        <w:rPr>
          <w:rFonts w:ascii="Times New Roman" w:hAnsi="Times New Roman" w:cs="Times New Roman"/>
          <w:b/>
          <w:bCs/>
          <w:sz w:val="24"/>
        </w:rPr>
      </w:pPr>
    </w:p>
    <w:p>
      <w:pPr>
        <w:pStyle w:val="BodyText"/>
        <w:ind w:left="4248" w:firstLine="708"/>
        <w:rPr>
          <w:rFonts w:ascii="Times New Roman" w:hAnsi="Times New Roman" w:cs="Times New Roman"/>
          <w:b/>
          <w:bCs/>
          <w:sz w:val="24"/>
        </w:rPr>
      </w:pPr>
      <w:r>
        <w:rPr>
          <w:rFonts w:ascii="Times New Roman" w:hAnsi="Times New Roman" w:cs="Times New Roman"/>
          <w:b/>
          <w:bCs/>
          <w:sz w:val="24"/>
        </w:rPr>
        <w:t>Mikuláš Dzurinda v. r.</w:t>
      </w:r>
    </w:p>
    <w:p>
      <w:pPr>
        <w:pStyle w:val="BodyText"/>
        <w:ind w:firstLine="708"/>
        <w:rPr>
          <w:rFonts w:ascii="Times New Roman" w:hAnsi="Times New Roman" w:cs="Times New Roman"/>
          <w:sz w:val="24"/>
        </w:rPr>
      </w:pPr>
      <w:r>
        <w:rPr>
          <w:rFonts w:ascii="Times New Roman" w:hAnsi="Times New Roman" w:cs="Times New Roman"/>
          <w:sz w:val="24"/>
        </w:rPr>
        <w:t>´                                                       predseda vlády Slovenskej r</w:t>
      </w:r>
      <w:r>
        <w:rPr>
          <w:rFonts w:ascii="Times New Roman" w:hAnsi="Times New Roman" w:cs="Times New Roman"/>
          <w:sz w:val="24"/>
        </w:rPr>
        <w:t>epubliky</w:t>
      </w:r>
    </w:p>
    <w:p>
      <w:pPr>
        <w:pStyle w:val="a2"/>
        <w:rPr>
          <w:rFonts w:ascii="Times New Roman" w:hAnsi="Times New Roman" w:cs="Times New Roman"/>
          <w:b/>
          <w:bCs/>
        </w:rPr>
      </w:pPr>
    </w:p>
    <w:p>
      <w:pPr>
        <w:pStyle w:val="a2"/>
        <w:rPr>
          <w:rFonts w:ascii="Times New Roman" w:hAnsi="Times New Roman" w:cs="Times New Roman"/>
          <w:b/>
          <w:bCs/>
        </w:rPr>
      </w:pPr>
    </w:p>
    <w:p>
      <w:pPr>
        <w:pStyle w:val="a2"/>
        <w:rPr>
          <w:rFonts w:ascii="Times New Roman" w:hAnsi="Times New Roman" w:cs="Times New Roman"/>
          <w:b/>
          <w:bCs/>
        </w:rPr>
      </w:pPr>
    </w:p>
    <w:p>
      <w:pPr>
        <w:pStyle w:val="BodyText"/>
        <w:ind w:left="4956"/>
        <w:rPr>
          <w:rFonts w:ascii="Times New Roman" w:hAnsi="Times New Roman" w:cs="Times New Roman"/>
          <w:b/>
          <w:bCs/>
          <w:sz w:val="24"/>
        </w:rPr>
      </w:pPr>
      <w:r>
        <w:rPr>
          <w:rFonts w:ascii="Times New Roman" w:hAnsi="Times New Roman" w:cs="Times New Roman"/>
          <w:b/>
          <w:bCs/>
          <w:sz w:val="24"/>
        </w:rPr>
        <w:t xml:space="preserve">    Ivan Mikloš v. r.</w:t>
      </w:r>
    </w:p>
    <w:p>
      <w:pPr>
        <w:pStyle w:val="BodyText"/>
        <w:ind w:left="2832" w:firstLine="708"/>
        <w:rPr>
          <w:rFonts w:ascii="Times New Roman" w:hAnsi="Times New Roman" w:cs="Times New Roman"/>
          <w:sz w:val="24"/>
        </w:rPr>
      </w:pPr>
      <w:r>
        <w:rPr>
          <w:rFonts w:ascii="Times New Roman" w:hAnsi="Times New Roman" w:cs="Times New Roman"/>
          <w:sz w:val="24"/>
        </w:rPr>
        <w:t xml:space="preserve">    podpredseda vlády a minister financií SR</w:t>
      </w:r>
    </w:p>
    <w:p>
      <w:pPr>
        <w:pStyle w:val="BodyText"/>
        <w:tabs>
          <w:tab w:val="left" w:pos="-1418"/>
        </w:tabs>
        <w:jc w:val="both"/>
        <w:rPr>
          <w:rFonts w:ascii="Times New Roman" w:hAnsi="Times New Roman" w:cs="Times New Roman"/>
          <w:sz w:val="24"/>
          <w:lang w:val="sk-SK"/>
        </w:rPr>
      </w:pPr>
    </w:p>
    <w:p>
      <w:pPr>
        <w:pStyle w:val="BodyText"/>
        <w:tabs>
          <w:tab w:val="left" w:pos="-1418"/>
        </w:tabs>
        <w:ind w:firstLine="720"/>
        <w:jc w:val="both"/>
        <w:rPr>
          <w:rFonts w:ascii="Times New Roman" w:hAnsi="Times New Roman" w:cs="Times New Roman"/>
          <w:lang w:val="sk-SK"/>
        </w:rPr>
      </w:pPr>
    </w:p>
    <w:p>
      <w:pPr>
        <w:rPr>
          <w:rFonts w:ascii="Times New Roman" w:hAnsi="Times New Roman" w:cs="Times New Roman"/>
        </w:rPr>
      </w:pPr>
    </w:p>
    <w:p>
      <w:pPr>
        <w:pStyle w:val="Footer"/>
        <w:tabs>
          <w:tab w:val="clear" w:pos="4536"/>
          <w:tab w:val="clear" w:pos="9072"/>
        </w:tabs>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9</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left"/>
      <w:outlineLvl w:val="0"/>
    </w:pPr>
    <w:rPr>
      <w:b/>
      <w:bCs/>
      <w:sz w:val="28"/>
    </w:rPr>
  </w:style>
  <w:style w:type="paragraph" w:styleId="Heading2">
    <w:name w:val="heading 2"/>
    <w:basedOn w:val="Normal"/>
    <w:next w:val="Normal"/>
    <w:uiPriority w:val="9"/>
    <w:qFormat/>
    <w:pPr>
      <w:keepNext/>
      <w:jc w:val="both"/>
      <w:outlineLvl w:val="1"/>
    </w:pPr>
    <w:rPr>
      <w:b/>
      <w:bCs/>
    </w:rPr>
  </w:style>
  <w:style w:type="character" w:default="1" w:styleId="DefaultParagraphFont">
    <w:name w:val="Default Paragraph Font"/>
    <w:semiHidden/>
  </w:style>
  <w:style w:type="paragraph" w:styleId="Title">
    <w:name w:val="Title"/>
    <w:basedOn w:val="Normal"/>
    <w:uiPriority w:val="10"/>
    <w:qFormat/>
    <w:pPr>
      <w:jc w:val="center"/>
    </w:pPr>
    <w:rPr>
      <w:b/>
      <w:bCs/>
      <w:sz w:val="32"/>
    </w:rPr>
  </w:style>
  <w:style w:type="paragraph" w:styleId="BodyText">
    <w:name w:val="Body Text"/>
    <w:basedOn w:val="Normal"/>
    <w:pPr>
      <w:autoSpaceDE/>
      <w:autoSpaceDN/>
      <w:jc w:val="left"/>
    </w:pPr>
    <w:rPr>
      <w:color w:val="000000"/>
      <w:sz w:val="20"/>
      <w:szCs w:val="20"/>
      <w:lang w:val="cs-CZ"/>
    </w:rPr>
  </w:style>
  <w:style w:type="paragraph" w:styleId="BodyText2">
    <w:name w:val="Body Text 2"/>
    <w:basedOn w:val="Normal"/>
    <w:pPr>
      <w:jc w:val="both"/>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customStyle="1" w:styleId="a2">
    <w:name w:val="a)2"/>
    <w:basedOn w:val="Normal"/>
    <w:pPr>
      <w:spacing w:line="360" w:lineRule="auto"/>
      <w:jc w:val="both"/>
    </w:pPr>
    <w:rPr>
      <w:szCs w:val="20"/>
      <w:lang w:val="cs-CZ"/>
    </w:rPr>
  </w:style>
  <w:style w:type="paragraph" w:styleId="BodyTextIndent">
    <w:name w:val="Body Text Indent"/>
    <w:basedOn w:val="Normal"/>
    <w:pPr>
      <w:ind w:firstLine="708"/>
      <w:jc w:val="both"/>
    </w:pPr>
    <w:rPr>
      <w:b/>
      <w:bCs/>
    </w:rPr>
  </w:style>
  <w:style w:type="paragraph" w:styleId="BodyText3">
    <w:name w:val="Body Text 3"/>
    <w:basedOn w:val="Normal"/>
    <w:pPr>
      <w:jc w:val="both"/>
    </w:pPr>
    <w:rPr>
      <w:b/>
      <w:bCs/>
    </w:rPr>
  </w:style>
  <w:style w:type="paragraph" w:customStyle="1" w:styleId="Zkladntext">
    <w:name w:val="Základní text"/>
    <w:pPr>
      <w:widowControl w:val="0"/>
      <w:autoSpaceDE w:val="0"/>
      <w:autoSpaceDN w:val="0"/>
      <w:bidi w:val="0"/>
      <w:adjustRightInd w:val="0"/>
      <w:ind w:left="0" w:right="0"/>
      <w:jc w:val="left"/>
      <w:textAlignment w:val="auto"/>
    </w:pPr>
    <w:rPr>
      <w:color w:val="000000"/>
      <w:sz w:val="24"/>
      <w:szCs w:val="20"/>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Pages>
  <Words>3233</Words>
  <Characters>18433</Characters>
  <Application>Microsoft Office Word</Application>
  <DocSecurity>0</DocSecurity>
  <Lines>0</Lines>
  <Paragraphs>0</Paragraphs>
  <ScaleCrop>false</ScaleCrop>
  <Company/>
  <LinksUpToDate>false</LinksUpToDate>
  <CharactersWithSpaces>22637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Osobitná časť</dc:title>
  <dc:creator>Daša Kučerová</dc:creator>
  <cp:lastModifiedBy>Daša Kučerová</cp:lastModifiedBy>
  <cp:revision>2</cp:revision>
  <cp:lastPrinted>2004-06-24T07:33:00Z</cp:lastPrinted>
  <dcterms:created xsi:type="dcterms:W3CDTF">2004-06-24T10:24:00Z</dcterms:created>
  <dcterms:modified xsi:type="dcterms:W3CDTF">2004-06-24T10:24:00Z</dcterms:modified>
</cp:coreProperties>
</file>