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Times New Roman" w:hAnsi="Times New Roman" w:cs="Times New Roman"/>
          <w:b/>
          <w:szCs w:val="24"/>
          <w:lang w:val="sk-SK"/>
        </w:rPr>
      </w:pPr>
      <w:r>
        <w:rPr>
          <w:rFonts w:ascii="Times New Roman" w:hAnsi="Times New Roman" w:cs="Times New Roman"/>
          <w:b/>
          <w:szCs w:val="24"/>
          <w:lang w:val="sk-SK"/>
        </w:rPr>
        <w:t>TABUĽKA ZHODY</w:t>
      </w:r>
    </w:p>
    <w:p>
      <w:pPr>
        <w:jc w:val="center"/>
        <w:rPr>
          <w:rFonts w:ascii="Times New Roman" w:hAnsi="Times New Roman" w:cs="Times New Roman"/>
          <w:b/>
          <w:szCs w:val="24"/>
          <w:lang w:val="sk-SK"/>
        </w:rPr>
      </w:pPr>
      <w:r>
        <w:rPr>
          <w:rFonts w:ascii="Times New Roman" w:hAnsi="Times New Roman" w:cs="Times New Roman"/>
          <w:b/>
          <w:szCs w:val="24"/>
          <w:lang w:val="sk-SK"/>
        </w:rPr>
        <w:t>k návrhu zákona, ktorým sa mení a dopĺňa zákon č. 431/2002 Z.z. o účtovníctve v znení zákona č. 562/2003 Z.z. s právom Európskych spoločenstiev a  právom Európskej únie</w:t>
      </w:r>
    </w:p>
    <w:tbl>
      <w:tblPr>
        <w:tblW w:w="14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354"/>
        <w:gridCol w:w="5245"/>
        <w:gridCol w:w="425"/>
        <w:gridCol w:w="567"/>
        <w:gridCol w:w="709"/>
        <w:gridCol w:w="4394"/>
        <w:gridCol w:w="425"/>
        <w:gridCol w:w="869"/>
        <w:gridCol w:w="992"/>
        <w:gridCol w:w="992"/>
      </w:tblGrid>
      <w:tr>
        <w:tblPrEx>
          <w:tblW w:w="14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1011"/>
        </w:trPr>
        <w:tc>
          <w:tcPr>
            <w:tcW w:w="6024"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szCs w:val="24"/>
              </w:rPr>
            </w:pPr>
            <w:r>
              <w:rPr>
                <w:rFonts w:ascii="Times New Roman" w:hAnsi="Times New Roman" w:cs="Times New Roman"/>
                <w:szCs w:val="24"/>
              </w:rPr>
              <w:t>Právny akt EÚ/ES</w:t>
            </w:r>
          </w:p>
          <w:p>
            <w:pPr>
              <w:pStyle w:val="Heading2"/>
              <w:jc w:val="left"/>
              <w:rPr>
                <w:rFonts w:ascii="Times New Roman" w:hAnsi="Times New Roman" w:cs="Times New Roman"/>
                <w:szCs w:val="24"/>
              </w:rPr>
            </w:pPr>
            <w:r>
              <w:rPr>
                <w:rFonts w:ascii="Times New Roman" w:hAnsi="Times New Roman" w:cs="Times New Roman"/>
                <w:szCs w:val="24"/>
              </w:rPr>
              <w:t>Smernica Rady  2001/65/ES z 28. júna 2001 doplňujúca ustanovenia článku 26 Dohovoru vykonávajúceho Schengenskú dohodu zo 14. júna 1985</w:t>
            </w:r>
          </w:p>
        </w:tc>
        <w:tc>
          <w:tcPr>
            <w:tcW w:w="8948"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Všeobecne záväzné právne predpisy SR</w:t>
            </w:r>
          </w:p>
          <w:p>
            <w:pPr>
              <w:rPr>
                <w:rFonts w:ascii="Times New Roman" w:hAnsi="Times New Roman" w:cs="Times New Roman"/>
                <w:b/>
                <w:szCs w:val="24"/>
                <w:lang w:val="sk-SK"/>
              </w:rPr>
            </w:pPr>
            <w:r>
              <w:rPr>
                <w:rFonts w:ascii="Times New Roman" w:hAnsi="Times New Roman" w:cs="Times New Roman"/>
                <w:b/>
                <w:szCs w:val="24"/>
                <w:lang w:val="sk-SK"/>
              </w:rPr>
              <w:t>Návrh zákona, ktorým sa mení a dopĺňa zákon č. 431/2002 Z.z. o účtovníctve v znení zákona č. 562/2003 Z.z.</w:t>
            </w:r>
          </w:p>
          <w:p>
            <w:pPr>
              <w:rPr>
                <w:rFonts w:ascii="Times New Roman" w:hAnsi="Times New Roman" w:cs="Times New Roman"/>
                <w:b/>
                <w:szCs w:val="24"/>
                <w:lang w:val="sk-SK"/>
              </w:rPr>
            </w:pPr>
            <w:r>
              <w:rPr>
                <w:rFonts w:ascii="Times New Roman" w:hAnsi="Times New Roman" w:cs="Times New Roman"/>
                <w:b/>
                <w:szCs w:val="24"/>
                <w:lang w:val="sk-SK"/>
              </w:rPr>
              <w:t>Zákon č. 431/2002 Z.z. o účtovníctve v znení zákona č. 562/2003 Z.z.</w:t>
            </w:r>
          </w:p>
        </w:tc>
      </w:tr>
      <w:tr>
        <w:tblPrEx>
          <w:tblW w:w="14972"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szCs w:val="24"/>
                <w:lang w:val="sk-SK"/>
              </w:rPr>
              <w:t xml:space="preserve">   </w:t>
            </w:r>
            <w:r>
              <w:rPr>
                <w:rFonts w:ascii="Times New Roman" w:hAnsi="Times New Roman" w:cs="Times New Roman"/>
                <w:b/>
                <w:szCs w:val="24"/>
                <w:lang w:val="sk-SK"/>
              </w:rPr>
              <w:t>č.</w:t>
            </w:r>
          </w:p>
        </w:tc>
        <w:tc>
          <w:tcPr>
            <w:tcW w:w="524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2"/>
              <w:rPr>
                <w:rFonts w:ascii="Times New Roman" w:hAnsi="Times New Roman" w:cs="Times New Roman"/>
                <w:szCs w:val="24"/>
              </w:rPr>
            </w:pPr>
            <w:r>
              <w:rPr>
                <w:rFonts w:ascii="Times New Roman" w:hAnsi="Times New Roman" w:cs="Times New Roman"/>
                <w:szCs w:val="24"/>
              </w:rPr>
              <w:t>Text</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Spô sob trans-pozície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Číslo</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Text</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Zhoda</w:t>
            </w:r>
          </w:p>
        </w:tc>
        <w:tc>
          <w:tcPr>
            <w:tcW w:w="8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Administratívna infraštruktúra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Poznámky</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Štádium legislatívneho procesu</w:t>
            </w:r>
          </w:p>
        </w:tc>
      </w:tr>
      <w:tr>
        <w:tblPrEx>
          <w:tblW w:w="14972"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Čl.1</w:t>
            </w:r>
          </w:p>
        </w:tc>
        <w:tc>
          <w:tcPr>
            <w:tcW w:w="524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Týmto sa smernica 78/660/EHS mení a dopĺňa takto:</w:t>
            </w:r>
          </w:p>
          <w:p>
            <w:pPr>
              <w:numPr>
                <w:ilvl w:val="0"/>
                <w:numId w:val="7"/>
              </w:numPr>
              <w:tabs>
                <w:tab w:val="left" w:pos="72"/>
                <w:tab w:val="clear" w:pos="360"/>
              </w:tabs>
              <w:jc w:val="both"/>
              <w:rPr>
                <w:rFonts w:ascii="Times New Roman" w:hAnsi="Times New Roman" w:cs="Times New Roman"/>
                <w:szCs w:val="24"/>
                <w:lang w:val="sk-SK"/>
              </w:rPr>
            </w:pPr>
            <w:r>
              <w:rPr>
                <w:rFonts w:ascii="Times New Roman" w:hAnsi="Times New Roman" w:cs="Times New Roman"/>
                <w:szCs w:val="24"/>
                <w:lang w:val="sk-SK"/>
              </w:rPr>
              <w:t>vkladá sa tento oddiel:</w:t>
            </w:r>
          </w:p>
          <w:p>
            <w:pPr>
              <w:jc w:val="both"/>
              <w:rPr>
                <w:rFonts w:ascii="Times New Roman" w:hAnsi="Times New Roman" w:cs="Times New Roman"/>
                <w:szCs w:val="24"/>
                <w:lang w:val="sk-SK"/>
              </w:rPr>
            </w:pPr>
            <w:r>
              <w:rPr>
                <w:rFonts w:ascii="Times New Roman" w:hAnsi="Times New Roman" w:cs="Times New Roman"/>
                <w:szCs w:val="24"/>
                <w:lang w:val="sk-SK"/>
              </w:rPr>
              <w:t>„ ODDIEL</w:t>
            </w:r>
            <w:r>
              <w:rPr>
                <w:rFonts w:ascii="Times New Roman" w:hAnsi="Times New Roman" w:cs="Times New Roman"/>
                <w:szCs w:val="24"/>
                <w:lang w:val="sk-SK"/>
              </w:rPr>
              <w:t xml:space="preserve"> 7a</w:t>
            </w:r>
          </w:p>
          <w:p>
            <w:pPr>
              <w:pStyle w:val="Heading2"/>
              <w:jc w:val="left"/>
              <w:rPr>
                <w:rFonts w:ascii="Times New Roman" w:hAnsi="Times New Roman" w:cs="Times New Roman"/>
                <w:szCs w:val="24"/>
              </w:rPr>
            </w:pPr>
            <w:r>
              <w:rPr>
                <w:rFonts w:ascii="Times New Roman" w:hAnsi="Times New Roman" w:cs="Times New Roman"/>
                <w:szCs w:val="24"/>
              </w:rPr>
              <w:t>Oceňovanie v objektívnych cenách</w:t>
            </w:r>
          </w:p>
          <w:p>
            <w:pPr>
              <w:pStyle w:val="Heading3"/>
              <w:spacing w:after="0" w:line="240" w:lineRule="auto"/>
              <w:ind w:left="0"/>
              <w:rPr>
                <w:rFonts w:ascii="Times New Roman" w:hAnsi="Times New Roman" w:cs="Times New Roman"/>
                <w:szCs w:val="24"/>
              </w:rPr>
            </w:pPr>
            <w:r>
              <w:rPr>
                <w:rFonts w:ascii="Times New Roman" w:hAnsi="Times New Roman" w:cs="Times New Roman"/>
                <w:szCs w:val="24"/>
              </w:rPr>
              <w:t>Článok 42a</w:t>
            </w:r>
          </w:p>
          <w:p>
            <w:pPr>
              <w:pStyle w:val="BodyTextIndent"/>
              <w:spacing w:after="0" w:line="240" w:lineRule="auto"/>
              <w:ind w:left="0"/>
              <w:rPr>
                <w:rFonts w:ascii="Times New Roman" w:hAnsi="Times New Roman" w:cs="Times New Roman"/>
                <w:szCs w:val="24"/>
              </w:rPr>
            </w:pPr>
            <w:r>
              <w:rPr>
                <w:rFonts w:ascii="Times New Roman" w:hAnsi="Times New Roman" w:cs="Times New Roman"/>
                <w:szCs w:val="24"/>
              </w:rPr>
              <w:t>1.  Ako výnimka z článku 32 a podliehajúc podmienkam stanoveným v odsekoch 2 až 4 tohto článku, členské štáty povolia alebo vyžadujú s ohľadom na všetky spoločnosti alebo akékoľvek triedy spoločností oceňovanie finančných nástrojov, vrátane derivátov,  v objektívnych cenách.</w:t>
            </w:r>
          </w:p>
          <w:p>
            <w:pPr>
              <w:jc w:val="both"/>
              <w:rPr>
                <w:rFonts w:ascii="Times New Roman" w:hAnsi="Times New Roman" w:cs="Times New Roman"/>
                <w:szCs w:val="24"/>
                <w:lang w:val="sk-SK"/>
              </w:rPr>
            </w:pPr>
            <w:r>
              <w:rPr>
                <w:rFonts w:ascii="Times New Roman" w:hAnsi="Times New Roman" w:cs="Times New Roman"/>
                <w:szCs w:val="24"/>
                <w:lang w:val="sk-SK"/>
              </w:rPr>
              <w:t>Toto povolenie alebo táto požiadavka sa môže obmedziť na konsolidované účty tak, ako sú definované v smernici 83/349/EHS.</w:t>
            </w:r>
          </w:p>
          <w:p>
            <w:pPr>
              <w:jc w:val="both"/>
              <w:rPr>
                <w:rFonts w:ascii="Times New Roman" w:hAnsi="Times New Roman" w:cs="Times New Roman"/>
                <w:szCs w:val="24"/>
                <w:lang w:val="sk-SK"/>
              </w:rPr>
            </w:pPr>
            <w:r>
              <w:rPr>
                <w:rFonts w:ascii="Times New Roman" w:hAnsi="Times New Roman" w:cs="Times New Roman"/>
                <w:szCs w:val="24"/>
                <w:lang w:val="sk-SK"/>
              </w:rPr>
              <w:t>2.  Pre účely tejto smernice, zmluvy na základe komodít, ktoré dávajú zmluvnej strane právo vyrovnať sa v hotovosti alebo pomocou nejakého iného finančného nástroja, sa považujú za odvodené finančné nástroje, okrem toho, keď</w:t>
            </w:r>
          </w:p>
          <w:p>
            <w:pPr>
              <w:numPr>
                <w:ilvl w:val="0"/>
                <w:numId w:val="8"/>
              </w:numPr>
              <w:tabs>
                <w:tab w:val="left" w:pos="213"/>
                <w:tab w:val="clear" w:pos="786"/>
              </w:tabs>
              <w:ind w:left="355" w:hanging="355"/>
              <w:jc w:val="both"/>
              <w:rPr>
                <w:rFonts w:ascii="Times New Roman" w:hAnsi="Times New Roman" w:cs="Times New Roman"/>
                <w:szCs w:val="24"/>
                <w:lang w:val="sk-SK"/>
              </w:rPr>
            </w:pPr>
            <w:r>
              <w:rPr>
                <w:rFonts w:ascii="Times New Roman" w:hAnsi="Times New Roman" w:cs="Times New Roman"/>
                <w:szCs w:val="24"/>
                <w:lang w:val="sk-SK"/>
              </w:rPr>
              <w:t>boli uzavreté a naďalej spĺňajú požiadavky spoločnosti na očakávaný nákup, predaj alebo používani</w:t>
            </w:r>
            <w:r>
              <w:rPr>
                <w:rFonts w:ascii="Times New Roman" w:hAnsi="Times New Roman" w:cs="Times New Roman"/>
                <w:szCs w:val="24"/>
                <w:lang w:val="sk-SK"/>
              </w:rPr>
              <w:t>e,</w:t>
            </w:r>
          </w:p>
          <w:p>
            <w:pPr>
              <w:numPr>
                <w:ilvl w:val="0"/>
                <w:numId w:val="8"/>
              </w:numPr>
              <w:tabs>
                <w:tab w:val="left" w:pos="-70"/>
                <w:tab w:val="clear" w:pos="786"/>
              </w:tabs>
              <w:ind w:left="71" w:firstLine="0"/>
              <w:jc w:val="both"/>
              <w:rPr>
                <w:rFonts w:ascii="Times New Roman" w:hAnsi="Times New Roman" w:cs="Times New Roman"/>
                <w:szCs w:val="24"/>
                <w:lang w:val="sk-SK"/>
              </w:rPr>
            </w:pPr>
            <w:r>
              <w:rPr>
                <w:rFonts w:ascii="Times New Roman" w:hAnsi="Times New Roman" w:cs="Times New Roman"/>
                <w:szCs w:val="24"/>
                <w:lang w:val="sk-SK"/>
              </w:rPr>
              <w:t>boli označené na takýto účel pri svojom zrode,</w:t>
            </w:r>
          </w:p>
          <w:p>
            <w:pPr>
              <w:numPr>
                <w:ilvl w:val="0"/>
                <w:numId w:val="8"/>
              </w:numPr>
              <w:tabs>
                <w:tab w:val="left" w:pos="-70"/>
                <w:tab w:val="clear" w:pos="786"/>
              </w:tabs>
              <w:ind w:left="213" w:hanging="142"/>
              <w:jc w:val="both"/>
              <w:rPr>
                <w:rFonts w:ascii="Times New Roman" w:hAnsi="Times New Roman" w:cs="Times New Roman"/>
                <w:szCs w:val="24"/>
                <w:lang w:val="sk-SK"/>
              </w:rPr>
            </w:pPr>
            <w:r>
              <w:rPr>
                <w:rFonts w:ascii="Times New Roman" w:hAnsi="Times New Roman" w:cs="Times New Roman"/>
                <w:szCs w:val="24"/>
                <w:lang w:val="sk-SK"/>
              </w:rPr>
              <w:t>očakáva sa, že sa splatia doručením komodity.</w:t>
            </w:r>
          </w:p>
          <w:p>
            <w:pPr>
              <w:jc w:val="both"/>
              <w:rPr>
                <w:rFonts w:ascii="Times New Roman" w:hAnsi="Times New Roman" w:cs="Times New Roman"/>
                <w:szCs w:val="24"/>
                <w:lang w:val="sk-SK"/>
              </w:rPr>
            </w:pPr>
            <w:r>
              <w:rPr>
                <w:rFonts w:ascii="Times New Roman" w:hAnsi="Times New Roman" w:cs="Times New Roman"/>
                <w:szCs w:val="24"/>
                <w:lang w:val="sk-SK"/>
              </w:rPr>
              <w:t xml:space="preserve">3.  Odsek 1 sa vzťahuje len na pasíva, ktoré </w:t>
            </w:r>
          </w:p>
          <w:p>
            <w:pPr>
              <w:numPr>
                <w:ilvl w:val="0"/>
                <w:numId w:val="9"/>
              </w:numPr>
              <w:tabs>
                <w:tab w:val="left" w:pos="213"/>
                <w:tab w:val="clear" w:pos="644"/>
              </w:tabs>
              <w:ind w:left="213" w:hanging="142"/>
              <w:jc w:val="both"/>
              <w:rPr>
                <w:rFonts w:ascii="Times New Roman" w:hAnsi="Times New Roman" w:cs="Times New Roman"/>
                <w:szCs w:val="24"/>
                <w:lang w:val="sk-SK"/>
              </w:rPr>
            </w:pPr>
            <w:r>
              <w:rPr>
                <w:rFonts w:ascii="Times New Roman" w:hAnsi="Times New Roman" w:cs="Times New Roman"/>
                <w:szCs w:val="24"/>
                <w:lang w:val="sk-SK"/>
              </w:rPr>
              <w:t>sa držia ako časť obchodného portfolia alebo</w:t>
            </w:r>
          </w:p>
          <w:p>
            <w:pPr>
              <w:numPr>
                <w:ilvl w:val="0"/>
                <w:numId w:val="9"/>
              </w:numPr>
              <w:tabs>
                <w:tab w:val="left" w:pos="213"/>
                <w:tab w:val="clear" w:pos="644"/>
              </w:tabs>
              <w:ind w:left="213" w:hanging="142"/>
              <w:jc w:val="both"/>
              <w:rPr>
                <w:rFonts w:ascii="Times New Roman" w:hAnsi="Times New Roman" w:cs="Times New Roman"/>
                <w:szCs w:val="24"/>
                <w:lang w:val="sk-SK"/>
              </w:rPr>
            </w:pPr>
            <w:r>
              <w:rPr>
                <w:rFonts w:ascii="Times New Roman" w:hAnsi="Times New Roman" w:cs="Times New Roman"/>
                <w:szCs w:val="24"/>
                <w:lang w:val="sk-SK"/>
              </w:rPr>
              <w:t>sú odvodenými finančnými nástrojmi.</w:t>
            </w:r>
          </w:p>
          <w:p>
            <w:pPr>
              <w:jc w:val="both"/>
              <w:rPr>
                <w:rFonts w:ascii="Times New Roman" w:hAnsi="Times New Roman" w:cs="Times New Roman"/>
                <w:szCs w:val="24"/>
                <w:lang w:val="sk-SK"/>
              </w:rPr>
            </w:pPr>
            <w:r>
              <w:rPr>
                <w:rFonts w:ascii="Times New Roman" w:hAnsi="Times New Roman" w:cs="Times New Roman"/>
                <w:szCs w:val="24"/>
                <w:lang w:val="sk-SK"/>
              </w:rPr>
              <w:t>4. Oceňovanie podľa odseku 1 sa nevzťahuje na:</w:t>
            </w:r>
          </w:p>
          <w:p>
            <w:pPr>
              <w:numPr>
                <w:ilvl w:val="0"/>
                <w:numId w:val="10"/>
              </w:numPr>
              <w:tabs>
                <w:tab w:val="left" w:pos="0"/>
                <w:tab w:val="clear" w:pos="502"/>
              </w:tabs>
              <w:ind w:left="71" w:firstLine="0"/>
              <w:jc w:val="both"/>
              <w:rPr>
                <w:rFonts w:ascii="Times New Roman" w:hAnsi="Times New Roman" w:cs="Times New Roman"/>
                <w:szCs w:val="24"/>
                <w:lang w:val="sk-SK"/>
              </w:rPr>
            </w:pPr>
            <w:r>
              <w:rPr>
                <w:rFonts w:ascii="Times New Roman" w:hAnsi="Times New Roman" w:cs="Times New Roman"/>
                <w:szCs w:val="24"/>
                <w:lang w:val="sk-SK"/>
              </w:rPr>
              <w:t>základné finančné nástroje držané do doby splatnosti,</w:t>
            </w:r>
          </w:p>
          <w:p>
            <w:pPr>
              <w:numPr>
                <w:ilvl w:val="0"/>
                <w:numId w:val="10"/>
              </w:numPr>
              <w:tabs>
                <w:tab w:val="left" w:pos="0"/>
                <w:tab w:val="clear" w:pos="502"/>
              </w:tabs>
              <w:ind w:left="71" w:firstLine="0"/>
              <w:jc w:val="both"/>
              <w:rPr>
                <w:rFonts w:ascii="Times New Roman" w:hAnsi="Times New Roman" w:cs="Times New Roman"/>
                <w:szCs w:val="24"/>
                <w:lang w:val="sk-SK"/>
              </w:rPr>
            </w:pPr>
            <w:r>
              <w:rPr>
                <w:rFonts w:ascii="Times New Roman" w:hAnsi="Times New Roman" w:cs="Times New Roman"/>
                <w:szCs w:val="24"/>
                <w:lang w:val="sk-SK"/>
              </w:rPr>
              <w:t>pôžičky a pohľadávky, ktoré vznikli v spoločnosti a nie sú držané pre účely obchodovania a</w:t>
            </w:r>
          </w:p>
          <w:p>
            <w:pPr>
              <w:numPr>
                <w:ilvl w:val="0"/>
                <w:numId w:val="10"/>
              </w:numPr>
              <w:tabs>
                <w:tab w:val="left" w:pos="0"/>
                <w:tab w:val="clear" w:pos="502"/>
              </w:tabs>
              <w:ind w:left="71" w:firstLine="0"/>
              <w:jc w:val="both"/>
              <w:rPr>
                <w:rFonts w:ascii="Times New Roman" w:hAnsi="Times New Roman" w:cs="Times New Roman"/>
                <w:szCs w:val="24"/>
                <w:lang w:val="sk-SK"/>
              </w:rPr>
            </w:pPr>
            <w:r>
              <w:rPr>
                <w:rFonts w:ascii="Times New Roman" w:hAnsi="Times New Roman" w:cs="Times New Roman"/>
                <w:szCs w:val="24"/>
                <w:lang w:val="sk-SK"/>
              </w:rPr>
              <w:t xml:space="preserve">na účasti v dcérskych podnikoch, pridružených a spoločných podnikoch, kapitálové nástroje vydané spoločnosťou, na zmluvy o prípadnom protiplnení pri spájaní  podnikov ako aj na ostatné finančné nástroje s takými osobitnými charakteristikami, že nástroje, vzhľadom na to, čo sa vo všeobecnosti prijíma, by sa mali účtovať odlišne od ostatných finančných </w:t>
            </w:r>
            <w:r>
              <w:rPr>
                <w:rFonts w:ascii="Times New Roman" w:hAnsi="Times New Roman" w:cs="Times New Roman"/>
                <w:szCs w:val="24"/>
                <w:lang w:val="sk-SK"/>
              </w:rPr>
              <w:t xml:space="preserve">nástrojov. </w:t>
            </w:r>
          </w:p>
          <w:p>
            <w:pPr>
              <w:jc w:val="both"/>
              <w:rPr>
                <w:rFonts w:ascii="Times New Roman" w:hAnsi="Times New Roman" w:cs="Times New Roman"/>
                <w:szCs w:val="24"/>
                <w:lang w:val="sk-SK"/>
              </w:rPr>
            </w:pPr>
            <w:r>
              <w:rPr>
                <w:rFonts w:ascii="Times New Roman" w:hAnsi="Times New Roman" w:cs="Times New Roman"/>
                <w:szCs w:val="24"/>
                <w:lang w:val="sk-SK"/>
              </w:rPr>
              <w:t>5. Ako výnimka z článku 32, členské štáty môžu, s ohľadom na akékoľvek aktíva a pasíva, ktoré kvalifikujú ako hedžingové položky podľa objektívnych hodnôt systému hedžingového účtovania alebo ako určené podiely takýchto aktív alebo pasív, umožniť oceňovanie v osobitnom rozsahu požadovanom podľa tohto systému.</w:t>
            </w:r>
          </w:p>
          <w:p>
            <w:pPr>
              <w:pStyle w:val="Heading4"/>
              <w:spacing w:after="0" w:line="240" w:lineRule="auto"/>
              <w:ind w:left="0"/>
              <w:rPr>
                <w:rFonts w:ascii="Times New Roman" w:hAnsi="Times New Roman" w:cs="Times New Roman"/>
                <w:szCs w:val="24"/>
              </w:rPr>
            </w:pPr>
            <w:r>
              <w:rPr>
                <w:rFonts w:ascii="Times New Roman" w:hAnsi="Times New Roman" w:cs="Times New Roman"/>
                <w:szCs w:val="24"/>
              </w:rPr>
              <w:t>Článok 42b</w:t>
            </w:r>
          </w:p>
          <w:p>
            <w:pPr>
              <w:numPr>
                <w:ilvl w:val="0"/>
                <w:numId w:val="11"/>
              </w:numPr>
              <w:tabs>
                <w:tab w:val="left" w:pos="71"/>
                <w:tab w:val="clear" w:pos="786"/>
              </w:tabs>
              <w:ind w:left="213" w:hanging="142"/>
              <w:jc w:val="both"/>
              <w:rPr>
                <w:rFonts w:ascii="Times New Roman" w:hAnsi="Times New Roman" w:cs="Times New Roman"/>
                <w:szCs w:val="24"/>
                <w:lang w:val="sk-SK"/>
              </w:rPr>
            </w:pPr>
            <w:r>
              <w:rPr>
                <w:rFonts w:ascii="Times New Roman" w:hAnsi="Times New Roman" w:cs="Times New Roman"/>
                <w:szCs w:val="24"/>
                <w:lang w:val="sk-SK"/>
              </w:rPr>
              <w:t>Objektívna hodnota uvádzaná v článku 42a sa definuje odkazom na</w:t>
            </w:r>
          </w:p>
          <w:p>
            <w:pPr>
              <w:numPr>
                <w:ilvl w:val="0"/>
                <w:numId w:val="12"/>
              </w:numPr>
              <w:tabs>
                <w:tab w:val="left" w:pos="71"/>
                <w:tab w:val="clear" w:pos="786"/>
              </w:tabs>
              <w:ind w:left="213" w:hanging="142"/>
              <w:jc w:val="both"/>
              <w:rPr>
                <w:rFonts w:ascii="Times New Roman" w:hAnsi="Times New Roman" w:cs="Times New Roman"/>
                <w:szCs w:val="24"/>
                <w:lang w:val="sk-SK"/>
              </w:rPr>
            </w:pPr>
            <w:r>
              <w:rPr>
                <w:rFonts w:ascii="Times New Roman" w:hAnsi="Times New Roman" w:cs="Times New Roman"/>
                <w:szCs w:val="24"/>
                <w:lang w:val="sk-SK"/>
              </w:rPr>
              <w:t>trhovú hodnotu pre tie finančné nástroje, pre ktoré sa môže ľahko určiť spoľahlivý trh. Ak sa trhová hodnota nedá určiť ľahko pre nástroj, ale môže sa určiť pre jeho zložky alebo pre podobný nástroj, trhová hodnota sa môže odvodiť z trhovej hodnoty jeho zložiek alebo podobného nástroja, alebo</w:t>
            </w:r>
          </w:p>
          <w:p>
            <w:pPr>
              <w:numPr>
                <w:ilvl w:val="0"/>
                <w:numId w:val="12"/>
              </w:numPr>
              <w:tabs>
                <w:tab w:val="left" w:pos="71"/>
                <w:tab w:val="clear" w:pos="786"/>
              </w:tabs>
              <w:ind w:left="213" w:hanging="142"/>
              <w:jc w:val="both"/>
              <w:rPr>
                <w:rFonts w:ascii="Times New Roman" w:hAnsi="Times New Roman" w:cs="Times New Roman"/>
                <w:szCs w:val="24"/>
                <w:lang w:val="sk-SK"/>
              </w:rPr>
            </w:pPr>
            <w:r>
              <w:rPr>
                <w:rFonts w:ascii="Times New Roman" w:hAnsi="Times New Roman" w:cs="Times New Roman"/>
                <w:szCs w:val="24"/>
                <w:lang w:val="sk-SK"/>
              </w:rPr>
              <w:t>hodnotu vyplývajúcu zo všeobecne prijatých modelov a postupov oceňovania pre tie nástroje, pre ktoré sa nedá ľahko určiť spoľahlivý trh.  Tieto modely a postupy oceňovania zabezpečia rozumnú aproximáciu trhovej hodnoty.</w:t>
            </w:r>
          </w:p>
          <w:p>
            <w:pPr>
              <w:pStyle w:val="BodyTextIndent2"/>
              <w:spacing w:after="0" w:line="240" w:lineRule="auto"/>
              <w:ind w:left="0" w:firstLine="0"/>
              <w:rPr>
                <w:rFonts w:ascii="Times New Roman" w:hAnsi="Times New Roman" w:cs="Times New Roman"/>
                <w:szCs w:val="24"/>
              </w:rPr>
            </w:pPr>
            <w:r>
              <w:rPr>
                <w:rFonts w:ascii="Times New Roman" w:hAnsi="Times New Roman" w:cs="Times New Roman"/>
                <w:szCs w:val="24"/>
              </w:rPr>
              <w:t>2. Tie finančné nástroje, ktoré sa nedajú spoľahlivo zmerať žiadnou metódou opísanou v odseku 1, sa zmerajú podľa článkov 34 až 42.</w:t>
            </w:r>
          </w:p>
          <w:p>
            <w:pPr>
              <w:jc w:val="both"/>
              <w:rPr>
                <w:rFonts w:ascii="Times New Roman" w:hAnsi="Times New Roman" w:cs="Times New Roman"/>
                <w:i/>
                <w:szCs w:val="24"/>
                <w:lang w:val="sk-SK"/>
              </w:rPr>
            </w:pPr>
            <w:r>
              <w:rPr>
                <w:rFonts w:ascii="Times New Roman" w:hAnsi="Times New Roman" w:cs="Times New Roman"/>
                <w:szCs w:val="24"/>
                <w:lang w:val="sk-SK"/>
              </w:rPr>
              <w:t xml:space="preserve"> </w:t>
            </w:r>
            <w:r>
              <w:rPr>
                <w:rFonts w:ascii="Times New Roman" w:hAnsi="Times New Roman" w:cs="Times New Roman"/>
                <w:i/>
                <w:szCs w:val="24"/>
                <w:lang w:val="sk-SK"/>
              </w:rPr>
              <w:t>Článok 42c</w:t>
            </w:r>
          </w:p>
          <w:p>
            <w:pPr>
              <w:jc w:val="both"/>
              <w:rPr>
                <w:rFonts w:ascii="Times New Roman" w:hAnsi="Times New Roman" w:cs="Times New Roman"/>
                <w:i/>
                <w:szCs w:val="24"/>
                <w:lang w:val="sk-SK"/>
              </w:rPr>
            </w:pPr>
            <w:r>
              <w:rPr>
                <w:rFonts w:ascii="Times New Roman" w:hAnsi="Times New Roman" w:cs="Times New Roman"/>
                <w:szCs w:val="24"/>
                <w:lang w:val="sk-SK"/>
              </w:rPr>
              <w:t xml:space="preserve"> 1. Napriek článku 31(1)(c) ak sa finančný nástroj oceňuje podľa článku 42b, zmena v hodnote sa zahrnie do výsledovky.  Avšak táto zmena sa zahrnie priamo do vlastného kapitálu, v položke rezervných fondov k objektívnej hodn</w:t>
            </w:r>
            <w:r>
              <w:rPr>
                <w:rFonts w:ascii="Times New Roman" w:hAnsi="Times New Roman" w:cs="Times New Roman"/>
                <w:szCs w:val="24"/>
                <w:lang w:val="sk-SK"/>
              </w:rPr>
              <w:t>ote, ak</w:t>
            </w:r>
          </w:p>
          <w:p>
            <w:pPr>
              <w:numPr>
                <w:ilvl w:val="0"/>
                <w:numId w:val="13"/>
              </w:numPr>
              <w:tabs>
                <w:tab w:val="left" w:pos="213"/>
                <w:tab w:val="left" w:pos="375"/>
              </w:tabs>
              <w:ind w:left="213" w:firstLine="0"/>
              <w:jc w:val="both"/>
              <w:rPr>
                <w:rFonts w:ascii="Times New Roman" w:hAnsi="Times New Roman" w:cs="Times New Roman"/>
                <w:szCs w:val="24"/>
                <w:lang w:val="sk-SK"/>
              </w:rPr>
            </w:pPr>
            <w:r>
              <w:rPr>
                <w:rFonts w:ascii="Times New Roman" w:hAnsi="Times New Roman" w:cs="Times New Roman"/>
                <w:szCs w:val="24"/>
                <w:lang w:val="sk-SK"/>
              </w:rPr>
              <w:t>vyúčtovávaný nástroj je hedžingovým nástrojom podľa systému hedžingového účtovníctva, ktoré umožňuje, aby sa časť alebo celá zmena v hodnote neuvádzala vo výsledovke, alebo</w:t>
            </w:r>
          </w:p>
          <w:p>
            <w:pPr>
              <w:numPr>
                <w:ilvl w:val="0"/>
                <w:numId w:val="13"/>
              </w:numPr>
              <w:tabs>
                <w:tab w:val="left" w:pos="375"/>
              </w:tabs>
              <w:ind w:firstLine="0"/>
              <w:jc w:val="both"/>
              <w:rPr>
                <w:rFonts w:ascii="Times New Roman" w:hAnsi="Times New Roman" w:cs="Times New Roman"/>
                <w:szCs w:val="24"/>
                <w:lang w:val="sk-SK"/>
              </w:rPr>
            </w:pPr>
            <w:r>
              <w:rPr>
                <w:rFonts w:ascii="Times New Roman" w:hAnsi="Times New Roman" w:cs="Times New Roman"/>
                <w:szCs w:val="24"/>
                <w:lang w:val="sk-SK"/>
              </w:rPr>
              <w:t>zmena v hodnote súvisí s rozdielom výmenného kurzu vznikajúceho pri menovej položke, ktorá tvorí súčasť čistých investícií spoločnosti v zahraničnom subjekte.</w:t>
            </w:r>
          </w:p>
          <w:p>
            <w:pPr>
              <w:jc w:val="both"/>
              <w:rPr>
                <w:rFonts w:ascii="Times New Roman" w:hAnsi="Times New Roman" w:cs="Times New Roman"/>
                <w:szCs w:val="24"/>
                <w:lang w:val="sk-SK"/>
              </w:rPr>
            </w:pPr>
            <w:r>
              <w:rPr>
                <w:rFonts w:ascii="Times New Roman" w:hAnsi="Times New Roman" w:cs="Times New Roman"/>
                <w:szCs w:val="24"/>
                <w:lang w:val="sk-SK"/>
              </w:rPr>
              <w:t>2. Členské štáty môžu povoliť alebo vyžadovať, aby sa zmena v hodnote finančného aktíva, ktoré je k dispozícii na predaj, iného než odvodený finančný nástroj, zahrnula priamo do  vlastného kapitálu v položke rezervných fondov k objektívnej hodnote.</w:t>
            </w:r>
          </w:p>
          <w:p>
            <w:pPr>
              <w:pStyle w:val="BodyTextIndent3"/>
              <w:spacing w:after="0" w:line="240" w:lineRule="auto"/>
              <w:ind w:left="0"/>
              <w:rPr>
                <w:rFonts w:ascii="Times New Roman" w:hAnsi="Times New Roman" w:cs="Times New Roman"/>
                <w:szCs w:val="24"/>
              </w:rPr>
            </w:pPr>
            <w:r>
              <w:rPr>
                <w:rFonts w:ascii="Times New Roman" w:hAnsi="Times New Roman" w:cs="Times New Roman"/>
                <w:szCs w:val="24"/>
              </w:rPr>
              <w:t xml:space="preserve">3. Rezervné fondy k objektívnej hodnote sa upravia, keď sumy v nej uvedené nie sú viac potrebné pre vykonanie odsekov 1 a 2. </w:t>
              <w:tab/>
            </w:r>
          </w:p>
          <w:p>
            <w:pPr>
              <w:jc w:val="both"/>
              <w:rPr>
                <w:rFonts w:ascii="Times New Roman" w:hAnsi="Times New Roman" w:cs="Times New Roman"/>
                <w:i/>
                <w:szCs w:val="24"/>
                <w:lang w:val="sk-SK"/>
              </w:rPr>
            </w:pPr>
            <w:r>
              <w:rPr>
                <w:rFonts w:ascii="Times New Roman" w:hAnsi="Times New Roman" w:cs="Times New Roman"/>
                <w:szCs w:val="24"/>
                <w:lang w:val="sk-SK"/>
              </w:rPr>
              <w:t xml:space="preserve">   </w:t>
            </w:r>
            <w:r>
              <w:rPr>
                <w:rFonts w:ascii="Times New Roman" w:hAnsi="Times New Roman" w:cs="Times New Roman"/>
                <w:i/>
                <w:szCs w:val="24"/>
                <w:lang w:val="sk-SK"/>
              </w:rPr>
              <w:t>Článok 42d</w:t>
            </w:r>
          </w:p>
          <w:p>
            <w:pPr>
              <w:jc w:val="both"/>
              <w:rPr>
                <w:rFonts w:ascii="Times New Roman" w:hAnsi="Times New Roman" w:cs="Times New Roman"/>
                <w:i/>
                <w:szCs w:val="24"/>
                <w:lang w:val="sk-SK"/>
              </w:rPr>
            </w:pPr>
            <w:r>
              <w:rPr>
                <w:rFonts w:ascii="Times New Roman" w:hAnsi="Times New Roman" w:cs="Times New Roman"/>
                <w:szCs w:val="24"/>
                <w:lang w:val="sk-SK"/>
              </w:rPr>
              <w:t>Ak sa finančné nástroje ocenili v objektívnej hodnote, v poznámkach k účtovnej závierke sa uvedú:</w:t>
            </w:r>
          </w:p>
          <w:p>
            <w:pPr>
              <w:numPr>
                <w:ilvl w:val="0"/>
                <w:numId w:val="14"/>
              </w:numPr>
              <w:tabs>
                <w:tab w:val="left" w:pos="360"/>
              </w:tabs>
              <w:ind w:firstLine="0"/>
              <w:jc w:val="both"/>
              <w:rPr>
                <w:rFonts w:ascii="Times New Roman" w:hAnsi="Times New Roman" w:cs="Times New Roman"/>
                <w:szCs w:val="24"/>
                <w:lang w:val="sk-SK"/>
              </w:rPr>
            </w:pPr>
            <w:r>
              <w:rPr>
                <w:rFonts w:ascii="Times New Roman" w:hAnsi="Times New Roman" w:cs="Times New Roman"/>
                <w:szCs w:val="24"/>
                <w:lang w:val="sk-SK"/>
              </w:rPr>
              <w:t>výrazné predpoklady slúžiace za základ modelov a postupov ocenenia, ak sa slušné hodnoty určili podľa článku 42b(1)(b)</w:t>
            </w:r>
          </w:p>
          <w:p>
            <w:pPr>
              <w:numPr>
                <w:ilvl w:val="0"/>
                <w:numId w:val="14"/>
              </w:numPr>
              <w:tabs>
                <w:tab w:val="left" w:pos="360"/>
              </w:tabs>
              <w:ind w:firstLine="0"/>
              <w:jc w:val="both"/>
              <w:rPr>
                <w:rFonts w:ascii="Times New Roman" w:hAnsi="Times New Roman" w:cs="Times New Roman"/>
                <w:szCs w:val="24"/>
                <w:lang w:val="sk-SK"/>
              </w:rPr>
            </w:pPr>
            <w:r>
              <w:rPr>
                <w:rFonts w:ascii="Times New Roman" w:hAnsi="Times New Roman" w:cs="Times New Roman"/>
                <w:szCs w:val="24"/>
                <w:lang w:val="sk-SK"/>
              </w:rPr>
              <w:t>podľa kategórií finančných nástrojov, objektívna hodnota, zmeny v hodnote pri</w:t>
            </w:r>
            <w:r>
              <w:rPr>
                <w:rFonts w:ascii="Times New Roman" w:hAnsi="Times New Roman" w:cs="Times New Roman"/>
                <w:szCs w:val="24"/>
                <w:lang w:val="sk-SK"/>
              </w:rPr>
              <w:t>amo zahrnuté vo výsledovke ako aj zmeny zahrnuté v rezervných fondoch k objektívnej hodnote,</w:t>
            </w:r>
          </w:p>
          <w:p>
            <w:pPr>
              <w:numPr>
                <w:ilvl w:val="0"/>
                <w:numId w:val="14"/>
              </w:numPr>
              <w:tabs>
                <w:tab w:val="left" w:pos="360"/>
              </w:tabs>
              <w:ind w:firstLine="0"/>
              <w:jc w:val="both"/>
              <w:rPr>
                <w:rFonts w:ascii="Times New Roman" w:hAnsi="Times New Roman" w:cs="Times New Roman"/>
                <w:szCs w:val="24"/>
                <w:lang w:val="sk-SK"/>
              </w:rPr>
            </w:pPr>
            <w:r>
              <w:rPr>
                <w:rFonts w:ascii="Times New Roman" w:hAnsi="Times New Roman" w:cs="Times New Roman"/>
                <w:szCs w:val="24"/>
                <w:lang w:val="sk-SK"/>
              </w:rPr>
              <w:t>pre každú triedu odvodených finančných nástrojov, informácie o rozsahu a povahe nástrojov vrátane významných podmienok a požiadaviek, ktoré môžu ovplyvniť sumu, načasovanie a istotu budúcich tokov hotovosti, a</w:t>
            </w:r>
          </w:p>
          <w:p>
            <w:pPr>
              <w:numPr>
                <w:ilvl w:val="0"/>
                <w:numId w:val="14"/>
              </w:numPr>
              <w:tabs>
                <w:tab w:val="left" w:pos="360"/>
              </w:tabs>
              <w:ind w:firstLine="0"/>
              <w:jc w:val="both"/>
              <w:rPr>
                <w:rFonts w:ascii="Times New Roman" w:hAnsi="Times New Roman" w:cs="Times New Roman"/>
                <w:szCs w:val="24"/>
                <w:lang w:val="sk-SK"/>
              </w:rPr>
            </w:pPr>
            <w:r>
              <w:rPr>
                <w:rFonts w:ascii="Times New Roman" w:hAnsi="Times New Roman" w:cs="Times New Roman"/>
                <w:szCs w:val="24"/>
                <w:lang w:val="sk-SK"/>
              </w:rPr>
              <w:t>tabuľka ukazujúca pohyby v rezervných fondoch k objektívnej hodnote počas finančného roka.“;</w:t>
            </w:r>
          </w:p>
          <w:p>
            <w:pPr>
              <w:jc w:val="both"/>
              <w:rPr>
                <w:rFonts w:ascii="Times New Roman" w:hAnsi="Times New Roman" w:cs="Times New Roman"/>
                <w:szCs w:val="24"/>
                <w:lang w:val="sk-SK"/>
              </w:rPr>
            </w:pPr>
            <w:r>
              <w:rPr>
                <w:rFonts w:ascii="Times New Roman" w:hAnsi="Times New Roman" w:cs="Times New Roman"/>
                <w:szCs w:val="24"/>
                <w:lang w:val="sk-SK"/>
              </w:rPr>
              <w:t>2.  v článku 43 (1):</w:t>
            </w:r>
          </w:p>
          <w:p>
            <w:pPr>
              <w:numPr>
                <w:ilvl w:val="0"/>
                <w:numId w:val="15"/>
              </w:numPr>
              <w:tabs>
                <w:tab w:val="left" w:pos="213"/>
                <w:tab w:val="clear" w:pos="360"/>
              </w:tabs>
              <w:jc w:val="both"/>
              <w:rPr>
                <w:rFonts w:ascii="Times New Roman" w:hAnsi="Times New Roman" w:cs="Times New Roman"/>
                <w:szCs w:val="24"/>
                <w:lang w:val="sk-SK"/>
              </w:rPr>
            </w:pPr>
            <w:r>
              <w:rPr>
                <w:rFonts w:ascii="Times New Roman" w:hAnsi="Times New Roman" w:cs="Times New Roman"/>
                <w:szCs w:val="24"/>
                <w:lang w:val="sk-SK"/>
              </w:rPr>
              <w:t>odkaz v bode 10 na „články 31 a 34 až 42“ sa nahrádza odkazom na „články 31 a 34 až 42c“ a</w:t>
            </w:r>
          </w:p>
          <w:p>
            <w:pPr>
              <w:numPr>
                <w:ilvl w:val="0"/>
                <w:numId w:val="15"/>
              </w:numPr>
              <w:tabs>
                <w:tab w:val="left" w:pos="213"/>
                <w:tab w:val="clear" w:pos="360"/>
              </w:tabs>
              <w:jc w:val="both"/>
              <w:rPr>
                <w:rFonts w:ascii="Times New Roman" w:hAnsi="Times New Roman" w:cs="Times New Roman"/>
                <w:szCs w:val="24"/>
                <w:lang w:val="sk-SK"/>
              </w:rPr>
            </w:pPr>
            <w:r>
              <w:rPr>
                <w:rFonts w:ascii="Times New Roman" w:hAnsi="Times New Roman" w:cs="Times New Roman"/>
                <w:szCs w:val="24"/>
                <w:lang w:val="sk-SK"/>
              </w:rPr>
              <w:t>prid</w:t>
            </w:r>
            <w:r>
              <w:rPr>
                <w:rFonts w:ascii="Times New Roman" w:hAnsi="Times New Roman" w:cs="Times New Roman"/>
                <w:szCs w:val="24"/>
                <w:lang w:val="sk-SK"/>
              </w:rPr>
              <w:t>áva sa bod:</w:t>
            </w:r>
          </w:p>
          <w:p>
            <w:pPr>
              <w:jc w:val="both"/>
              <w:rPr>
                <w:rFonts w:ascii="Times New Roman" w:hAnsi="Times New Roman" w:cs="Times New Roman"/>
                <w:szCs w:val="24"/>
                <w:lang w:val="sk-SK"/>
              </w:rPr>
            </w:pPr>
            <w:r>
              <w:rPr>
                <w:rFonts w:ascii="Times New Roman" w:hAnsi="Times New Roman" w:cs="Times New Roman"/>
                <w:szCs w:val="24"/>
                <w:lang w:val="sk-SK"/>
              </w:rPr>
              <w:t>„14.  Ak sa nepoužilo ocenenie finančných nástrojov v objektívnej hodnote podľa oddielu 7a:</w:t>
            </w:r>
          </w:p>
          <w:p>
            <w:pPr>
              <w:numPr>
                <w:ilvl w:val="0"/>
                <w:numId w:val="16"/>
              </w:numPr>
              <w:tabs>
                <w:tab w:val="left" w:pos="0"/>
                <w:tab w:val="clear" w:pos="1065"/>
              </w:tabs>
              <w:ind w:left="71" w:hanging="71"/>
              <w:jc w:val="both"/>
              <w:rPr>
                <w:rFonts w:ascii="Times New Roman" w:hAnsi="Times New Roman" w:cs="Times New Roman"/>
                <w:szCs w:val="24"/>
                <w:lang w:val="sk-SK"/>
              </w:rPr>
            </w:pPr>
            <w:r>
              <w:rPr>
                <w:rFonts w:ascii="Times New Roman" w:hAnsi="Times New Roman" w:cs="Times New Roman"/>
                <w:szCs w:val="24"/>
                <w:lang w:val="sk-SK"/>
              </w:rPr>
              <w:t>pre každú triedu odvodených finančných nástrojov:</w:t>
            </w:r>
          </w:p>
          <w:p>
            <w:pPr>
              <w:numPr>
                <w:ilvl w:val="0"/>
                <w:numId w:val="17"/>
              </w:numPr>
              <w:tabs>
                <w:tab w:val="left" w:pos="0"/>
                <w:tab w:val="clear" w:pos="1785"/>
              </w:tabs>
              <w:ind w:left="71" w:hanging="71"/>
              <w:jc w:val="both"/>
              <w:rPr>
                <w:rFonts w:ascii="Times New Roman" w:hAnsi="Times New Roman" w:cs="Times New Roman"/>
                <w:szCs w:val="24"/>
                <w:lang w:val="sk-SK"/>
              </w:rPr>
            </w:pPr>
            <w:r>
              <w:rPr>
                <w:rFonts w:ascii="Times New Roman" w:hAnsi="Times New Roman" w:cs="Times New Roman"/>
                <w:szCs w:val="24"/>
                <w:lang w:val="sk-SK"/>
              </w:rPr>
              <w:t>objektívna hodnota nástrojov, ak sa táto hodnota môže určiť niektorou z metód uvedenou v článku 42b(1)</w:t>
            </w:r>
            <w:r>
              <w:rPr>
                <w:rFonts w:ascii="Times New Roman" w:hAnsi="Times New Roman" w:cs="Times New Roman"/>
                <w:szCs w:val="24"/>
                <w:lang w:val="sk-SK"/>
              </w:rPr>
              <w:t>;</w:t>
            </w:r>
          </w:p>
          <w:p>
            <w:pPr>
              <w:numPr>
                <w:ilvl w:val="0"/>
                <w:numId w:val="17"/>
              </w:numPr>
              <w:tabs>
                <w:tab w:val="left" w:pos="0"/>
                <w:tab w:val="clear" w:pos="1785"/>
              </w:tabs>
              <w:ind w:left="71" w:hanging="71"/>
              <w:jc w:val="both"/>
              <w:rPr>
                <w:rFonts w:ascii="Times New Roman" w:hAnsi="Times New Roman" w:cs="Times New Roman"/>
                <w:szCs w:val="24"/>
                <w:lang w:val="sk-SK"/>
              </w:rPr>
            </w:pPr>
            <w:r>
              <w:rPr>
                <w:rFonts w:ascii="Times New Roman" w:hAnsi="Times New Roman" w:cs="Times New Roman"/>
                <w:szCs w:val="24"/>
                <w:lang w:val="sk-SK"/>
              </w:rPr>
              <w:t>informácie o rozsahu a povahe nástrojov a</w:t>
            </w:r>
          </w:p>
          <w:p>
            <w:pPr>
              <w:numPr>
                <w:ilvl w:val="0"/>
                <w:numId w:val="16"/>
              </w:numPr>
              <w:tabs>
                <w:tab w:val="left" w:pos="71"/>
                <w:tab w:val="left" w:pos="355"/>
                <w:tab w:val="clear" w:pos="1065"/>
              </w:tabs>
              <w:ind w:left="0" w:firstLine="0"/>
              <w:jc w:val="both"/>
              <w:rPr>
                <w:rFonts w:ascii="Times New Roman" w:hAnsi="Times New Roman" w:cs="Times New Roman"/>
                <w:szCs w:val="24"/>
                <w:lang w:val="sk-SK"/>
              </w:rPr>
            </w:pPr>
            <w:r>
              <w:rPr>
                <w:rFonts w:ascii="Times New Roman" w:hAnsi="Times New Roman" w:cs="Times New Roman"/>
                <w:szCs w:val="24"/>
                <w:lang w:val="sk-SK"/>
              </w:rPr>
              <w:t>pre finančné fixné aktíva zahrnuté v článku 42a, prenesenej v sume väčšej než ich objektívna hodnota a bez toho, aby sa využila možnosť urobiť cenové úpravy podľa článku 35(1)(c)(aa):</w:t>
            </w:r>
          </w:p>
          <w:p>
            <w:pPr>
              <w:numPr>
                <w:ilvl w:val="0"/>
                <w:numId w:val="18"/>
              </w:numPr>
              <w:tabs>
                <w:tab w:val="left" w:pos="71"/>
                <w:tab w:val="left" w:pos="355"/>
                <w:tab w:val="left" w:pos="638"/>
                <w:tab w:val="left" w:pos="922"/>
                <w:tab w:val="clear" w:pos="2025"/>
              </w:tabs>
              <w:ind w:left="0" w:firstLine="0"/>
              <w:jc w:val="both"/>
              <w:rPr>
                <w:rFonts w:ascii="Times New Roman" w:hAnsi="Times New Roman" w:cs="Times New Roman"/>
                <w:szCs w:val="24"/>
                <w:lang w:val="sk-SK"/>
              </w:rPr>
            </w:pPr>
            <w:r>
              <w:rPr>
                <w:rFonts w:ascii="Times New Roman" w:hAnsi="Times New Roman" w:cs="Times New Roman"/>
                <w:szCs w:val="24"/>
                <w:lang w:val="sk-SK"/>
              </w:rPr>
              <w:t>účtovná hodnota a objektívna</w:t>
            </w:r>
            <w:r>
              <w:rPr>
                <w:rFonts w:ascii="Times New Roman" w:hAnsi="Times New Roman" w:cs="Times New Roman"/>
                <w:szCs w:val="24"/>
                <w:lang w:val="sk-SK"/>
              </w:rPr>
              <w:t xml:space="preserve"> hodnota jednotlivých aktív alebo príslušných zoskupení týchto jednotlivých aktív;</w:t>
            </w:r>
          </w:p>
          <w:p>
            <w:pPr>
              <w:numPr>
                <w:ilvl w:val="0"/>
                <w:numId w:val="18"/>
              </w:numPr>
              <w:tabs>
                <w:tab w:val="left" w:pos="71"/>
                <w:tab w:val="left" w:pos="355"/>
                <w:tab w:val="left" w:pos="638"/>
                <w:tab w:val="left" w:pos="922"/>
                <w:tab w:val="clear" w:pos="2025"/>
              </w:tabs>
              <w:ind w:left="0" w:firstLine="0"/>
              <w:jc w:val="both"/>
              <w:rPr>
                <w:rFonts w:ascii="Times New Roman" w:hAnsi="Times New Roman" w:cs="Times New Roman"/>
                <w:szCs w:val="24"/>
                <w:lang w:val="sk-SK"/>
              </w:rPr>
            </w:pPr>
            <w:r>
              <w:rPr>
                <w:rFonts w:ascii="Times New Roman" w:hAnsi="Times New Roman" w:cs="Times New Roman"/>
                <w:szCs w:val="24"/>
                <w:lang w:val="sk-SK"/>
              </w:rPr>
              <w:t xml:space="preserve">dôvody pre nezníženie účtovnej hodnoty vrátane povahy dôkazov, ktoré poskytujú základ pre presvedčenie, že sa získa účtovná hodnota.“;  </w:t>
            </w:r>
          </w:p>
          <w:p>
            <w:pPr>
              <w:jc w:val="both"/>
              <w:rPr>
                <w:rFonts w:ascii="Times New Roman" w:hAnsi="Times New Roman" w:cs="Times New Roman"/>
                <w:szCs w:val="24"/>
                <w:lang w:val="sk-SK"/>
              </w:rPr>
            </w:pPr>
            <w:r>
              <w:rPr>
                <w:rFonts w:ascii="Times New Roman" w:hAnsi="Times New Roman" w:cs="Times New Roman"/>
                <w:szCs w:val="24"/>
                <w:lang w:val="sk-SK"/>
              </w:rPr>
              <w:t>3.  text článku 44(1) sa nahrádza tý</w:t>
            </w:r>
            <w:r>
              <w:rPr>
                <w:rFonts w:ascii="Times New Roman" w:hAnsi="Times New Roman" w:cs="Times New Roman"/>
                <w:szCs w:val="24"/>
                <w:lang w:val="sk-SK"/>
              </w:rPr>
              <w:t>mto:</w:t>
            </w:r>
          </w:p>
          <w:p>
            <w:pPr>
              <w:pStyle w:val="BodyTextIndent3"/>
              <w:spacing w:after="0" w:line="240" w:lineRule="auto"/>
              <w:ind w:left="0"/>
              <w:rPr>
                <w:rFonts w:ascii="Times New Roman" w:hAnsi="Times New Roman" w:cs="Times New Roman"/>
                <w:szCs w:val="24"/>
              </w:rPr>
            </w:pPr>
            <w:r>
              <w:rPr>
                <w:rFonts w:ascii="Times New Roman" w:hAnsi="Times New Roman" w:cs="Times New Roman"/>
                <w:szCs w:val="24"/>
              </w:rPr>
              <w:t xml:space="preserve">„1. Členské štáty môžu povoliť spoločnostiam uvedeným v článku 11 vypracovať skrátené  poznámky k účtovnej závierke bez informácií požadovaných v článku 43(1)(5) až (12) a (14)(a). Avšak poznámky musia obsahovať informácie stanovené v článku 43(1)(6) v súhrne za všetky príslušné položky.“;  </w:t>
            </w:r>
          </w:p>
          <w:p>
            <w:pPr>
              <w:jc w:val="both"/>
              <w:rPr>
                <w:rFonts w:ascii="Times New Roman" w:hAnsi="Times New Roman" w:cs="Times New Roman"/>
                <w:szCs w:val="24"/>
                <w:lang w:val="sk-SK"/>
              </w:rPr>
            </w:pPr>
            <w:r>
              <w:rPr>
                <w:rFonts w:ascii="Times New Roman" w:hAnsi="Times New Roman" w:cs="Times New Roman"/>
                <w:szCs w:val="24"/>
                <w:lang w:val="sk-SK"/>
              </w:rPr>
              <w:t>4. v článku 46(2) sa pridáva tento bod:</w:t>
            </w:r>
          </w:p>
          <w:p>
            <w:pPr>
              <w:jc w:val="both"/>
              <w:rPr>
                <w:rFonts w:ascii="Times New Roman" w:hAnsi="Times New Roman" w:cs="Times New Roman"/>
                <w:szCs w:val="24"/>
                <w:lang w:val="sk-SK"/>
              </w:rPr>
            </w:pPr>
            <w:r>
              <w:rPr>
                <w:rFonts w:ascii="Times New Roman" w:hAnsi="Times New Roman" w:cs="Times New Roman"/>
                <w:szCs w:val="24"/>
                <w:lang w:val="sk-SK"/>
              </w:rPr>
              <w:t xml:space="preserve"> „v súvislosti s využívaním finančných nástrojov spoločnosti a ak je to podstatné pre posúdenie jej aktív, pasív, finančného postavenia a zisku alebo straty,</w:t>
            </w:r>
          </w:p>
          <w:p>
            <w:pPr>
              <w:numPr>
                <w:ilvl w:val="0"/>
                <w:numId w:val="19"/>
              </w:numPr>
              <w:tabs>
                <w:tab w:val="left" w:pos="213"/>
                <w:tab w:val="left" w:pos="497"/>
                <w:tab w:val="clear" w:pos="1065"/>
              </w:tabs>
              <w:ind w:left="213" w:firstLine="0"/>
              <w:jc w:val="both"/>
              <w:rPr>
                <w:rFonts w:ascii="Times New Roman" w:hAnsi="Times New Roman" w:cs="Times New Roman"/>
                <w:szCs w:val="24"/>
                <w:lang w:val="sk-SK"/>
              </w:rPr>
            </w:pPr>
            <w:r>
              <w:rPr>
                <w:rFonts w:ascii="Times New Roman" w:hAnsi="Times New Roman" w:cs="Times New Roman"/>
                <w:szCs w:val="24"/>
                <w:lang w:val="sk-SK"/>
              </w:rPr>
              <w:t>ciele a politika riadenia finančného rizika spoločnosti vrátane jej politiky pre hedžing každého hlavného typu predpovedanej transakcie, pre ktorú sa používa hedžingové účtovníctvo a</w:t>
            </w:r>
          </w:p>
          <w:p>
            <w:pPr>
              <w:numPr>
                <w:ilvl w:val="0"/>
                <w:numId w:val="19"/>
              </w:numPr>
              <w:tabs>
                <w:tab w:val="left" w:pos="355"/>
                <w:tab w:val="clear" w:pos="1065"/>
              </w:tabs>
              <w:ind w:left="213" w:hanging="142"/>
              <w:jc w:val="both"/>
              <w:rPr>
                <w:rFonts w:ascii="Times New Roman" w:hAnsi="Times New Roman" w:cs="Times New Roman"/>
                <w:szCs w:val="24"/>
                <w:lang w:val="sk-SK"/>
              </w:rPr>
            </w:pPr>
            <w:r>
              <w:rPr>
                <w:rFonts w:ascii="Times New Roman" w:hAnsi="Times New Roman" w:cs="Times New Roman"/>
                <w:szCs w:val="24"/>
                <w:lang w:val="sk-SK"/>
              </w:rPr>
              <w:t>miera rizika spoločnosti pri cenovom riziku, úverovom riziku, riziku likvidity a riziku t</w:t>
            </w:r>
            <w:r>
              <w:rPr>
                <w:rFonts w:ascii="Times New Roman" w:hAnsi="Times New Roman" w:cs="Times New Roman"/>
                <w:szCs w:val="24"/>
                <w:lang w:val="sk-SK"/>
              </w:rPr>
              <w:t>oku hotovosti.“;</w:t>
            </w:r>
          </w:p>
          <w:p>
            <w:pPr>
              <w:jc w:val="both"/>
              <w:rPr>
                <w:rFonts w:ascii="Times New Roman" w:hAnsi="Times New Roman" w:cs="Times New Roman"/>
                <w:szCs w:val="24"/>
                <w:lang w:val="sk-SK"/>
              </w:rPr>
            </w:pPr>
            <w:r>
              <w:rPr>
                <w:rFonts w:ascii="Times New Roman" w:hAnsi="Times New Roman" w:cs="Times New Roman"/>
                <w:szCs w:val="24"/>
                <w:lang w:val="sk-SK"/>
              </w:rPr>
              <w:t xml:space="preserve">   5. v článku 59(2)(a) a (b) odkaz na „články 31 až 42“ sa nahrádza odkazom na „oddiel 7 alebo 7a“;</w:t>
            </w:r>
          </w:p>
          <w:p>
            <w:pPr>
              <w:jc w:val="both"/>
              <w:rPr>
                <w:rFonts w:ascii="Times New Roman" w:hAnsi="Times New Roman" w:cs="Times New Roman"/>
                <w:szCs w:val="24"/>
                <w:lang w:val="sk-SK"/>
              </w:rPr>
            </w:pPr>
            <w:r>
              <w:rPr>
                <w:rFonts w:ascii="Times New Roman" w:hAnsi="Times New Roman" w:cs="Times New Roman"/>
                <w:szCs w:val="24"/>
                <w:lang w:val="sk-SK"/>
              </w:rPr>
              <w:t xml:space="preserve"> 6. vkladá sa tento článok:</w:t>
            </w:r>
          </w:p>
          <w:p>
            <w:pPr>
              <w:jc w:val="both"/>
              <w:rPr>
                <w:rFonts w:ascii="Times New Roman" w:hAnsi="Times New Roman" w:cs="Times New Roman"/>
                <w:szCs w:val="24"/>
                <w:lang w:val="sk-SK"/>
              </w:rPr>
            </w:pPr>
            <w:r>
              <w:rPr>
                <w:rFonts w:ascii="Times New Roman" w:hAnsi="Times New Roman" w:cs="Times New Roman"/>
                <w:szCs w:val="24"/>
                <w:lang w:val="sk-SK"/>
              </w:rPr>
              <w:t>„</w:t>
            </w:r>
            <w:r>
              <w:rPr>
                <w:rFonts w:ascii="Times New Roman" w:hAnsi="Times New Roman" w:cs="Times New Roman"/>
                <w:i/>
                <w:szCs w:val="24"/>
                <w:lang w:val="sk-SK"/>
              </w:rPr>
              <w:t>Článok 61a</w:t>
            </w:r>
          </w:p>
          <w:p>
            <w:pPr>
              <w:pStyle w:val="BodyText"/>
              <w:rPr>
                <w:rFonts w:ascii="Times New Roman" w:hAnsi="Times New Roman" w:cs="Times New Roman"/>
                <w:sz w:val="24"/>
                <w:szCs w:val="24"/>
                <w:lang w:val="sk-SK"/>
              </w:rPr>
            </w:pPr>
            <w:r>
              <w:rPr>
                <w:rFonts w:ascii="Times New Roman" w:hAnsi="Times New Roman" w:cs="Times New Roman"/>
                <w:sz w:val="24"/>
                <w:szCs w:val="24"/>
                <w:lang w:val="sk-SK"/>
              </w:rPr>
              <w:t>Najneskôr 1. januára 2007 komisia prehodnotí ustanovenia v článku 42a až 42d, článku 43(1) (10) a (14), článku 44(1), článku 46(2)(f) a článku 59(2)(a) a (b) vo svetle skúseností získaných pri používaní týchto ustanovení o účtovaní v objektívnych hodnotách a berúc do úvahy medzinárodný vývoj v oblasti účtovníctva a, ak to bude vhodné, predloží návrh Európskemu parlamentu a rade s perspektívou zmeniť a doplniť vyššie uvedené články.“</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431/2002 Z.z</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27 ods.1</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pís.b)</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pís.c)</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pís.d)</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pís.e)</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pís.a)</w:t>
            </w:r>
          </w:p>
          <w:p>
            <w:pPr>
              <w:rPr>
                <w:rFonts w:ascii="Times New Roman" w:hAnsi="Times New Roman" w:cs="Times New Roman"/>
                <w:szCs w:val="24"/>
                <w:lang w:val="sk-SK"/>
              </w:rPr>
            </w:pPr>
            <w:r>
              <w:rPr>
                <w:rFonts w:ascii="Times New Roman" w:hAnsi="Times New Roman" w:cs="Times New Roman"/>
                <w:szCs w:val="24"/>
                <w:lang w:val="sk-SK"/>
              </w:rPr>
              <w:t>pís.b)</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pís.c)</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ods.4</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ods.5</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ods.6</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ods.7</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ods.8</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ods.9</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i/>
                <w:color w:val="000000"/>
                <w:szCs w:val="24"/>
                <w:lang w:val="sk-SK"/>
              </w:rPr>
            </w:pPr>
            <w:r>
              <w:rPr>
                <w:rFonts w:ascii="Times New Roman" w:hAnsi="Times New Roman" w:cs="Times New Roman"/>
                <w:color w:val="000000"/>
                <w:szCs w:val="24"/>
                <w:lang w:val="sk-SK"/>
              </w:rPr>
              <w:t xml:space="preserve"> </w:t>
            </w:r>
            <w:r>
              <w:rPr>
                <w:rFonts w:ascii="Times New Roman" w:hAnsi="Times New Roman" w:cs="Times New Roman"/>
                <w:i/>
                <w:color w:val="000000"/>
                <w:szCs w:val="24"/>
                <w:lang w:val="sk-SK"/>
              </w:rPr>
              <w:t>Ku dňu ocenenia podľa § 24 ods. 1 písm. b) alebo písm. c) sa jednotlivé zložky majetku a záväzkov oceňujú takto:</w:t>
              <w:br/>
              <w:br/>
              <w:t xml:space="preserve">cenné papiere trhovou cenou alebo kvalifikovaným odhadom s výnimkou cenných papierov držaných do splatnosti a cenných papierov obstaraných v primárnych emisiách neurčených na obchodovanie, podielov na základom imaní v obchodných spoločnostiach, </w:t>
            </w:r>
            <w:r>
              <w:rPr>
                <w:rFonts w:ascii="Times New Roman" w:hAnsi="Times New Roman" w:cs="Times New Roman"/>
                <w:b/>
                <w:lang w:val="sk-SK"/>
              </w:rPr>
              <w:t xml:space="preserve">pre ktoré je účtovná jednotka materskou účtovnou jednotkou alebo v ktorých účtovná jednotka vykonáva podstatný vplyv, ktorým sa rozumie najmenej dvadsaťpercentný podiel na jej hlasovacích právach </w:t>
            </w:r>
            <w:r>
              <w:rPr>
                <w:rFonts w:ascii="Times New Roman" w:hAnsi="Times New Roman" w:cs="Times New Roman"/>
                <w:i/>
                <w:color w:val="000000"/>
                <w:szCs w:val="24"/>
                <w:lang w:val="sk-SK"/>
              </w:rPr>
              <w:t>a cenných papierov emitovaných účtovnou jednotkou,</w:t>
            </w:r>
          </w:p>
          <w:p>
            <w:pPr>
              <w:rPr>
                <w:rFonts w:ascii="Times New Roman" w:hAnsi="Times New Roman" w:cs="Times New Roman"/>
                <w:b/>
                <w:lang w:val="sk-SK"/>
              </w:rPr>
            </w:pPr>
            <w:r>
              <w:rPr>
                <w:rFonts w:ascii="Times New Roman" w:hAnsi="Times New Roman" w:cs="Times New Roman"/>
                <w:i/>
                <w:color w:val="000000"/>
                <w:szCs w:val="24"/>
                <w:lang w:val="sk-SK"/>
              </w:rPr>
              <w:t xml:space="preserve"> deriváty trhovou cenou alebo kvalifikovaným odhadom,</w:t>
              <w:br/>
              <w:t xml:space="preserve"> nehnuteľnosti, v ktorých sú umiestnené prostriedky technických rezerv posudkom znalca a technické rezervy kvalifikovaným odhadom v účtovných jednotkách, ktoré sú poisťovňami alebo zaisťovňami podľa osobitných predpisov, </w:t>
              <w:br/>
              <w:t xml:space="preserve"> v obchodných spoločnostiach alebo v družstvách zanikajúcich bez likvidácie trhovou cenou, kvalifikovaným odhadom alebo posudkom znalca alebo v iných prípadoch podľa osobitného predpisu,</w:t>
              <w:br/>
              <w:t>ak sú zabezpečené derivátmi, trhovou cenou alebo kvalifikovaným odhadom.</w:t>
              <w:br/>
              <w:br/>
              <w:t xml:space="preserve"> Na účely tohto zákona sa reálnou hodnotou rozumie</w:t>
              <w:br/>
              <w:br/>
              <w:t xml:space="preserve"> trhová cena,</w:t>
              <w:br/>
              <w:t xml:space="preserve"> ocenenie kvalifikovaným odhadom alebo posudkom znalca v prípade, že trhová cena nie je k dispozícii alebo nevyjadruje správne reálnu hodnotu,</w:t>
              <w:br/>
              <w:t xml:space="preserve"> ocenenie ustanovené podľa osobitného predpisu, ak nie je možné postupovať podľa písmen a) a b).</w:t>
              <w:br/>
              <w:br/>
              <w:t>Trhová cena je cena, ktorá je vyhlásená na tuzemskej alebo zahraničnej burze alebo na inom verejnom trhu. Účtovná jednotka na oceňovanie podľa tohto zákona použije cenu, ktorá je vyhlásená najneskoršie v deň ocenenia podľa § 24 ods. 1 písm. b) alebo písm. c).</w:t>
              <w:br/>
              <w:br/>
              <w:t xml:space="preserve"> Ak je majetok vedený na tuzemskej burze, je trhovou cenou záverečná cena vyhlásená burzou v pracovný deň, ku ktorému sa ocenenie vykonáva.</w:t>
              <w:br/>
              <w:br/>
              <w:t xml:space="preserve"> Ak majetok nie je vedený na tuzemskej burze a je kótovaný na zahraničných burzách, rozumie sa trhovou cenou najvyššia zo záverečných cien, ktorá bola dosiahnutá na schválených trhoch zahraničných búrz v pracovný deň, ku ktorému sa ocenenie vykonáva. V prípade iného verejného trhu, ako je burza, je trhovou cenou najvyššia platná cena v deň, ku ktorému sa ocenenie vykonáva. Ak v deň, ku ktorému sa ocenenie vykonáva, uvedené trhy nepracujú, použije sa cena vyhlásená na nich posledný pracovný deň, ktorý predchádza dňu, ku ktorému sa ocenenie vykonáva.</w:t>
              <w:br/>
              <w:br/>
              <w:t xml:space="preserve"> Ak trhovú cenu nemožno spoľahlivo určiť, reálna hodnota sa stanoví kvalifikovaným odhadom, ktorý predstavuje súhrn všetkých budúcich výdavkov alebo príjmov pri použití najčastejšie sa vyskytujúcej úrokovej miery pre podobný nástroj emitenta11) s podobným ohodnotením alebo úrokovej miery, ktorá menovitú hodnotu tohto nástroja znižuje o úrokovú zrážku tohto nást</w:t>
            </w:r>
            <w:r>
              <w:rPr>
                <w:rFonts w:ascii="Times New Roman" w:hAnsi="Times New Roman" w:cs="Times New Roman"/>
                <w:i/>
                <w:color w:val="000000"/>
                <w:szCs w:val="24"/>
                <w:lang w:val="sk-SK"/>
              </w:rPr>
              <w:t>roja na cenu, za ktorú by sa tento nástroj predal.</w:t>
              <w:br/>
              <w:br/>
            </w:r>
            <w:r>
              <w:rPr>
                <w:rFonts w:ascii="Times New Roman" w:hAnsi="Times New Roman" w:cs="Times New Roman"/>
                <w:b/>
                <w:lang w:val="sk-SK"/>
              </w:rPr>
              <w:t>V prípadoch neuvedených v odseku 6 sa pod kvalifikovaným odhadom rozumie aj iný odborný odhad</w:t>
            </w:r>
          </w:p>
          <w:p>
            <w:pPr>
              <w:rPr>
                <w:rFonts w:ascii="Times New Roman" w:hAnsi="Times New Roman" w:cs="Times New Roman"/>
                <w:b/>
                <w:lang w:val="sk-SK"/>
              </w:rPr>
            </w:pP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 xml:space="preserve"> Účtovná jednotka pri oceňovaní reálnou hodnotou postupuje primerane podľa ustanovenia § 25 ods. 2.</w:t>
              <w:br/>
              <w:br/>
              <w:t xml:space="preserve">Ak nie je možné ku dňu ocenenia </w:t>
            </w:r>
            <w:r>
              <w:rPr>
                <w:rFonts w:ascii="Times New Roman" w:hAnsi="Times New Roman" w:cs="Times New Roman"/>
                <w:b/>
                <w:color w:val="000000"/>
                <w:szCs w:val="24"/>
                <w:lang w:val="sk-SK"/>
              </w:rPr>
              <w:t>spoľahlivo</w:t>
            </w:r>
            <w:r>
              <w:rPr>
                <w:rFonts w:ascii="Times New Roman" w:hAnsi="Times New Roman" w:cs="Times New Roman"/>
                <w:i/>
                <w:color w:val="000000"/>
                <w:szCs w:val="24"/>
                <w:lang w:val="sk-SK"/>
              </w:rPr>
              <w:t xml:space="preserve"> určiť reálnu hodnotu, považuje sa za reálnu hodnotu ocenenie spôsobmi podľa § 25. Pri cenných papieroch držaných do splatnosti a cenných papieroch obstaraných v primárnych emisiách neurčených na obchodovanie sa ich ocenenie odo dňa vyrovnania ich nákupu do dňa ich splatnosti postupne zvyšuje o úrokové výnosy. Podiel na základnom imaní v obchodných spoločnostiach</w:t>
            </w:r>
            <w:r>
              <w:rPr>
                <w:rFonts w:ascii="Times New Roman" w:hAnsi="Times New Roman" w:cs="Times New Roman"/>
                <w:color w:val="000000"/>
                <w:szCs w:val="24"/>
                <w:lang w:val="sk-SK"/>
              </w:rPr>
              <w:t>,</w:t>
            </w:r>
            <w:r>
              <w:rPr>
                <w:rFonts w:ascii="Times New Roman" w:hAnsi="Times New Roman" w:cs="Times New Roman"/>
                <w:i/>
                <w:color w:val="000000"/>
                <w:szCs w:val="24"/>
                <w:lang w:val="sk-SK"/>
              </w:rPr>
              <w:t xml:space="preserve"> </w:t>
            </w:r>
            <w:r>
              <w:rPr>
                <w:rFonts w:ascii="Times New Roman" w:hAnsi="Times New Roman" w:cs="Times New Roman"/>
                <w:b/>
                <w:lang w:val="sk-SK"/>
              </w:rPr>
              <w:t xml:space="preserve">pre ktoré je účtovná jednotka materskou účtovnou jednotkou alebo v ktorých účtovná jednotka vykonáva podstatný </w:t>
            </w:r>
            <w:r>
              <w:rPr>
                <w:rFonts w:ascii="Times New Roman" w:hAnsi="Times New Roman" w:cs="Times New Roman"/>
                <w:b/>
                <w:lang w:val="sk-SK"/>
              </w:rPr>
              <w:t>vplyv</w:t>
            </w:r>
            <w:r>
              <w:rPr>
                <w:rFonts w:ascii="Times New Roman" w:hAnsi="Times New Roman" w:cs="Times New Roman"/>
                <w:i/>
                <w:color w:val="000000"/>
                <w:szCs w:val="24"/>
                <w:lang w:val="sk-SK"/>
              </w:rPr>
              <w:t xml:space="preserve"> môže byť ocenený metódou vlastného imania. Ak účtovná jednotka použije túto metódu ocenenia, je povinná ju použiť na ocenenie všetkých takýchto podielov. Pri cenných papieroch emitovaných účtovnou jednotkou sa ich ocenenie odo dňa vyrovnania emisie do dňa splatnosti postupne zvyšuje o úrokové náklady na emitované cenné papiere.</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8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MF SR</w:t>
            </w: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b/>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972"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Čl.2</w:t>
            </w:r>
          </w:p>
        </w:tc>
        <w:tc>
          <w:tcPr>
            <w:tcW w:w="524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line="360" w:lineRule="auto"/>
              <w:jc w:val="both"/>
              <w:rPr>
                <w:rFonts w:ascii="Times New Roman" w:hAnsi="Times New Roman" w:cs="Times New Roman"/>
                <w:szCs w:val="24"/>
                <w:lang w:val="sk-SK"/>
              </w:rPr>
            </w:pPr>
            <w:r>
              <w:rPr>
                <w:rFonts w:ascii="Times New Roman" w:hAnsi="Times New Roman" w:cs="Times New Roman"/>
                <w:szCs w:val="24"/>
                <w:lang w:val="sk-SK"/>
              </w:rPr>
              <w:t>Smernica 83/349/EHS sa mení a dopĺňa takto:</w:t>
            </w:r>
          </w:p>
          <w:p>
            <w:pPr>
              <w:numPr>
                <w:ilvl w:val="0"/>
                <w:numId w:val="20"/>
              </w:numPr>
              <w:tabs>
                <w:tab w:val="left" w:pos="360"/>
                <w:tab w:val="left" w:pos="2084"/>
              </w:tabs>
              <w:ind w:hanging="357"/>
              <w:jc w:val="both"/>
              <w:rPr>
                <w:rFonts w:ascii="Times New Roman" w:hAnsi="Times New Roman" w:cs="Times New Roman"/>
                <w:szCs w:val="24"/>
                <w:lang w:val="sk-SK"/>
              </w:rPr>
            </w:pPr>
            <w:r>
              <w:rPr>
                <w:rFonts w:ascii="Times New Roman" w:hAnsi="Times New Roman" w:cs="Times New Roman"/>
                <w:szCs w:val="24"/>
                <w:lang w:val="sk-SK"/>
              </w:rPr>
              <w:t>text článku 29(1) sa nahrádza týmto textom:</w:t>
            </w:r>
          </w:p>
          <w:p>
            <w:pPr>
              <w:tabs>
                <w:tab w:val="left" w:pos="71"/>
                <w:tab w:val="left" w:pos="2084"/>
              </w:tabs>
              <w:ind w:left="71" w:hanging="71"/>
              <w:jc w:val="both"/>
              <w:rPr>
                <w:rFonts w:ascii="Times New Roman" w:hAnsi="Times New Roman" w:cs="Times New Roman"/>
                <w:szCs w:val="24"/>
                <w:lang w:val="sk-SK"/>
              </w:rPr>
            </w:pPr>
            <w:r>
              <w:rPr>
                <w:rFonts w:ascii="Times New Roman" w:hAnsi="Times New Roman" w:cs="Times New Roman"/>
                <w:szCs w:val="24"/>
                <w:lang w:val="sk-SK"/>
              </w:rPr>
              <w:t>„1. Aktíva a pasíva, ktoré sa majú zahrnúť do konsolidovanej účtovnej závierky sa ocenia podľa jednotných metód a v súlade s oddielmi 7 a 7a a článkom 60 smernice 78/66</w:t>
            </w:r>
            <w:r>
              <w:rPr>
                <w:rFonts w:ascii="Times New Roman" w:hAnsi="Times New Roman" w:cs="Times New Roman"/>
                <w:szCs w:val="24"/>
                <w:lang w:val="sk-SK"/>
              </w:rPr>
              <w:t>0/EHS.“;</w:t>
            </w:r>
          </w:p>
          <w:p>
            <w:pPr>
              <w:numPr>
                <w:ilvl w:val="0"/>
                <w:numId w:val="20"/>
              </w:numPr>
              <w:tabs>
                <w:tab w:val="left" w:pos="360"/>
                <w:tab w:val="left" w:pos="2084"/>
              </w:tabs>
              <w:ind w:hanging="357"/>
              <w:jc w:val="both"/>
              <w:rPr>
                <w:rFonts w:ascii="Times New Roman" w:hAnsi="Times New Roman" w:cs="Times New Roman"/>
                <w:szCs w:val="24"/>
                <w:lang w:val="sk-SK"/>
              </w:rPr>
            </w:pPr>
            <w:r>
              <w:rPr>
                <w:rFonts w:ascii="Times New Roman" w:hAnsi="Times New Roman" w:cs="Times New Roman"/>
                <w:szCs w:val="24"/>
                <w:lang w:val="sk-SK"/>
              </w:rPr>
              <w:t>v článku 34:</w:t>
            </w:r>
          </w:p>
          <w:p>
            <w:pPr>
              <w:numPr>
                <w:ilvl w:val="0"/>
                <w:numId w:val="21"/>
              </w:numPr>
              <w:tabs>
                <w:tab w:val="left" w:pos="0"/>
                <w:tab w:val="left" w:pos="71"/>
                <w:tab w:val="clear" w:pos="360"/>
              </w:tabs>
              <w:ind w:left="71" w:hanging="71"/>
              <w:jc w:val="both"/>
              <w:rPr>
                <w:rFonts w:ascii="Times New Roman" w:hAnsi="Times New Roman" w:cs="Times New Roman"/>
                <w:szCs w:val="24"/>
                <w:lang w:val="sk-SK"/>
              </w:rPr>
            </w:pPr>
            <w:r>
              <w:rPr>
                <w:rFonts w:ascii="Times New Roman" w:hAnsi="Times New Roman" w:cs="Times New Roman"/>
                <w:szCs w:val="24"/>
                <w:lang w:val="sk-SK"/>
              </w:rPr>
              <w:t>odkaz v bode 10 na „články 31 a 34 až 42“ sa nahrádza odkazom na „články 31 a 34 až 42c“ a</w:t>
            </w:r>
          </w:p>
          <w:p>
            <w:pPr>
              <w:numPr>
                <w:ilvl w:val="0"/>
                <w:numId w:val="21"/>
              </w:numPr>
              <w:tabs>
                <w:tab w:val="left" w:pos="360"/>
                <w:tab w:val="left" w:pos="2084"/>
              </w:tabs>
              <w:ind w:hanging="357"/>
              <w:jc w:val="both"/>
              <w:rPr>
                <w:rFonts w:ascii="Times New Roman" w:hAnsi="Times New Roman" w:cs="Times New Roman"/>
                <w:szCs w:val="24"/>
                <w:lang w:val="sk-SK"/>
              </w:rPr>
            </w:pPr>
            <w:r>
              <w:rPr>
                <w:rFonts w:ascii="Times New Roman" w:hAnsi="Times New Roman" w:cs="Times New Roman"/>
                <w:szCs w:val="24"/>
                <w:lang w:val="sk-SK"/>
              </w:rPr>
              <w:t>pridávajú sa tieto body:</w:t>
            </w:r>
          </w:p>
          <w:p>
            <w:pPr>
              <w:tabs>
                <w:tab w:val="left" w:pos="360"/>
                <w:tab w:val="left" w:pos="2084"/>
              </w:tabs>
              <w:jc w:val="both"/>
              <w:rPr>
                <w:rFonts w:ascii="Times New Roman" w:hAnsi="Times New Roman" w:cs="Times New Roman"/>
                <w:szCs w:val="24"/>
                <w:lang w:val="sk-SK"/>
              </w:rPr>
            </w:pPr>
            <w:r>
              <w:rPr>
                <w:rFonts w:ascii="Times New Roman" w:hAnsi="Times New Roman" w:cs="Times New Roman"/>
                <w:szCs w:val="24"/>
                <w:lang w:val="sk-SK"/>
              </w:rPr>
              <w:t>„14. Ak sa finančné nástroje ocenili v objektívnych hodnotách v súlade s oddielom 7a smernice 78/660/EHS:</w:t>
            </w:r>
          </w:p>
          <w:p>
            <w:pPr>
              <w:numPr>
                <w:ilvl w:val="0"/>
                <w:numId w:val="22"/>
              </w:numPr>
              <w:tabs>
                <w:tab w:val="left" w:pos="-70"/>
                <w:tab w:val="left" w:pos="71"/>
                <w:tab w:val="clear" w:pos="1068"/>
              </w:tabs>
              <w:ind w:left="71" w:firstLine="0"/>
              <w:jc w:val="both"/>
              <w:rPr>
                <w:rFonts w:ascii="Times New Roman" w:hAnsi="Times New Roman" w:cs="Times New Roman"/>
                <w:szCs w:val="24"/>
                <w:lang w:val="sk-SK"/>
              </w:rPr>
            </w:pPr>
            <w:r>
              <w:rPr>
                <w:rFonts w:ascii="Times New Roman" w:hAnsi="Times New Roman" w:cs="Times New Roman"/>
                <w:szCs w:val="24"/>
                <w:lang w:val="sk-SK"/>
              </w:rPr>
              <w:t>významné predpoklady tvoriace základ pre modely a postupy ocenenia, ak  sa stanovili objektívne hodnoty v súlade s článkom 42b(1)(b) tejto smernice;</w:t>
            </w:r>
          </w:p>
          <w:p>
            <w:pPr>
              <w:numPr>
                <w:ilvl w:val="0"/>
                <w:numId w:val="22"/>
              </w:numPr>
              <w:tabs>
                <w:tab w:val="left" w:pos="-70"/>
                <w:tab w:val="left" w:pos="71"/>
                <w:tab w:val="left" w:pos="213"/>
                <w:tab w:val="clear" w:pos="1068"/>
              </w:tabs>
              <w:ind w:left="71" w:firstLine="0"/>
              <w:jc w:val="both"/>
              <w:rPr>
                <w:rFonts w:ascii="Times New Roman" w:hAnsi="Times New Roman" w:cs="Times New Roman"/>
                <w:szCs w:val="24"/>
                <w:lang w:val="sk-SK"/>
              </w:rPr>
            </w:pPr>
            <w:r>
              <w:rPr>
                <w:rFonts w:ascii="Times New Roman" w:hAnsi="Times New Roman" w:cs="Times New Roman"/>
                <w:szCs w:val="24"/>
                <w:lang w:val="sk-SK"/>
              </w:rPr>
              <w:t>podľa kategórií finančných nástrojov, objektívna hodnota, zmeny v hodnote zahrnuté priamo vo výsledovke ako aj v súlade s článkom 42c tejto smernice, zmeny zahrnuté v rezervných fondoch k objektívnej hodnote;</w:t>
            </w:r>
          </w:p>
          <w:p>
            <w:pPr>
              <w:numPr>
                <w:ilvl w:val="0"/>
                <w:numId w:val="22"/>
              </w:numPr>
              <w:tabs>
                <w:tab w:val="left" w:pos="-70"/>
                <w:tab w:val="left" w:pos="71"/>
                <w:tab w:val="clear" w:pos="1068"/>
              </w:tabs>
              <w:ind w:left="71" w:firstLine="0"/>
              <w:jc w:val="both"/>
              <w:rPr>
                <w:rFonts w:ascii="Times New Roman" w:hAnsi="Times New Roman" w:cs="Times New Roman"/>
                <w:szCs w:val="24"/>
                <w:lang w:val="sk-SK"/>
              </w:rPr>
            </w:pPr>
            <w:r>
              <w:rPr>
                <w:rFonts w:ascii="Times New Roman" w:hAnsi="Times New Roman" w:cs="Times New Roman"/>
                <w:szCs w:val="24"/>
                <w:lang w:val="sk-SK"/>
              </w:rPr>
              <w:t>pre každú triedu odvodených finančných nástrojov, informácie o rozsahu a povahe nástrojov vrátane významných požiadaviek a podmienok, ktoré môžu ovplyvniť sumu, načas</w:t>
            </w:r>
            <w:r>
              <w:rPr>
                <w:rFonts w:ascii="Times New Roman" w:hAnsi="Times New Roman" w:cs="Times New Roman"/>
                <w:szCs w:val="24"/>
                <w:lang w:val="sk-SK"/>
              </w:rPr>
              <w:t>ovanie a istotu budúcich tokov hotovosti a</w:t>
            </w:r>
          </w:p>
          <w:p>
            <w:pPr>
              <w:numPr>
                <w:ilvl w:val="0"/>
                <w:numId w:val="22"/>
              </w:numPr>
              <w:tabs>
                <w:tab w:val="left" w:pos="71"/>
                <w:tab w:val="left" w:pos="360"/>
                <w:tab w:val="clear" w:pos="1068"/>
                <w:tab w:val="left" w:pos="2084"/>
              </w:tabs>
              <w:ind w:left="71" w:hanging="141"/>
              <w:jc w:val="both"/>
              <w:rPr>
                <w:rFonts w:ascii="Times New Roman" w:hAnsi="Times New Roman" w:cs="Times New Roman"/>
                <w:szCs w:val="24"/>
                <w:lang w:val="sk-SK"/>
              </w:rPr>
            </w:pPr>
            <w:r>
              <w:rPr>
                <w:rFonts w:ascii="Times New Roman" w:hAnsi="Times New Roman" w:cs="Times New Roman"/>
                <w:szCs w:val="24"/>
                <w:lang w:val="sk-SK"/>
              </w:rPr>
              <w:t>tabuľka uvádzajúca pohyby v rezerve objektívnych hodnôt počas finančného roka.</w:t>
            </w:r>
          </w:p>
          <w:p>
            <w:pPr>
              <w:tabs>
                <w:tab w:val="left" w:pos="360"/>
                <w:tab w:val="left" w:pos="2084"/>
              </w:tabs>
              <w:jc w:val="both"/>
              <w:rPr>
                <w:rFonts w:ascii="Times New Roman" w:hAnsi="Times New Roman" w:cs="Times New Roman"/>
                <w:szCs w:val="24"/>
                <w:lang w:val="sk-SK"/>
              </w:rPr>
            </w:pPr>
            <w:r>
              <w:rPr>
                <w:rFonts w:ascii="Times New Roman" w:hAnsi="Times New Roman" w:cs="Times New Roman"/>
                <w:szCs w:val="24"/>
                <w:lang w:val="sk-SK"/>
              </w:rPr>
              <w:t>15. Ak sa finančné nástroje neocenili v objektívnych hodnotách podľa oddielu 7a smernice 78/660/EHS:</w:t>
            </w:r>
          </w:p>
          <w:p>
            <w:pPr>
              <w:tabs>
                <w:tab w:val="left" w:pos="360"/>
                <w:tab w:val="left" w:pos="2084"/>
              </w:tabs>
              <w:ind w:hanging="357"/>
              <w:jc w:val="both"/>
              <w:rPr>
                <w:rFonts w:ascii="Times New Roman" w:hAnsi="Times New Roman" w:cs="Times New Roman"/>
                <w:szCs w:val="24"/>
                <w:lang w:val="sk-SK"/>
              </w:rPr>
            </w:pPr>
            <w:r>
              <w:rPr>
                <w:rFonts w:ascii="Times New Roman" w:hAnsi="Times New Roman" w:cs="Times New Roman"/>
                <w:szCs w:val="24"/>
                <w:lang w:val="sk-SK"/>
              </w:rPr>
              <w:t>(a) pre každú triedu odvodených n</w:t>
            </w:r>
            <w:r>
              <w:rPr>
                <w:rFonts w:ascii="Times New Roman" w:hAnsi="Times New Roman" w:cs="Times New Roman"/>
                <w:szCs w:val="24"/>
                <w:lang w:val="sk-SK"/>
              </w:rPr>
              <w:t>ástrojov:</w:t>
            </w:r>
          </w:p>
          <w:p>
            <w:pPr>
              <w:numPr>
                <w:ilvl w:val="0"/>
                <w:numId w:val="23"/>
              </w:numPr>
              <w:tabs>
                <w:tab w:val="left" w:pos="360"/>
                <w:tab w:val="left" w:pos="2084"/>
                <w:tab w:val="left" w:pos="2130"/>
              </w:tabs>
              <w:ind w:left="213" w:hanging="283"/>
              <w:jc w:val="both"/>
              <w:rPr>
                <w:rFonts w:ascii="Times New Roman" w:hAnsi="Times New Roman" w:cs="Times New Roman"/>
                <w:szCs w:val="24"/>
                <w:lang w:val="sk-SK"/>
              </w:rPr>
            </w:pPr>
            <w:r>
              <w:rPr>
                <w:rFonts w:ascii="Times New Roman" w:hAnsi="Times New Roman" w:cs="Times New Roman"/>
                <w:szCs w:val="24"/>
                <w:lang w:val="sk-SK"/>
              </w:rPr>
              <w:t>objektívna hodnota nástrojov, ak sa táto hodnota môže určiť ktoroukoľvek z metód uvedenou v článku 42b(1) tejto smernice;</w:t>
            </w:r>
          </w:p>
          <w:p>
            <w:pPr>
              <w:numPr>
                <w:ilvl w:val="0"/>
                <w:numId w:val="23"/>
              </w:numPr>
              <w:tabs>
                <w:tab w:val="left" w:pos="360"/>
                <w:tab w:val="left" w:pos="2084"/>
                <w:tab w:val="left" w:pos="2130"/>
              </w:tabs>
              <w:ind w:left="213" w:hanging="283"/>
              <w:jc w:val="both"/>
              <w:rPr>
                <w:rFonts w:ascii="Times New Roman" w:hAnsi="Times New Roman" w:cs="Times New Roman"/>
                <w:szCs w:val="24"/>
                <w:lang w:val="sk-SK"/>
              </w:rPr>
            </w:pPr>
            <w:r>
              <w:rPr>
                <w:rFonts w:ascii="Times New Roman" w:hAnsi="Times New Roman" w:cs="Times New Roman"/>
                <w:szCs w:val="24"/>
                <w:lang w:val="sk-SK"/>
              </w:rPr>
              <w:t>informácie o rozsahu a povahe nástrojov a</w:t>
            </w:r>
          </w:p>
          <w:p>
            <w:pPr>
              <w:pStyle w:val="BodyText"/>
              <w:numPr>
                <w:ilvl w:val="0"/>
                <w:numId w:val="21"/>
              </w:numPr>
              <w:tabs>
                <w:tab w:val="left" w:pos="360"/>
                <w:tab w:val="left" w:pos="2084"/>
              </w:tabs>
              <w:ind w:left="213" w:hanging="283"/>
              <w:rPr>
                <w:rFonts w:ascii="Times New Roman" w:hAnsi="Times New Roman" w:cs="Times New Roman"/>
                <w:sz w:val="24"/>
                <w:szCs w:val="24"/>
                <w:lang w:val="sk-SK"/>
              </w:rPr>
            </w:pPr>
            <w:r>
              <w:rPr>
                <w:rFonts w:ascii="Times New Roman" w:hAnsi="Times New Roman" w:cs="Times New Roman"/>
                <w:sz w:val="24"/>
                <w:szCs w:val="24"/>
                <w:lang w:val="sk-SK"/>
              </w:rPr>
              <w:t>pre finančné fixné aktíva uvedené v článku 42a tejto smernice, prenesené v sumách presahujúcich ich objektívnu hodnotu a bez toho, aby sa využila cenová úprava v súlade s článkom 35(1)(c)(aa) tejto smernice:</w:t>
            </w:r>
          </w:p>
          <w:p>
            <w:pPr>
              <w:pStyle w:val="BodyText"/>
              <w:numPr>
                <w:ilvl w:val="0"/>
                <w:numId w:val="24"/>
              </w:numPr>
              <w:tabs>
                <w:tab w:val="left" w:pos="360"/>
                <w:tab w:val="clear" w:pos="2136"/>
              </w:tabs>
              <w:ind w:left="355" w:hanging="142"/>
              <w:rPr>
                <w:rFonts w:ascii="Times New Roman" w:hAnsi="Times New Roman" w:cs="Times New Roman"/>
                <w:sz w:val="24"/>
                <w:szCs w:val="24"/>
                <w:lang w:val="sk-SK"/>
              </w:rPr>
            </w:pPr>
            <w:r>
              <w:rPr>
                <w:rFonts w:ascii="Times New Roman" w:hAnsi="Times New Roman" w:cs="Times New Roman"/>
                <w:sz w:val="24"/>
                <w:szCs w:val="24"/>
                <w:lang w:val="sk-SK"/>
              </w:rPr>
              <w:t>účtovná hodnota a objektívna hodnota jednotlivých aktív alebo príslušné skupiny týchto jednotlivých aktív</w:t>
            </w:r>
          </w:p>
          <w:p>
            <w:pPr>
              <w:pStyle w:val="BodyText"/>
              <w:numPr>
                <w:ilvl w:val="0"/>
                <w:numId w:val="24"/>
              </w:numPr>
              <w:tabs>
                <w:tab w:val="left" w:pos="360"/>
                <w:tab w:val="clear" w:pos="2136"/>
              </w:tabs>
              <w:ind w:left="355" w:hanging="142"/>
              <w:rPr>
                <w:rFonts w:ascii="Times New Roman" w:hAnsi="Times New Roman" w:cs="Times New Roman"/>
                <w:sz w:val="24"/>
                <w:szCs w:val="24"/>
                <w:lang w:val="sk-SK"/>
              </w:rPr>
            </w:pPr>
            <w:r>
              <w:rPr>
                <w:rFonts w:ascii="Times New Roman" w:hAnsi="Times New Roman" w:cs="Times New Roman"/>
                <w:sz w:val="24"/>
                <w:szCs w:val="24"/>
                <w:lang w:val="sk-SK"/>
              </w:rPr>
              <w:t xml:space="preserve">dôvody na nezníženie účtovnej hodnoty vrátane povahy dôkazu, ktorý predstavuje základ pre presvedčenie, že sa zaplatí účtovná hodnota.“; </w:t>
            </w:r>
          </w:p>
          <w:p>
            <w:pPr>
              <w:numPr>
                <w:ilvl w:val="0"/>
                <w:numId w:val="20"/>
              </w:numPr>
              <w:tabs>
                <w:tab w:val="left" w:pos="71"/>
                <w:tab w:val="clear" w:pos="360"/>
              </w:tabs>
              <w:ind w:left="213" w:hanging="142"/>
              <w:jc w:val="both"/>
              <w:rPr>
                <w:rFonts w:ascii="Times New Roman" w:hAnsi="Times New Roman" w:cs="Times New Roman"/>
                <w:szCs w:val="24"/>
                <w:lang w:val="sk-SK"/>
              </w:rPr>
            </w:pPr>
            <w:r>
              <w:rPr>
                <w:rFonts w:ascii="Times New Roman" w:hAnsi="Times New Roman" w:cs="Times New Roman"/>
                <w:szCs w:val="24"/>
                <w:lang w:val="sk-SK"/>
              </w:rPr>
              <w:t>v článku 36(2) sa k tomuto bodu pridáva:</w:t>
            </w:r>
          </w:p>
          <w:p>
            <w:pPr>
              <w:tabs>
                <w:tab w:val="left" w:pos="360"/>
                <w:tab w:val="left" w:pos="2084"/>
              </w:tabs>
              <w:jc w:val="both"/>
              <w:rPr>
                <w:rFonts w:ascii="Times New Roman" w:hAnsi="Times New Roman" w:cs="Times New Roman"/>
                <w:szCs w:val="24"/>
                <w:lang w:val="sk-SK"/>
              </w:rPr>
            </w:pPr>
            <w:r>
              <w:rPr>
                <w:rFonts w:ascii="Times New Roman" w:hAnsi="Times New Roman" w:cs="Times New Roman"/>
                <w:szCs w:val="24"/>
                <w:lang w:val="sk-SK"/>
              </w:rPr>
              <w:t>„(e) v súvislosti s využívaním finančných nástrojov zo strany podnikov a ak je to podstatné pre posúdenie aktív, pasív, finančného postavenia a zisku alebo straty,</w:t>
            </w:r>
          </w:p>
          <w:p>
            <w:pPr>
              <w:numPr>
                <w:ilvl w:val="0"/>
                <w:numId w:val="19"/>
              </w:numPr>
              <w:tabs>
                <w:tab w:val="left" w:pos="360"/>
                <w:tab w:val="left" w:pos="497"/>
                <w:tab w:val="clear" w:pos="1065"/>
              </w:tabs>
              <w:ind w:left="-70" w:firstLine="141"/>
              <w:jc w:val="both"/>
              <w:rPr>
                <w:rFonts w:ascii="Times New Roman" w:hAnsi="Times New Roman" w:cs="Times New Roman"/>
                <w:szCs w:val="24"/>
                <w:lang w:val="sk-SK"/>
              </w:rPr>
            </w:pPr>
            <w:r>
              <w:rPr>
                <w:rFonts w:ascii="Times New Roman" w:hAnsi="Times New Roman" w:cs="Times New Roman"/>
                <w:szCs w:val="24"/>
                <w:lang w:val="sk-SK"/>
              </w:rPr>
              <w:t>ciele a politika riadenia finančného rizika inštitúcií vrátene ich politiky pre hedžing každého významného typu predpovedanej transakcie, pre ktorú sa používa hedžingové účtovníctvo a</w:t>
            </w:r>
          </w:p>
          <w:p>
            <w:pPr>
              <w:numPr>
                <w:ilvl w:val="0"/>
                <w:numId w:val="19"/>
              </w:numPr>
              <w:tabs>
                <w:tab w:val="left" w:pos="360"/>
                <w:tab w:val="left" w:pos="497"/>
                <w:tab w:val="clear" w:pos="1065"/>
              </w:tabs>
              <w:ind w:left="-70" w:firstLine="141"/>
              <w:jc w:val="both"/>
              <w:rPr>
                <w:rFonts w:ascii="Times New Roman" w:hAnsi="Times New Roman" w:cs="Times New Roman"/>
                <w:szCs w:val="24"/>
                <w:lang w:val="sk-SK"/>
              </w:rPr>
            </w:pPr>
            <w:r>
              <w:rPr>
                <w:rFonts w:ascii="Times New Roman" w:hAnsi="Times New Roman" w:cs="Times New Roman"/>
                <w:szCs w:val="24"/>
                <w:lang w:val="sk-SK"/>
              </w:rPr>
              <w:t>miera riz</w:t>
            </w:r>
            <w:r>
              <w:rPr>
                <w:rFonts w:ascii="Times New Roman" w:hAnsi="Times New Roman" w:cs="Times New Roman"/>
                <w:szCs w:val="24"/>
                <w:lang w:val="sk-SK"/>
              </w:rPr>
              <w:t>ika pri cenovom riziku, úverovom riziku, riziku likvidity a riziku toku hotovosti.“;</w:t>
            </w:r>
          </w:p>
          <w:p>
            <w:pPr>
              <w:pStyle w:val="BodyText"/>
              <w:numPr>
                <w:ilvl w:val="0"/>
                <w:numId w:val="20"/>
              </w:numPr>
              <w:tabs>
                <w:tab w:val="left" w:pos="360"/>
                <w:tab w:val="left" w:pos="2084"/>
              </w:tabs>
              <w:ind w:hanging="357"/>
              <w:rPr>
                <w:rFonts w:ascii="Times New Roman" w:hAnsi="Times New Roman" w:cs="Times New Roman"/>
                <w:sz w:val="24"/>
                <w:szCs w:val="24"/>
                <w:lang w:val="sk-SK"/>
              </w:rPr>
            </w:pPr>
            <w:r>
              <w:rPr>
                <w:rFonts w:ascii="Times New Roman" w:hAnsi="Times New Roman" w:cs="Times New Roman"/>
                <w:sz w:val="24"/>
                <w:szCs w:val="24"/>
                <w:lang w:val="sk-SK"/>
              </w:rPr>
              <w:t>vkladá sa tento článok:</w:t>
            </w:r>
          </w:p>
          <w:p>
            <w:pPr>
              <w:tabs>
                <w:tab w:val="left" w:pos="360"/>
                <w:tab w:val="left" w:pos="2084"/>
              </w:tabs>
              <w:ind w:left="360" w:hanging="357"/>
              <w:jc w:val="both"/>
              <w:rPr>
                <w:rFonts w:ascii="Times New Roman" w:hAnsi="Times New Roman" w:cs="Times New Roman"/>
                <w:i/>
                <w:szCs w:val="24"/>
                <w:lang w:val="sk-SK"/>
              </w:rPr>
            </w:pPr>
            <w:r>
              <w:rPr>
                <w:rFonts w:ascii="Times New Roman" w:hAnsi="Times New Roman" w:cs="Times New Roman"/>
                <w:szCs w:val="24"/>
                <w:lang w:val="sk-SK"/>
              </w:rPr>
              <w:t>„</w:t>
            </w:r>
            <w:r>
              <w:rPr>
                <w:rFonts w:ascii="Times New Roman" w:hAnsi="Times New Roman" w:cs="Times New Roman"/>
                <w:i/>
                <w:szCs w:val="24"/>
                <w:lang w:val="sk-SK"/>
              </w:rPr>
              <w:t>Článok 50a</w:t>
            </w:r>
          </w:p>
          <w:p>
            <w:pPr>
              <w:tabs>
                <w:tab w:val="left" w:pos="360"/>
                <w:tab w:val="left" w:pos="2084"/>
              </w:tabs>
              <w:rPr>
                <w:rFonts w:ascii="Times New Roman" w:hAnsi="Times New Roman" w:cs="Times New Roman"/>
                <w:szCs w:val="24"/>
                <w:lang w:val="sk-SK"/>
              </w:rPr>
            </w:pPr>
            <w:r>
              <w:rPr>
                <w:rFonts w:ascii="Times New Roman" w:hAnsi="Times New Roman" w:cs="Times New Roman"/>
                <w:szCs w:val="24"/>
                <w:lang w:val="sk-SK"/>
              </w:rPr>
              <w:t>Najneskôr 1. januára 2007 komisia prehodnotí ustanovenia v článku 29(1), článku 34(10),  (14) a (15) a článku 36(2)(e) vo svetle skúseností získaných pri používaní týchto ustanovení o účtovaní v objektívnych hodnotách a berúc do úvahy medzinárodný vývoj v oblasti účtovníctva a, ak to bude vhodné, predloží návrh Európskemu parlamentu a rade s perspektívou zmeniť a doplniť vyššie uvedené čl</w:t>
            </w:r>
            <w:r>
              <w:rPr>
                <w:rFonts w:ascii="Times New Roman" w:hAnsi="Times New Roman" w:cs="Times New Roman"/>
                <w:szCs w:val="24"/>
                <w:lang w:val="sk-SK"/>
              </w:rPr>
              <w:t>ánky.“</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n.a.</w:t>
            </w:r>
          </w:p>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pStyle w:val="BodyText"/>
              <w:jc w:val="both"/>
              <w:rPr>
                <w:rFonts w:ascii="Times New Roman" w:hAnsi="Times New Roman" w:cs="Times New Roman"/>
                <w:sz w:val="24"/>
                <w:szCs w:val="24"/>
                <w:lang w:val="sk-SK"/>
              </w:rPr>
            </w:pPr>
          </w:p>
          <w:p>
            <w:pPr>
              <w:rPr>
                <w:rFonts w:ascii="Times New Roman" w:hAnsi="Times New Roman" w:cs="Times New Roman"/>
                <w:szCs w:val="24"/>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tc>
        <w:tc>
          <w:tcPr>
            <w:tcW w:w="8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 27 zákona č. 431/ 2002Z.z a návrhu zákona a opatrenia MF </w:t>
            </w:r>
            <w:r>
              <w:rPr>
                <w:rFonts w:ascii="Times New Roman" w:hAnsi="Times New Roman" w:cs="Times New Roman"/>
                <w:szCs w:val="24"/>
                <w:lang w:val="sk-SK"/>
              </w:rPr>
              <w:t>SR</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972"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Čl.4</w:t>
            </w:r>
          </w:p>
        </w:tc>
        <w:tc>
          <w:tcPr>
            <w:tcW w:w="524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 xml:space="preserve">1. Členské štáty uvedú do platnosti zákony, nariadenia a správne ustanovenia pre ne potrebné tak, aby boli v súlade s touto smernicou, do 1. januára 2004.  Bezodkladne o tom informujú komisiu. </w:t>
            </w:r>
          </w:p>
          <w:p>
            <w:pPr>
              <w:jc w:val="both"/>
              <w:rPr>
                <w:rFonts w:ascii="Times New Roman" w:hAnsi="Times New Roman" w:cs="Times New Roman"/>
                <w:szCs w:val="24"/>
                <w:lang w:val="sk-SK"/>
              </w:rPr>
            </w:pPr>
            <w:r>
              <w:rPr>
                <w:rFonts w:ascii="Times New Roman" w:hAnsi="Times New Roman" w:cs="Times New Roman"/>
                <w:szCs w:val="24"/>
                <w:lang w:val="sk-SK"/>
              </w:rPr>
              <w:t xml:space="preserve">Ak členské štáty príjmu tieto ustanovenia, budú obsahovať odkaz na túto smernicu alebo ich bude sprevádzať takýto odkaz pri príležitosti ich úradného zverejnenia. Metódy uvádzania odkazu stanovia členské štáty. </w:t>
            </w:r>
          </w:p>
          <w:p>
            <w:pPr>
              <w:jc w:val="both"/>
              <w:rPr>
                <w:rFonts w:ascii="Times New Roman" w:hAnsi="Times New Roman" w:cs="Times New Roman"/>
                <w:szCs w:val="24"/>
                <w:lang w:val="sk-SK"/>
              </w:rPr>
            </w:pPr>
            <w:r>
              <w:rPr>
                <w:rFonts w:ascii="Times New Roman" w:hAnsi="Times New Roman" w:cs="Times New Roman"/>
                <w:szCs w:val="24"/>
                <w:lang w:val="sk-SK"/>
              </w:rPr>
              <w:t>2.  Členské štáty oznámia komisii hlavné ustanovenia vnútroštátnych zákonov, ktoré príjm</w:t>
            </w:r>
            <w:r>
              <w:rPr>
                <w:rFonts w:ascii="Times New Roman" w:hAnsi="Times New Roman" w:cs="Times New Roman"/>
                <w:szCs w:val="24"/>
                <w:lang w:val="sk-SK"/>
              </w:rPr>
              <w:t>u v oblasti upravenej v tejto smernici.</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Čl.II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 39c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Príloha k zákonu č. 431 /2002 Z.z. bod 2 </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Tento zákon nadobúda účinnosť 1. januára 2005 okrem bodu 20, ktorý nadobúda účinnosť 1. januára 2006.</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lang w:val="sk-SK"/>
              </w:rPr>
            </w:pPr>
            <w:r>
              <w:rPr>
                <w:rFonts w:ascii="Times New Roman" w:hAnsi="Times New Roman" w:cs="Times New Roman"/>
                <w:lang w:val="sk-SK"/>
              </w:rPr>
              <w:t>Týmto zákonom sa preberajú právne akty Európskych spoločenstiev a Európskej únie uvedené v prílohe.</w:t>
            </w:r>
          </w:p>
          <w:p>
            <w:pPr>
              <w:rPr>
                <w:rFonts w:ascii="Times New Roman" w:hAnsi="Times New Roman" w:cs="Times New Roman"/>
                <w:lang w:val="sk-SK"/>
              </w:rPr>
            </w:pPr>
          </w:p>
          <w:p>
            <w:pPr>
              <w:rPr>
                <w:rFonts w:ascii="Times New Roman" w:hAnsi="Times New Roman" w:cs="Times New Roman"/>
              </w:rPr>
            </w:pPr>
            <w:r>
              <w:rPr>
                <w:rFonts w:ascii="Times New Roman" w:hAnsi="Times New Roman" w:cs="Times New Roman"/>
              </w:rPr>
              <w:t>Týmto zákonom sa preberajú tieto právne akty Európskych spoločenstiev a Európskej únie:</w:t>
            </w:r>
          </w:p>
          <w:p>
            <w:pPr>
              <w:rPr>
                <w:rFonts w:ascii="Times New Roman" w:hAnsi="Times New Roman" w:cs="Times New Roman"/>
                <w:szCs w:val="24"/>
                <w:lang w:val="sk-SK"/>
              </w:rPr>
            </w:pPr>
          </w:p>
          <w:p>
            <w:pPr>
              <w:jc w:val="both"/>
              <w:rPr>
                <w:rFonts w:ascii="Times New Roman" w:hAnsi="Times New Roman" w:cs="Times New Roman"/>
              </w:rPr>
            </w:pPr>
            <w:r>
              <w:rPr>
                <w:rFonts w:ascii="Times New Roman" w:hAnsi="Times New Roman" w:cs="Times New Roman"/>
              </w:rPr>
              <w:t>2. Siedma smernica Rady  83/349/EHS z 13. júna 1983  založená na článku 54 (3) g) zmluvy o spoločných účtoch (Úr</w:t>
            </w:r>
            <w:r>
              <w:rPr>
                <w:rFonts w:ascii="Times New Roman" w:hAnsi="Times New Roman" w:cs="Times New Roman"/>
              </w:rPr>
              <w:t>adný vestník Európskej únie L 193, 18. 7. 1983 str. 1) v znení</w:t>
            </w:r>
          </w:p>
          <w:p>
            <w:pPr>
              <w:jc w:val="both"/>
              <w:rPr>
                <w:rFonts w:ascii="Times New Roman" w:hAnsi="Times New Roman" w:cs="Times New Roman"/>
              </w:rPr>
            </w:pPr>
            <w:r>
              <w:rPr>
                <w:rFonts w:ascii="Times New Roman" w:hAnsi="Times New Roman" w:cs="Times New Roman"/>
              </w:rPr>
              <w:t>smernice Rady  90/605/EEC z 8. novembra 1990 novelizujúca smernicu  78/660/EEC o výročných účtoch a smernicu   83/349/EHS o konsolidovaných účtoch vzhľadom na rozsah týchto smerníc (Úradný vest</w:t>
            </w:r>
            <w:r>
              <w:rPr>
                <w:rFonts w:ascii="Times New Roman" w:hAnsi="Times New Roman" w:cs="Times New Roman"/>
              </w:rPr>
              <w:t>ník Európskej únie L 317, 16. 11. 1990 str. 60),</w:t>
            </w:r>
          </w:p>
          <w:p>
            <w:pPr>
              <w:jc w:val="both"/>
              <w:rPr>
                <w:rFonts w:ascii="Times New Roman" w:hAnsi="Times New Roman" w:cs="Times New Roman"/>
              </w:rPr>
            </w:pPr>
            <w:r>
              <w:rPr>
                <w:rFonts w:ascii="Times New Roman" w:hAnsi="Times New Roman" w:cs="Times New Roman"/>
              </w:rPr>
              <w:t xml:space="preserve">smernice  </w:t>
            </w:r>
            <w:r>
              <w:rPr>
                <w:rFonts w:ascii="Times New Roman" w:hAnsi="Times New Roman" w:cs="Times New Roman"/>
                <w:b/>
              </w:rPr>
              <w:t>2001/65 ES</w:t>
            </w:r>
            <w:r>
              <w:rPr>
                <w:rFonts w:ascii="Times New Roman" w:hAnsi="Times New Roman" w:cs="Times New Roman"/>
              </w:rPr>
              <w:t xml:space="preserve"> Európskeho parlamentu a Rady z 27. septembra 2001, ktorá mení a dopĺňa smernice 78/660/EHS, 83/349//EHS, pokiaľ ide o pravidlá oceňovania pre ročné a konsolidované účtovné závierky určitých typov spoločností ako aj bánk a ostatných finančných inštitúcií (Úradný vestník Európskej únie L 283, 27. 10. 2001 str. 28),</w:t>
            </w:r>
          </w:p>
          <w:p>
            <w:pPr>
              <w:rPr>
                <w:rFonts w:ascii="Times New Roman" w:hAnsi="Times New Roman" w:cs="Times New Roman"/>
                <w:szCs w:val="24"/>
                <w:lang w:val="sk-SK"/>
              </w:rPr>
            </w:pPr>
            <w:r>
              <w:rPr>
                <w:rFonts w:ascii="Times New Roman" w:hAnsi="Times New Roman" w:cs="Times New Roman"/>
              </w:rPr>
              <w:t>smernice Európskeho parlamentu a rady  2003/51/ES z 18. júna 2003, ktorou sa menia smernice 78/660/EHS, 83/349//EHS, 86/635/ES a 91/647/ES o ročnej a konsolidovanej účtovnej závierke niektorých typov spoločností, bánk a iných finančných inštitúcií a poisťovní (Úradný vestník Európskej únie L178, 17. 7. 2003, str. 16),</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bl>
    <w:p>
      <w:pPr>
        <w:rPr>
          <w:rFonts w:ascii="Times New Roman" w:hAnsi="Times New Roman" w:cs="Times New Roman"/>
          <w:szCs w:val="24"/>
          <w:lang w:val="sk-SK"/>
        </w:rPr>
      </w:pPr>
    </w:p>
    <w:sectPr>
      <w:footerReference w:type="even" r:id="rId4"/>
      <w:footerReference w:type="default" r:id="rId5"/>
      <w:pgSz w:w="16840" w:h="11907" w:orient="landscape" w:code="9"/>
      <w:pgMar w:top="1191" w:right="1191" w:bottom="1191" w:left="1191" w:header="397" w:footer="397"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2FAA"/>
    <w:multiLevelType w:val="singleLevel"/>
    <w:tmpl w:val="FD44AC64"/>
    <w:lvl w:ilvl="0">
      <w:start w:val="1"/>
      <w:numFmt w:val="decimal"/>
      <w:lvlText w:val="(%1)"/>
      <w:lvlJc w:val="left"/>
      <w:pPr>
        <w:tabs>
          <w:tab w:val="num" w:pos="1040"/>
        </w:tabs>
        <w:ind w:left="0" w:firstLine="680"/>
      </w:pPr>
      <w:rPr>
        <w:rFonts w:ascii="Times New Roman" w:hAnsi="Times New Roman"/>
        <w:b w:val="0"/>
        <w:i w:val="0"/>
        <w:sz w:val="24"/>
        <w:rtl w:val="0"/>
      </w:rPr>
    </w:lvl>
  </w:abstractNum>
  <w:abstractNum w:abstractNumId="1">
    <w:nsid w:val="118853C7"/>
    <w:multiLevelType w:val="singleLevel"/>
    <w:tmpl w:val="FD44AC64"/>
    <w:lvl w:ilvl="0">
      <w:start w:val="1"/>
      <w:numFmt w:val="decimal"/>
      <w:lvlText w:val="(%1)"/>
      <w:lvlJc w:val="left"/>
      <w:pPr>
        <w:tabs>
          <w:tab w:val="num" w:pos="1040"/>
        </w:tabs>
        <w:ind w:left="0" w:firstLine="680"/>
      </w:pPr>
      <w:rPr>
        <w:rFonts w:ascii="Times New Roman" w:hAnsi="Times New Roman"/>
        <w:b w:val="0"/>
        <w:i w:val="0"/>
        <w:sz w:val="24"/>
        <w:rtl w:val="0"/>
      </w:rPr>
    </w:lvl>
  </w:abstractNum>
  <w:abstractNum w:abstractNumId="2">
    <w:nsid w:val="11A35162"/>
    <w:multiLevelType w:val="singleLevel"/>
    <w:tmpl w:val="C3F879DC"/>
    <w:lvl w:ilvl="0">
      <w:start w:val="1"/>
      <w:numFmt w:val="lowerLetter"/>
      <w:lvlText w:val="(%1)"/>
      <w:lvlJc w:val="left"/>
      <w:pPr>
        <w:tabs>
          <w:tab w:val="num" w:pos="360"/>
        </w:tabs>
        <w:ind w:left="360" w:hanging="360"/>
      </w:pPr>
    </w:lvl>
  </w:abstractNum>
  <w:abstractNum w:abstractNumId="3">
    <w:nsid w:val="185F21B5"/>
    <w:multiLevelType w:val="singleLevel"/>
    <w:tmpl w:val="9634E830"/>
    <w:lvl w:ilvl="0">
      <w:start w:val="1"/>
      <w:numFmt w:val="lowerLetter"/>
      <w:lvlText w:val="(%1)"/>
      <w:lvlJc w:val="left"/>
      <w:pPr>
        <w:tabs>
          <w:tab w:val="num" w:pos="1065"/>
        </w:tabs>
        <w:ind w:left="1065" w:hanging="360"/>
      </w:pPr>
    </w:lvl>
  </w:abstractNum>
  <w:abstractNum w:abstractNumId="4">
    <w:nsid w:val="18C27156"/>
    <w:multiLevelType w:val="singleLevel"/>
    <w:tmpl w:val="A4C0D868"/>
    <w:lvl w:ilvl="0">
      <w:start w:val="1"/>
      <w:numFmt w:val="lowerLetter"/>
      <w:lvlText w:val="(%1)"/>
      <w:lvlJc w:val="left"/>
      <w:pPr>
        <w:tabs>
          <w:tab w:val="num" w:pos="786"/>
        </w:tabs>
        <w:ind w:left="786" w:hanging="360"/>
      </w:pPr>
    </w:lvl>
  </w:abstractNum>
  <w:abstractNum w:abstractNumId="5">
    <w:nsid w:val="1A2823DB"/>
    <w:multiLevelType w:val="singleLevel"/>
    <w:tmpl w:val="8834BAC6"/>
    <w:lvl w:ilvl="0">
      <w:start w:val="1"/>
      <w:numFmt w:val="lowerLetter"/>
      <w:lvlText w:val="(%1)"/>
      <w:lvlJc w:val="left"/>
      <w:pPr>
        <w:tabs>
          <w:tab w:val="num" w:pos="360"/>
        </w:tabs>
        <w:ind w:left="360" w:hanging="360"/>
      </w:pPr>
    </w:lvl>
  </w:abstractNum>
  <w:abstractNum w:abstractNumId="6">
    <w:nsid w:val="1A351B23"/>
    <w:multiLevelType w:val="singleLevel"/>
    <w:tmpl w:val="96A259D8"/>
    <w:lvl w:ilvl="0">
      <w:start w:val="1"/>
      <w:numFmt w:val="lowerRoman"/>
      <w:lvlText w:val="(%1)"/>
      <w:lvlJc w:val="left"/>
      <w:pPr>
        <w:tabs>
          <w:tab w:val="num" w:pos="2025"/>
        </w:tabs>
        <w:ind w:left="2025" w:hanging="720"/>
      </w:pPr>
    </w:lvl>
  </w:abstractNum>
  <w:abstractNum w:abstractNumId="7">
    <w:nsid w:val="1DF27D32"/>
    <w:multiLevelType w:val="singleLevel"/>
    <w:tmpl w:val="96582120"/>
    <w:lvl w:ilvl="0">
      <w:start w:val="1"/>
      <w:numFmt w:val="lowerRoman"/>
      <w:lvlText w:val="(%1)"/>
      <w:lvlJc w:val="left"/>
      <w:pPr>
        <w:tabs>
          <w:tab w:val="num" w:pos="1785"/>
        </w:tabs>
        <w:ind w:left="1785" w:hanging="720"/>
      </w:pPr>
    </w:lvl>
  </w:abstractNum>
  <w:abstractNum w:abstractNumId="8">
    <w:nsid w:val="24C41FA6"/>
    <w:multiLevelType w:val="singleLevel"/>
    <w:tmpl w:val="D4E02380"/>
    <w:lvl w:ilvl="0">
      <w:start w:val="1"/>
      <w:numFmt w:val="lowerLetter"/>
      <w:lvlText w:val="(%1)"/>
      <w:lvlJc w:val="left"/>
      <w:pPr>
        <w:tabs>
          <w:tab w:val="num" w:pos="360"/>
        </w:tabs>
        <w:ind w:left="360" w:hanging="360"/>
      </w:pPr>
    </w:lvl>
  </w:abstractNum>
  <w:abstractNum w:abstractNumId="9">
    <w:nsid w:val="27CF7479"/>
    <w:multiLevelType w:val="singleLevel"/>
    <w:tmpl w:val="1F7C1E00"/>
    <w:lvl w:ilvl="0">
      <w:start w:val="5"/>
      <w:numFmt w:val="bullet"/>
      <w:lvlText w:val="-"/>
      <w:lvlJc w:val="left"/>
      <w:pPr>
        <w:tabs>
          <w:tab w:val="num" w:pos="1065"/>
        </w:tabs>
        <w:ind w:left="1065" w:hanging="360"/>
      </w:pPr>
    </w:lvl>
  </w:abstractNum>
  <w:abstractNum w:abstractNumId="10">
    <w:nsid w:val="28D82C35"/>
    <w:multiLevelType w:val="singleLevel"/>
    <w:tmpl w:val="9378D836"/>
    <w:lvl w:ilvl="0">
      <w:start w:val="1"/>
      <w:numFmt w:val="decimal"/>
      <w:lvlText w:val="%1."/>
      <w:lvlJc w:val="left"/>
      <w:pPr>
        <w:tabs>
          <w:tab w:val="num" w:pos="360"/>
        </w:tabs>
        <w:ind w:left="360" w:hanging="360"/>
      </w:pPr>
    </w:lvl>
  </w:abstractNum>
  <w:abstractNum w:abstractNumId="11">
    <w:nsid w:val="34567B88"/>
    <w:multiLevelType w:val="singleLevel"/>
    <w:tmpl w:val="E58008A4"/>
    <w:lvl w:ilvl="0">
      <w:start w:val="1"/>
      <w:numFmt w:val="lowerRoman"/>
      <w:lvlText w:val="(%1)"/>
      <w:lvlJc w:val="left"/>
      <w:pPr>
        <w:tabs>
          <w:tab w:val="num" w:pos="2136"/>
        </w:tabs>
        <w:ind w:left="2136" w:hanging="720"/>
      </w:pPr>
    </w:lvl>
  </w:abstractNum>
  <w:abstractNum w:abstractNumId="12">
    <w:nsid w:val="349861FA"/>
    <w:multiLevelType w:val="hybridMultilevel"/>
    <w:tmpl w:val="DA941E68"/>
    <w:lvl w:ilvl="0">
      <w:start w:val="1"/>
      <w:numFmt w:val="lowerLetter"/>
      <w:lvlText w:val="%1)"/>
      <w:lvlJc w:val="left"/>
      <w:pPr>
        <w:tabs>
          <w:tab w:val="num" w:pos="720"/>
        </w:tabs>
        <w:ind w:left="720" w:hanging="360"/>
      </w:pPr>
      <w:rPr>
        <w:color w:val="auto"/>
      </w:rPr>
    </w:lvl>
    <w:lvl w:ilvl="1">
      <w:start w:val="1"/>
      <w:numFmt w:val="decimal"/>
      <w:lvlText w:val="%2."/>
      <w:lvlJc w:val="left"/>
      <w:pPr>
        <w:tabs>
          <w:tab w:val="num" w:pos="644"/>
        </w:tabs>
        <w:ind w:left="644"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302692"/>
    <w:multiLevelType w:val="singleLevel"/>
    <w:tmpl w:val="DA98755A"/>
    <w:lvl w:ilvl="0">
      <w:start w:val="1"/>
      <w:numFmt w:val="lowerLetter"/>
      <w:lvlText w:val="(%1)"/>
      <w:lvlJc w:val="left"/>
      <w:pPr>
        <w:tabs>
          <w:tab w:val="num" w:pos="502"/>
        </w:tabs>
        <w:ind w:left="502" w:hanging="360"/>
      </w:pPr>
    </w:lvl>
  </w:abstractNum>
  <w:abstractNum w:abstractNumId="14">
    <w:nsid w:val="374E61EE"/>
    <w:multiLevelType w:val="singleLevel"/>
    <w:tmpl w:val="44C47456"/>
    <w:lvl w:ilvl="0">
      <w:start w:val="1"/>
      <w:numFmt w:val="decimal"/>
      <w:lvlText w:val="%1."/>
      <w:lvlJc w:val="left"/>
      <w:pPr>
        <w:tabs>
          <w:tab w:val="num" w:pos="786"/>
        </w:tabs>
        <w:ind w:left="786" w:hanging="360"/>
      </w:pPr>
    </w:lvl>
  </w:abstractNum>
  <w:abstractNum w:abstractNumId="15">
    <w:nsid w:val="37E16A39"/>
    <w:multiLevelType w:val="singleLevel"/>
    <w:tmpl w:val="AD983E02"/>
    <w:lvl w:ilvl="0">
      <w:start w:val="1"/>
      <w:numFmt w:val="lowerLetter"/>
      <w:lvlText w:val="(%1)"/>
      <w:lvlJc w:val="left"/>
      <w:pPr>
        <w:tabs>
          <w:tab w:val="num" w:pos="375"/>
        </w:tabs>
        <w:ind w:left="375" w:hanging="375"/>
      </w:pPr>
    </w:lvl>
  </w:abstractNum>
  <w:abstractNum w:abstractNumId="16">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17">
    <w:nsid w:val="3CD442D8"/>
    <w:multiLevelType w:val="singleLevel"/>
    <w:tmpl w:val="5B22BB3C"/>
    <w:lvl w:ilvl="0">
      <w:start w:val="3"/>
      <w:numFmt w:val="bullet"/>
      <w:lvlText w:val="-"/>
      <w:lvlJc w:val="left"/>
      <w:pPr>
        <w:tabs>
          <w:tab w:val="num" w:pos="720"/>
        </w:tabs>
        <w:ind w:left="720" w:hanging="360"/>
      </w:pPr>
    </w:lvl>
  </w:abstractNum>
  <w:abstractNum w:abstractNumId="18">
    <w:nsid w:val="429B0313"/>
    <w:multiLevelType w:val="singleLevel"/>
    <w:tmpl w:val="7C228C18"/>
    <w:lvl w:ilvl="0">
      <w:start w:val="1"/>
      <w:numFmt w:val="lowerLetter"/>
      <w:lvlText w:val="%1)"/>
      <w:lvlJc w:val="left"/>
      <w:pPr>
        <w:tabs>
          <w:tab w:val="num" w:pos="360"/>
        </w:tabs>
        <w:ind w:left="360" w:hanging="360"/>
      </w:pPr>
      <w:rPr>
        <w:rFonts w:ascii="Times New Roman" w:hAnsi="Times New Roman"/>
        <w:b w:val="0"/>
        <w:i w:val="0"/>
        <w:sz w:val="24"/>
        <w:rtl w:val="0"/>
      </w:rPr>
    </w:lvl>
  </w:abstractNum>
  <w:abstractNum w:abstractNumId="19">
    <w:nsid w:val="453078AA"/>
    <w:multiLevelType w:val="singleLevel"/>
    <w:tmpl w:val="C1F2E4FE"/>
    <w:lvl w:ilvl="0">
      <w:start w:val="1"/>
      <w:numFmt w:val="lowerLetter"/>
      <w:lvlText w:val="(%1)"/>
      <w:lvlJc w:val="left"/>
      <w:pPr>
        <w:tabs>
          <w:tab w:val="num" w:pos="644"/>
        </w:tabs>
        <w:ind w:left="644" w:hanging="360"/>
      </w:pPr>
    </w:lvl>
  </w:abstractNum>
  <w:abstractNum w:abstractNumId="20">
    <w:nsid w:val="4A346CF8"/>
    <w:multiLevelType w:val="singleLevel"/>
    <w:tmpl w:val="7C2E598A"/>
    <w:lvl w:ilvl="0">
      <w:start w:val="1"/>
      <w:numFmt w:val="lowerRoman"/>
      <w:lvlText w:val="(%1)"/>
      <w:lvlJc w:val="left"/>
      <w:pPr>
        <w:tabs>
          <w:tab w:val="num" w:pos="2130"/>
        </w:tabs>
        <w:ind w:left="2130" w:hanging="720"/>
      </w:pPr>
    </w:lvl>
  </w:abstractNum>
  <w:abstractNum w:abstractNumId="21">
    <w:nsid w:val="50477D63"/>
    <w:multiLevelType w:val="singleLevel"/>
    <w:tmpl w:val="083A1AB4"/>
    <w:lvl w:ilvl="0">
      <w:start w:val="1"/>
      <w:numFmt w:val="lowerLetter"/>
      <w:lvlText w:val="(%1)"/>
      <w:lvlJc w:val="left"/>
      <w:pPr>
        <w:tabs>
          <w:tab w:val="num" w:pos="1068"/>
        </w:tabs>
        <w:ind w:left="1068" w:hanging="360"/>
      </w:pPr>
    </w:lvl>
  </w:abstractNum>
  <w:abstractNum w:abstractNumId="22">
    <w:nsid w:val="596E24CC"/>
    <w:multiLevelType w:val="singleLevel"/>
    <w:tmpl w:val="E092E646"/>
    <w:lvl w:ilvl="0">
      <w:start w:val="1"/>
      <w:numFmt w:val="lowerLetter"/>
      <w:lvlText w:val="(%1)"/>
      <w:lvlJc w:val="left"/>
      <w:pPr>
        <w:tabs>
          <w:tab w:val="num" w:pos="1068"/>
        </w:tabs>
        <w:ind w:left="1068" w:hanging="360"/>
      </w:pPr>
    </w:lvl>
  </w:abstractNum>
  <w:abstractNum w:abstractNumId="23">
    <w:nsid w:val="5B940DAB"/>
    <w:multiLevelType w:val="singleLevel"/>
    <w:tmpl w:val="7C228C18"/>
    <w:lvl w:ilvl="0">
      <w:start w:val="1"/>
      <w:numFmt w:val="lowerLetter"/>
      <w:lvlText w:val="%1)"/>
      <w:lvlJc w:val="left"/>
      <w:pPr>
        <w:tabs>
          <w:tab w:val="num" w:pos="360"/>
        </w:tabs>
        <w:ind w:left="360" w:hanging="360"/>
      </w:pPr>
      <w:rPr>
        <w:rFonts w:ascii="Times New Roman" w:hAnsi="Times New Roman"/>
        <w:b w:val="0"/>
        <w:i w:val="0"/>
        <w:sz w:val="24"/>
        <w:rtl w:val="0"/>
      </w:rPr>
    </w:lvl>
  </w:abstractNum>
  <w:abstractNum w:abstractNumId="24">
    <w:nsid w:val="635B6A20"/>
    <w:multiLevelType w:val="singleLevel"/>
    <w:tmpl w:val="29E46596"/>
    <w:lvl w:ilvl="0">
      <w:start w:val="1"/>
      <w:numFmt w:val="upperLetter"/>
      <w:lvlText w:val="%1."/>
      <w:lvlJc w:val="left"/>
      <w:pPr>
        <w:tabs>
          <w:tab w:val="num" w:pos="720"/>
        </w:tabs>
        <w:ind w:left="720" w:hanging="360"/>
      </w:pPr>
    </w:lvl>
  </w:abstractNum>
  <w:abstractNum w:abstractNumId="25">
    <w:nsid w:val="6AC37C42"/>
    <w:multiLevelType w:val="singleLevel"/>
    <w:tmpl w:val="FD44AC64"/>
    <w:lvl w:ilvl="0">
      <w:start w:val="1"/>
      <w:numFmt w:val="decimal"/>
      <w:lvlText w:val="(%1)"/>
      <w:lvlJc w:val="left"/>
      <w:pPr>
        <w:tabs>
          <w:tab w:val="num" w:pos="1040"/>
        </w:tabs>
        <w:ind w:left="0" w:firstLine="680"/>
      </w:pPr>
      <w:rPr>
        <w:rFonts w:ascii="Times New Roman" w:hAnsi="Times New Roman"/>
        <w:b w:val="0"/>
        <w:i w:val="0"/>
        <w:sz w:val="24"/>
        <w:rtl w:val="0"/>
      </w:rPr>
    </w:lvl>
  </w:abstractNum>
  <w:abstractNum w:abstractNumId="26">
    <w:nsid w:val="6BC414DB"/>
    <w:multiLevelType w:val="singleLevel"/>
    <w:tmpl w:val="71C645AE"/>
    <w:lvl w:ilvl="0">
      <w:start w:val="1"/>
      <w:numFmt w:val="lowerLetter"/>
      <w:lvlText w:val="(%1)"/>
      <w:lvlJc w:val="left"/>
      <w:pPr>
        <w:tabs>
          <w:tab w:val="num" w:pos="786"/>
        </w:tabs>
        <w:ind w:left="786" w:hanging="360"/>
      </w:pPr>
    </w:lvl>
  </w:abstractNum>
  <w:abstractNum w:abstractNumId="27">
    <w:nsid w:val="76A265B4"/>
    <w:multiLevelType w:val="singleLevel"/>
    <w:tmpl w:val="DFECE30A"/>
    <w:lvl w:ilvl="0">
      <w:start w:val="1"/>
      <w:numFmt w:val="lowerLetter"/>
      <w:lvlText w:val="(%1)"/>
      <w:lvlJc w:val="left"/>
      <w:pPr>
        <w:tabs>
          <w:tab w:val="num" w:pos="1068"/>
        </w:tabs>
        <w:ind w:left="1068" w:hanging="360"/>
      </w:pPr>
    </w:lvl>
  </w:abstractNum>
  <w:abstractNum w:abstractNumId="28">
    <w:nsid w:val="78330C04"/>
    <w:multiLevelType w:val="singleLevel"/>
    <w:tmpl w:val="9378D836"/>
    <w:lvl w:ilvl="0">
      <w:start w:val="1"/>
      <w:numFmt w:val="decimal"/>
      <w:lvlText w:val="%1."/>
      <w:lvlJc w:val="left"/>
      <w:pPr>
        <w:tabs>
          <w:tab w:val="num" w:pos="360"/>
        </w:tabs>
        <w:ind w:left="360" w:hanging="360"/>
      </w:pPr>
    </w:lvl>
  </w:abstractNum>
  <w:abstractNum w:abstractNumId="29">
    <w:nsid w:val="7E067A11"/>
    <w:multiLevelType w:val="singleLevel"/>
    <w:tmpl w:val="844E2464"/>
    <w:lvl w:ilvl="0">
      <w:start w:val="1"/>
      <w:numFmt w:val="decimal"/>
      <w:lvlText w:val="%1."/>
      <w:lvlJc w:val="left"/>
      <w:pPr>
        <w:tabs>
          <w:tab w:val="num" w:pos="360"/>
        </w:tabs>
        <w:ind w:left="360" w:hanging="360"/>
      </w:pPr>
    </w:lvl>
  </w:abstractNum>
  <w:num w:numId="1">
    <w:abstractNumId w:val="16"/>
  </w:num>
  <w:num w:numId="2">
    <w:abstractNumId w:val="29"/>
  </w:num>
  <w:num w:numId="3">
    <w:abstractNumId w:val="17"/>
  </w:num>
  <w:num w:numId="4">
    <w:abstractNumId w:val="24"/>
  </w:num>
  <w:num w:numId="5">
    <w:abstractNumId w:val="21"/>
  </w:num>
  <w:num w:numId="6">
    <w:abstractNumId w:val="27"/>
  </w:num>
  <w:num w:numId="7">
    <w:abstractNumId w:val="28"/>
  </w:num>
  <w:num w:numId="8">
    <w:abstractNumId w:val="4"/>
  </w:num>
  <w:num w:numId="9">
    <w:abstractNumId w:val="19"/>
  </w:num>
  <w:num w:numId="10">
    <w:abstractNumId w:val="13"/>
  </w:num>
  <w:num w:numId="11">
    <w:abstractNumId w:val="14"/>
  </w:num>
  <w:num w:numId="12">
    <w:abstractNumId w:val="26"/>
  </w:num>
  <w:num w:numId="13">
    <w:abstractNumId w:val="15"/>
  </w:num>
  <w:num w:numId="14">
    <w:abstractNumId w:val="2"/>
  </w:num>
  <w:num w:numId="15">
    <w:abstractNumId w:val="8"/>
  </w:num>
  <w:num w:numId="16">
    <w:abstractNumId w:val="3"/>
  </w:num>
  <w:num w:numId="17">
    <w:abstractNumId w:val="7"/>
  </w:num>
  <w:num w:numId="18">
    <w:abstractNumId w:val="6"/>
  </w:num>
  <w:num w:numId="19">
    <w:abstractNumId w:val="9"/>
  </w:num>
  <w:num w:numId="20">
    <w:abstractNumId w:val="10"/>
  </w:num>
  <w:num w:numId="21">
    <w:abstractNumId w:val="5"/>
  </w:num>
  <w:num w:numId="22">
    <w:abstractNumId w:val="22"/>
  </w:num>
  <w:num w:numId="23">
    <w:abstractNumId w:val="20"/>
  </w:num>
  <w:num w:numId="24">
    <w:abstractNumId w:val="11"/>
  </w:num>
  <w:num w:numId="25">
    <w:abstractNumId w:val="0"/>
  </w:num>
  <w:num w:numId="26">
    <w:abstractNumId w:val="23"/>
  </w:num>
  <w:num w:numId="27">
    <w:abstractNumId w:val="1"/>
  </w:num>
  <w:num w:numId="28">
    <w:abstractNumId w:val="18"/>
  </w:num>
  <w:num w:numId="29">
    <w:abstractNumId w:val="2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113"/>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en-US" w:bidi="ar-SA"/>
    </w:rPr>
  </w:style>
  <w:style w:type="paragraph" w:styleId="Heading1">
    <w:name w:val="heading 1"/>
    <w:basedOn w:val="Normal"/>
    <w:next w:val="Normal"/>
    <w:uiPriority w:val="9"/>
    <w:qFormat/>
    <w:pPr>
      <w:keepNext/>
      <w:jc w:val="left"/>
      <w:outlineLvl w:val="0"/>
    </w:pPr>
    <w:rPr>
      <w:b/>
      <w:noProof/>
      <w:lang w:val="sk-SK"/>
    </w:rPr>
  </w:style>
  <w:style w:type="paragraph" w:styleId="Heading2">
    <w:name w:val="heading 2"/>
    <w:basedOn w:val="Normal"/>
    <w:next w:val="Normal"/>
    <w:uiPriority w:val="9"/>
    <w:qFormat/>
    <w:pPr>
      <w:keepNext/>
      <w:jc w:val="center"/>
      <w:outlineLvl w:val="1"/>
    </w:pPr>
    <w:rPr>
      <w:b/>
      <w:noProof/>
      <w:lang w:val="sk-SK"/>
    </w:rPr>
  </w:style>
  <w:style w:type="paragraph" w:styleId="Heading3">
    <w:name w:val="heading 3"/>
    <w:basedOn w:val="Normal"/>
    <w:next w:val="Normal"/>
    <w:uiPriority w:val="9"/>
    <w:qFormat/>
    <w:pPr>
      <w:keepNext/>
      <w:spacing w:after="120" w:line="360" w:lineRule="auto"/>
      <w:ind w:left="360"/>
      <w:jc w:val="both"/>
      <w:outlineLvl w:val="2"/>
    </w:pPr>
    <w:rPr>
      <w:i/>
      <w:noProof/>
      <w:lang w:val="sk-SK"/>
    </w:rPr>
  </w:style>
  <w:style w:type="paragraph" w:styleId="Heading4">
    <w:name w:val="heading 4"/>
    <w:basedOn w:val="Normal"/>
    <w:next w:val="Normal"/>
    <w:uiPriority w:val="9"/>
    <w:qFormat/>
    <w:pPr>
      <w:keepNext/>
      <w:spacing w:after="120" w:line="360" w:lineRule="auto"/>
      <w:ind w:left="426"/>
      <w:jc w:val="both"/>
      <w:outlineLvl w:val="3"/>
    </w:pPr>
    <w:rPr>
      <w:i/>
      <w:noProof/>
      <w:lang w:val="sk-SK"/>
    </w:rPr>
  </w:style>
  <w:style w:type="paragraph" w:styleId="Heading5">
    <w:name w:val="heading 5"/>
    <w:basedOn w:val="Normal"/>
    <w:next w:val="Normal"/>
    <w:uiPriority w:val="9"/>
    <w:qFormat/>
    <w:pPr>
      <w:spacing w:before="240" w:after="60"/>
      <w:jc w:val="left"/>
      <w:outlineLvl w:val="4"/>
    </w:pPr>
    <w:rPr>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left"/>
    </w:pPr>
    <w:rPr>
      <w:sz w:val="20"/>
    </w:rPr>
  </w:style>
  <w:style w:type="paragraph" w:customStyle="1" w:styleId="Datedadoption">
    <w:name w:val="Date d'adoption"/>
    <w:basedOn w:val="Normal"/>
    <w:next w:val="Normal"/>
    <w:pPr>
      <w:spacing w:before="360"/>
      <w:jc w:val="center"/>
    </w:pPr>
    <w:rPr>
      <w:b/>
      <w:noProof/>
      <w:lang w:val="cs-CZ"/>
    </w:rPr>
  </w:style>
  <w:style w:type="paragraph" w:customStyle="1" w:styleId="Text1">
    <w:name w:val="Text 1"/>
    <w:basedOn w:val="Normal"/>
    <w:pPr>
      <w:spacing w:before="120" w:after="120"/>
      <w:ind w:left="851"/>
      <w:jc w:val="both"/>
    </w:pPr>
    <w:rPr>
      <w:noProof/>
      <w:lang w:val="cs-CZ"/>
    </w:rPr>
  </w:style>
  <w:style w:type="paragraph" w:styleId="Title">
    <w:name w:val="Title"/>
    <w:basedOn w:val="Normal"/>
    <w:uiPriority w:val="10"/>
    <w:qFormat/>
    <w:pPr>
      <w:spacing w:after="120"/>
      <w:jc w:val="center"/>
    </w:pPr>
    <w:rPr>
      <w:b/>
      <w:noProof/>
      <w:lang w:val="sk-SK"/>
    </w:rPr>
  </w:style>
  <w:style w:type="paragraph" w:styleId="FootnoteText">
    <w:name w:val="footnote text"/>
    <w:basedOn w:val="Normal"/>
    <w:semiHidden/>
    <w:pPr>
      <w:spacing w:after="120"/>
      <w:jc w:val="left"/>
    </w:pPr>
    <w:rPr>
      <w:noProof/>
      <w:sz w:val="20"/>
      <w:lang w:val="sk-SK"/>
    </w:rPr>
  </w:style>
  <w:style w:type="character" w:styleId="FootnoteReference">
    <w:name w:val="footnote reference"/>
    <w:basedOn w:val="DefaultParagraphFont"/>
    <w:semiHidden/>
    <w:rPr>
      <w:vertAlign w:val="superscript"/>
    </w:rPr>
  </w:style>
  <w:style w:type="paragraph" w:styleId="BodyTextIndent">
    <w:name w:val="Body Text Indent"/>
    <w:basedOn w:val="Normal"/>
    <w:pPr>
      <w:spacing w:after="120" w:line="360" w:lineRule="auto"/>
      <w:ind w:left="426"/>
      <w:jc w:val="both"/>
    </w:pPr>
    <w:rPr>
      <w:noProof/>
      <w:lang w:val="sk-SK"/>
    </w:rPr>
  </w:style>
  <w:style w:type="paragraph" w:styleId="BodyTextIndent2">
    <w:name w:val="Body Text Indent 2"/>
    <w:basedOn w:val="Normal"/>
    <w:pPr>
      <w:spacing w:after="120" w:line="360" w:lineRule="auto"/>
      <w:ind w:left="426" w:hanging="426"/>
      <w:jc w:val="both"/>
    </w:pPr>
    <w:rPr>
      <w:noProof/>
      <w:lang w:val="sk-SK"/>
    </w:rPr>
  </w:style>
  <w:style w:type="paragraph" w:styleId="BodyTextIndent3">
    <w:name w:val="Body Text Indent 3"/>
    <w:basedOn w:val="Normal"/>
    <w:pPr>
      <w:spacing w:after="120" w:line="360" w:lineRule="auto"/>
      <w:ind w:left="284"/>
      <w:jc w:val="both"/>
    </w:pPr>
    <w:rPr>
      <w:noProof/>
      <w:lang w:val="sk-SK"/>
    </w:rPr>
  </w:style>
  <w:style w:type="paragraph" w:styleId="BodyText2">
    <w:name w:val="Body Text 2"/>
    <w:basedOn w:val="Normal"/>
    <w:pPr>
      <w:spacing w:line="360" w:lineRule="auto"/>
      <w:jc w:val="both"/>
    </w:pPr>
    <w:rPr>
      <w:sz w:val="18"/>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customStyle="1" w:styleId="Textbubliny">
    <w:name w:val="Text bubliny"/>
    <w:basedOn w:val="Normal"/>
    <w:semiHidden/>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2400</Words>
  <Characters>13685</Characters>
  <Application>Microsoft Office Word</Application>
  <DocSecurity>0</DocSecurity>
  <Lines>0</Lines>
  <Paragraphs>0</Paragraphs>
  <ScaleCrop>false</ScaleCrop>
  <Company>Ministry of Finance</Company>
  <LinksUpToDate>false</LinksUpToDate>
  <CharactersWithSpaces>16806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Novackova Daniela</dc:creator>
  <cp:lastModifiedBy>Marta Gulárová</cp:lastModifiedBy>
  <cp:revision>2</cp:revision>
  <cp:lastPrinted>2004-05-04T07:54:00Z</cp:lastPrinted>
  <dcterms:created xsi:type="dcterms:W3CDTF">2004-06-21T12:57:00Z</dcterms:created>
  <dcterms:modified xsi:type="dcterms:W3CDTF">2004-06-21T12:57:00Z</dcterms:modified>
</cp:coreProperties>
</file>