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szCs w:val="24"/>
          <w:lang w:val="sk-SK"/>
        </w:rPr>
      </w:pPr>
      <w:r>
        <w:rPr>
          <w:rFonts w:ascii="Times New Roman" w:hAnsi="Times New Roman" w:cs="Times New Roman"/>
          <w:b/>
          <w:szCs w:val="24"/>
          <w:lang w:val="sk-SK"/>
        </w:rPr>
        <w:t>TABUĽKA ZHODY</w:t>
      </w:r>
    </w:p>
    <w:p>
      <w:pPr>
        <w:jc w:val="center"/>
        <w:rPr>
          <w:rFonts w:ascii="Times New Roman" w:hAnsi="Times New Roman" w:cs="Times New Roman"/>
          <w:b/>
          <w:szCs w:val="24"/>
          <w:lang w:val="sk-SK"/>
        </w:rPr>
      </w:pPr>
      <w:r>
        <w:rPr>
          <w:rFonts w:ascii="Times New Roman" w:hAnsi="Times New Roman" w:cs="Times New Roman"/>
          <w:b/>
          <w:szCs w:val="24"/>
          <w:lang w:val="sk-SK"/>
        </w:rPr>
        <w:t>k návrhu zákona, ktorým sa mení a dopĺňa zákon č. 431/2002 Z.z. o účtovníctve v znení zákona č. 562/2003 Z.z. s právom Európskych spoločenstiev a právom Európskej únie</w:t>
      </w:r>
    </w:p>
    <w:tbl>
      <w:tblPr>
        <w:tblW w:w="1535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26"/>
        <w:gridCol w:w="4678"/>
        <w:gridCol w:w="567"/>
        <w:gridCol w:w="709"/>
        <w:gridCol w:w="709"/>
        <w:gridCol w:w="4819"/>
        <w:gridCol w:w="425"/>
        <w:gridCol w:w="851"/>
        <w:gridCol w:w="1134"/>
        <w:gridCol w:w="1033"/>
      </w:tblGrid>
      <w:tr>
        <w:tblPrEx>
          <w:tblW w:w="1535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671"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szCs w:val="24"/>
              </w:rPr>
            </w:pPr>
            <w:r>
              <w:rPr>
                <w:rFonts w:ascii="Times New Roman" w:hAnsi="Times New Roman" w:cs="Times New Roman"/>
                <w:szCs w:val="24"/>
              </w:rPr>
              <w:t>Právny akt EÚ/ES</w:t>
            </w:r>
          </w:p>
          <w:p>
            <w:pPr>
              <w:jc w:val="both"/>
              <w:rPr>
                <w:rFonts w:ascii="Times New Roman" w:hAnsi="Times New Roman" w:cs="Times New Roman"/>
                <w:b/>
                <w:szCs w:val="24"/>
                <w:lang w:val="sk-SK"/>
              </w:rPr>
            </w:pPr>
            <w:r>
              <w:rPr>
                <w:rFonts w:ascii="Times New Roman" w:hAnsi="Times New Roman" w:cs="Times New Roman"/>
                <w:b/>
                <w:szCs w:val="24"/>
                <w:lang w:val="sk-SK"/>
              </w:rPr>
              <w:t>Smernica č. 86/635/EHS o výročných účtoch  a konsolidovaných účtoch bánk a iných finančných inštitúcií</w:t>
            </w:r>
          </w:p>
        </w:tc>
        <w:tc>
          <w:tcPr>
            <w:tcW w:w="9680"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Všeobecne záväzné právne predpisy SR</w:t>
            </w:r>
          </w:p>
          <w:p>
            <w:pPr>
              <w:jc w:val="both"/>
              <w:rPr>
                <w:rFonts w:ascii="Times New Roman" w:hAnsi="Times New Roman" w:cs="Times New Roman"/>
                <w:b/>
                <w:szCs w:val="24"/>
                <w:lang w:val="sk-SK"/>
              </w:rPr>
            </w:pPr>
            <w:r>
              <w:rPr>
                <w:rFonts w:ascii="Times New Roman" w:hAnsi="Times New Roman" w:cs="Times New Roman"/>
                <w:b/>
                <w:szCs w:val="24"/>
                <w:lang w:val="sk-SK"/>
              </w:rPr>
              <w:t>Návrh zákona, ktorým sa mení a dopĺňa zákon č. 431/2002 Z.z. o účtovníctve v znení zákona č. 562/2003 Z.z. (ďalej len „návrh zákona“)</w:t>
            </w:r>
          </w:p>
          <w:p>
            <w:pPr>
              <w:jc w:val="both"/>
              <w:rPr>
                <w:rFonts w:ascii="Times New Roman" w:hAnsi="Times New Roman" w:cs="Times New Roman"/>
                <w:b/>
                <w:szCs w:val="24"/>
                <w:lang w:val="sk-SK"/>
              </w:rPr>
            </w:pPr>
            <w:r>
              <w:rPr>
                <w:rFonts w:ascii="Times New Roman" w:hAnsi="Times New Roman" w:cs="Times New Roman"/>
                <w:b/>
                <w:szCs w:val="24"/>
                <w:lang w:val="sk-SK"/>
              </w:rPr>
              <w:t>Zákon č. 431/2002 Z.z. o účtovníctve v znení zákona č. 562/2003 Z.z.</w:t>
            </w: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szCs w:val="24"/>
                <w:lang w:val="sk-SK"/>
              </w:rPr>
              <w:t xml:space="preserve">   </w:t>
            </w:r>
            <w:r>
              <w:rPr>
                <w:rFonts w:ascii="Times New Roman" w:hAnsi="Times New Roman" w:cs="Times New Roman"/>
                <w:b/>
                <w:szCs w:val="24"/>
                <w:lang w:val="sk-SK"/>
              </w:rPr>
              <w:t>č.</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Times New Roman" w:hAnsi="Times New Roman" w:cs="Times New Roman"/>
                <w:szCs w:val="24"/>
              </w:rPr>
            </w:pPr>
            <w:r>
              <w:rPr>
                <w:rFonts w:ascii="Times New Roman" w:hAnsi="Times New Roman" w:cs="Times New Roman"/>
                <w:szCs w:val="24"/>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Spôsob transpozície</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Číslo</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Článok</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Text</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Zhoda</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Administratívna infraštruktúra</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Pozná</w:t>
            </w:r>
          </w:p>
          <w:p>
            <w:pPr>
              <w:rPr>
                <w:rFonts w:ascii="Times New Roman" w:hAnsi="Times New Roman" w:cs="Times New Roman"/>
                <w:b/>
                <w:szCs w:val="24"/>
                <w:lang w:val="sk-SK"/>
              </w:rPr>
            </w:pPr>
            <w:r>
              <w:rPr>
                <w:rFonts w:ascii="Times New Roman" w:hAnsi="Times New Roman" w:cs="Times New Roman"/>
                <w:b/>
                <w:szCs w:val="24"/>
                <w:lang w:val="sk-SK"/>
              </w:rPr>
              <w:t>mky</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Štádium legislatívneho procesu</w:t>
            </w:r>
          </w:p>
        </w:tc>
      </w:tr>
      <w:tr>
        <w:tblPrEx>
          <w:tblW w:w="15351" w:type="dxa"/>
          <w:tblInd w:w="-356" w:type="dxa"/>
          <w:tblLayout w:type="fixed"/>
          <w:tblCellMar>
            <w:top w:w="0" w:type="dxa"/>
            <w:left w:w="70" w:type="dxa"/>
            <w:bottom w:w="0" w:type="dxa"/>
            <w:right w:w="70" w:type="dxa"/>
          </w:tblCellMar>
        </w:tblPrEx>
        <w:trPr>
          <w:trHeight w:val="273"/>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V prípade úverových inštitúcií sa možnosť kombinovať položky podľa článku 4 (3) (a) alebo (b) smernice 78/660/EEC obmedzí na podpoložky súvahy a výkazu ziskov a strát, pred ktorými sú malé písmená a autorizujú sa len podľa pravidiel, ktoré za týmto účelom stanovia členské štáty.</w:t>
            </w: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zákon č. 431/2002 Z.z. </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§4 ods.2</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MS Sans Serif" w:hAnsi="MS Sans Serif" w:cs="Times New Roman"/>
                <w:i/>
                <w:color w:val="000000"/>
                <w:szCs w:val="24"/>
                <w:lang w:val="sk-SK"/>
              </w:rPr>
              <w:t xml:space="preserve">Podrobnosti o rámcových účtových osnovách (§ 13) pre jednotlivé skupiny účtovných jednotiek účtujúcich v sústave podvojného účtovníctva, dni uskutočnenia účtovného prípadu, postupoch účtovania, usporiadaní a označovaní položiek individuálnej účtovnej závierky a konsolidovanej účtovnej závierky a o obsahovom vymedzení týchto položiek, rozsahu údajov určených z účtovnej závierky na zverejnenie, termínoch, spôsoboch a mieste predkladania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w:t>
            </w:r>
            <w:r>
              <w:rPr>
                <w:rFonts w:ascii="MS Sans Serif" w:hAnsi="MS Sans Serif" w:cs="Times New Roman"/>
                <w:b/>
                <w:color w:val="000000"/>
                <w:szCs w:val="24"/>
                <w:lang w:val="sk-SK"/>
              </w:rPr>
              <w:t>a</w:t>
            </w:r>
            <w:r>
              <w:rPr>
                <w:rFonts w:ascii="MS Sans Serif" w:hAnsi="MS Sans Serif" w:cs="Times New Roman"/>
                <w:b/>
                <w:color w:val="000000"/>
                <w:szCs w:val="24"/>
                <w:lang w:val="sk-SK"/>
              </w:rPr>
              <w:t> </w:t>
            </w:r>
            <w:r>
              <w:rPr>
                <w:rFonts w:ascii="MS Sans Serif" w:hAnsi="MS Sans Serif" w:cs="Times New Roman"/>
                <w:b/>
                <w:color w:val="000000"/>
                <w:szCs w:val="24"/>
                <w:lang w:val="sk-SK"/>
              </w:rPr>
              <w:t>ananlytickej evidencie</w:t>
            </w:r>
            <w:r>
              <w:rPr>
                <w:rFonts w:ascii="MS Sans Serif" w:hAnsi="MS Sans Serif" w:cs="Times New Roman"/>
                <w:i/>
                <w:color w:val="000000"/>
                <w:szCs w:val="24"/>
                <w:lang w:val="sk-SK"/>
              </w:rPr>
              <w:t xml:space="preserve">, metódach a postupoch konsolidácie a účtovných sústavách ustanoví </w:t>
            </w:r>
            <w:r>
              <w:rPr>
                <w:rFonts w:ascii="Times New Roman" w:hAnsi="Times New Roman" w:cs="Times New Roman"/>
                <w:b/>
                <w:szCs w:val="24"/>
                <w:lang w:val="sk-SK"/>
              </w:rPr>
              <w:t>Ministerstvo financií Slovenskej republiky (ďalej len „ministerstvo“)</w:t>
            </w:r>
            <w:r>
              <w:rPr>
                <w:rFonts w:ascii="MS Sans Serif" w:hAnsi="MS Sans Serif" w:cs="Times New Roman"/>
                <w:i/>
                <w:color w:val="000000"/>
                <w:szCs w:val="24"/>
                <w:lang w:val="sk-SK"/>
              </w:rPr>
              <w:t xml:space="preserve"> opatrením. Opatrenie vyhlasuje ministerstvo oznámením o jeho vydaní v Zbierke zákonov Slovenskej republiky8) a účtovná jednotka je povinná ho dodržiavať.</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MF SR</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č. 4455/ 2003-92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5</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Ako podpoložky musia byť uvedené nasledujúce časti položiek:</w:t>
            </w:r>
          </w:p>
          <w:p>
            <w:pPr>
              <w:ind w:right="400"/>
              <w:rPr>
                <w:rFonts w:ascii="Times New Roman" w:hAnsi="Times New Roman" w:cs="Times New Roman"/>
                <w:szCs w:val="24"/>
                <w:lang w:val="sk-SK"/>
              </w:rPr>
            </w:pPr>
            <w:r>
              <w:rPr>
                <w:rFonts w:ascii="Times New Roman" w:hAnsi="Times New Roman" w:cs="Times New Roman"/>
                <w:szCs w:val="24"/>
                <w:lang w:val="sk-SK"/>
              </w:rPr>
              <w:t>- pohľadávky, či už dokazované alebo nedokazované certifikátmi, k sesterským podnikom a zahrnuté v položkách Aktíva 2 až 5,</w:t>
            </w:r>
          </w:p>
          <w:p>
            <w:pPr>
              <w:rPr>
                <w:rFonts w:ascii="Times New Roman" w:hAnsi="Times New Roman" w:cs="Times New Roman"/>
                <w:szCs w:val="24"/>
                <w:lang w:val="sk-SK"/>
              </w:rPr>
            </w:pPr>
            <w:r>
              <w:rPr>
                <w:rFonts w:ascii="Times New Roman" w:hAnsi="Times New Roman" w:cs="Times New Roman"/>
                <w:szCs w:val="24"/>
                <w:lang w:val="sk-SK"/>
              </w:rPr>
              <w:t>- pohľadávky, či už dokazované alebo nedokazované certifikátmi, voči podnikom, s ktorými je úverová inštitúcia spojená prostredníctvom podielovej účasti a ktoré</w:t>
            </w:r>
            <w:r>
              <w:rPr>
                <w:rFonts w:ascii="Times New Roman" w:hAnsi="Times New Roman" w:cs="Times New Roman"/>
                <w:b/>
                <w:szCs w:val="24"/>
                <w:lang w:val="sk-SK"/>
              </w:rPr>
              <w:t xml:space="preserve"> </w:t>
            </w:r>
            <w:r>
              <w:rPr>
                <w:rFonts w:ascii="Times New Roman" w:hAnsi="Times New Roman" w:cs="Times New Roman"/>
                <w:szCs w:val="24"/>
                <w:lang w:val="sk-SK"/>
              </w:rPr>
              <w:t>sú zahrnuté do položiek Aktíva 2 až 5,</w:t>
            </w:r>
          </w:p>
          <w:p>
            <w:pPr>
              <w:pStyle w:val="BlockText"/>
              <w:spacing w:before="0" w:line="240" w:lineRule="auto"/>
              <w:ind w:left="0"/>
              <w:rPr>
                <w:rFonts w:ascii="Times New Roman" w:hAnsi="Times New Roman" w:cs="Times New Roman"/>
                <w:sz w:val="24"/>
                <w:szCs w:val="24"/>
              </w:rPr>
            </w:pPr>
            <w:r>
              <w:rPr>
                <w:rFonts w:ascii="Times New Roman" w:hAnsi="Times New Roman" w:cs="Times New Roman"/>
                <w:sz w:val="24"/>
                <w:szCs w:val="24"/>
              </w:rPr>
              <w:t>- záväzky, či už dokazované alebo nedokazované certifikátmi, voči sesterským podnikom a zahrnuté v položkách Pasíva 1, 2, 3 a 8,</w:t>
            </w:r>
          </w:p>
          <w:p>
            <w:pPr>
              <w:rPr>
                <w:rFonts w:ascii="Times New Roman" w:hAnsi="Times New Roman" w:cs="Times New Roman"/>
                <w:szCs w:val="24"/>
                <w:lang w:val="sk-SK"/>
              </w:rPr>
            </w:pPr>
            <w:r>
              <w:rPr>
                <w:rFonts w:ascii="Times New Roman" w:hAnsi="Times New Roman" w:cs="Times New Roman"/>
                <w:szCs w:val="24"/>
                <w:lang w:val="sk-SK"/>
              </w:rPr>
              <w:t>- záväzky, či už dokazované alebo nedokazované certifikátmi, voči podnikom, s ktorými je úverová inštitúcia spojená prostredníctvom podielovej účasti, a zahrnuté do položiek Pasíva 1, 2, 3 a 8.</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431/2002 Z.z</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§4 ods.2</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MS Sans Serif" w:hAnsi="MS Sans Serif" w:cs="Times New Roman"/>
                <w:i/>
                <w:color w:val="000000"/>
                <w:szCs w:val="24"/>
                <w:lang w:val="sk-SK"/>
              </w:rPr>
              <w:t xml:space="preserve">Podrobnosti o rámcových účtových osnovách (§ 13) pre jednotlivé skupiny účtovných jednotiek účtujúcich v sústave podvojného účtovníctva, dni uskutočnenia účtovného prípadu, postupoch účtovania, usporiadaní a označovaní položiek individuálnej účtovnej závierky a konsolidovanej účtovnej závierky a o obsahovom vymedzení týchto položiek, rozsahu údajov určených z účtovnej závierky na zverejnenie, termínoch, spôsoboch a mieste predkladania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w:t>
            </w:r>
            <w:r>
              <w:rPr>
                <w:rFonts w:ascii="MS Sans Serif" w:hAnsi="MS Sans Serif" w:cs="Times New Roman"/>
                <w:b/>
                <w:color w:val="000000"/>
                <w:szCs w:val="24"/>
                <w:lang w:val="sk-SK"/>
              </w:rPr>
              <w:t>a ananlytickej evidencie</w:t>
            </w:r>
            <w:r>
              <w:rPr>
                <w:rFonts w:ascii="MS Sans Serif" w:hAnsi="MS Sans Serif" w:cs="Times New Roman"/>
                <w:i/>
                <w:color w:val="000000"/>
                <w:szCs w:val="24"/>
                <w:lang w:val="sk-SK"/>
              </w:rPr>
              <w:t xml:space="preserve">, metódach a postupoch konsolidácie a účtovných sústavách ustanoví </w:t>
            </w:r>
            <w:r>
              <w:rPr>
                <w:rFonts w:ascii="Times New Roman" w:hAnsi="Times New Roman" w:cs="Times New Roman"/>
                <w:b/>
                <w:szCs w:val="24"/>
                <w:lang w:val="sk-SK"/>
              </w:rPr>
              <w:t>Ministerstvo financií Slovenskej republiky (ďalej len „ministerstvo“)</w:t>
            </w:r>
            <w:r>
              <w:rPr>
                <w:rFonts w:ascii="MS Sans Serif" w:hAnsi="MS Sans Serif" w:cs="Times New Roman"/>
                <w:i/>
                <w:color w:val="000000"/>
                <w:szCs w:val="24"/>
                <w:lang w:val="sk-SK"/>
              </w:rPr>
              <w:t xml:space="preserve"> opatrením. Opatrenie vyhlasuje ministerstvo oznámením o jeho vydaní v Zbierke zákonov Slovenskej republiky8) a účtovná jednotka je povinná ho dodržiavať.</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MF SR č.4455/ 2003-92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Čl.7</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Členské štáty môžu povoliť odhalenie informácií uvedených v článkoch 5 a 6, náležito rozčlenených do rozličných príslušných položiek, v zápisoch o účtoch.</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§18 ods.5</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lang w:val="sk-SK"/>
              </w:rPr>
              <w:t>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4455/ 2003-92</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26</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Na predloženie výkazu hospodárskeho výsledku predpíšu členské štáty jeden alebo dve usporiadania uvedené v článkoch 27 a 28. Ak členský štát predpíše obe usporiadania, môže  dovoliť podnikom, aby si medzi nimi zvolili.</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431/2002 Z.z</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§4 ods.2</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MS Sans Serif" w:hAnsi="MS Sans Serif" w:cs="Times New Roman"/>
                <w:i/>
                <w:color w:val="000000"/>
                <w:szCs w:val="24"/>
                <w:lang w:val="sk-SK"/>
              </w:rPr>
              <w:t xml:space="preserve">Podrobnosti o rámcových účtových osnovách (§ 13) pre jednotlivé skupiny účtovných jednotiek účtujúcich v sústave podvojného účtovníctva, dni uskutočnenia účtovného prípadu, postupoch účtovania, usporiadaní a označovaní položiek individuálnej účtovnej závierky a konsolidovanej účtovnej závierky a o obsahovom vymedzení týchto položiek, rozsahu údajov určených z účtovnej závierky na zverejnenie, termínoch, spôsoboch a mieste predkladania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w:t>
            </w:r>
            <w:r>
              <w:rPr>
                <w:rFonts w:ascii="MS Sans Serif" w:hAnsi="MS Sans Serif" w:cs="Times New Roman"/>
                <w:b/>
                <w:color w:val="000000"/>
                <w:szCs w:val="24"/>
                <w:lang w:val="sk-SK"/>
              </w:rPr>
              <w:t>a ananlytickej evidencie</w:t>
            </w:r>
            <w:r>
              <w:rPr>
                <w:rFonts w:ascii="MS Sans Serif" w:hAnsi="MS Sans Serif" w:cs="Times New Roman"/>
                <w:i/>
                <w:color w:val="000000"/>
                <w:szCs w:val="24"/>
                <w:lang w:val="sk-SK"/>
              </w:rPr>
              <w:t xml:space="preserve">, metódach a postupoch konsolidácie a účtovných sústavách ustanoví </w:t>
            </w:r>
            <w:r>
              <w:rPr>
                <w:rFonts w:ascii="Times New Roman" w:hAnsi="Times New Roman" w:cs="Times New Roman"/>
                <w:b/>
                <w:szCs w:val="24"/>
                <w:lang w:val="sk-SK"/>
              </w:rPr>
              <w:t>Ministerstvo financií Slovenskej republiky (ďalej len „ministerstvo“)</w:t>
            </w:r>
            <w:r>
              <w:rPr>
                <w:rFonts w:ascii="MS Sans Serif" w:hAnsi="MS Sans Serif" w:cs="Times New Roman"/>
                <w:i/>
                <w:color w:val="000000"/>
                <w:szCs w:val="24"/>
                <w:lang w:val="sk-SK"/>
              </w:rPr>
              <w:t xml:space="preserve"> opatrením. Opatrenie vyhlasuje ministerstvo oznámením o jeho vydaní v Zbierke zákonov Slovenskej republiky8) a účtovná jednotka je povinná ho dodržiavať.</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MF SR č. 4455/ 2003-92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40</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400"/>
              <w:rPr>
                <w:rFonts w:ascii="Times New Roman" w:hAnsi="Times New Roman" w:cs="Times New Roman"/>
                <w:szCs w:val="24"/>
                <w:lang w:val="sk-SK"/>
              </w:rPr>
            </w:pPr>
            <w:r>
              <w:rPr>
                <w:rFonts w:ascii="Times New Roman" w:hAnsi="Times New Roman" w:cs="Times New Roman"/>
                <w:szCs w:val="24"/>
                <w:lang w:val="sk-SK"/>
              </w:rPr>
              <w:t>1. Článok 43 (1) smernice 78/660/EEC sa aplikuje v znení článku 37</w:t>
            </w:r>
            <w:r>
              <w:rPr>
                <w:rFonts w:ascii="Times New Roman" w:hAnsi="Times New Roman" w:cs="Times New Roman"/>
                <w:szCs w:val="24"/>
                <w:lang w:val="sk-SK"/>
              </w:rPr>
              <w:t xml:space="preserve"> tejto smernice a nasledovných ustanovení.</w:t>
            </w:r>
          </w:p>
          <w:p>
            <w:pPr>
              <w:rPr>
                <w:rFonts w:ascii="Times New Roman" w:hAnsi="Times New Roman" w:cs="Times New Roman"/>
                <w:szCs w:val="24"/>
                <w:lang w:val="sk-SK"/>
              </w:rPr>
            </w:pPr>
            <w:r>
              <w:rPr>
                <w:rFonts w:ascii="Times New Roman" w:hAnsi="Times New Roman" w:cs="Times New Roman"/>
                <w:szCs w:val="24"/>
                <w:lang w:val="sk-SK"/>
              </w:rPr>
              <w:t>2. Okrem informácií, vyžadovaných podľa článku 43 (1) (5) smernice 78/660/EEC, odhalia úverové inštitúcie nasledujúce informácie v súvislosti s položkou Pasíva 8 (Druhoradé pasíva):</w:t>
            </w:r>
          </w:p>
          <w:p>
            <w:pPr>
              <w:rPr>
                <w:rFonts w:ascii="Times New Roman" w:hAnsi="Times New Roman" w:cs="Times New Roman"/>
                <w:szCs w:val="24"/>
                <w:lang w:val="sk-SK"/>
              </w:rPr>
            </w:pPr>
            <w:r>
              <w:rPr>
                <w:rFonts w:ascii="Times New Roman" w:hAnsi="Times New Roman" w:cs="Times New Roman"/>
                <w:szCs w:val="24"/>
                <w:lang w:val="sk-SK"/>
              </w:rPr>
              <w:t>(a) vzhľadom na každé vypožičanie, ktoré prekročí 10% celkovej sumy druhoradých pasív:</w:t>
            </w:r>
          </w:p>
          <w:p>
            <w:pPr>
              <w:rPr>
                <w:rFonts w:ascii="Times New Roman" w:hAnsi="Times New Roman" w:cs="Times New Roman"/>
                <w:szCs w:val="24"/>
                <w:lang w:val="sk-SK"/>
              </w:rPr>
            </w:pPr>
            <w:r>
              <w:rPr>
                <w:rFonts w:ascii="Times New Roman" w:hAnsi="Times New Roman" w:cs="Times New Roman"/>
                <w:szCs w:val="24"/>
                <w:lang w:val="sk-SK"/>
              </w:rPr>
              <w:t>(i)  sumu vypožičania, menu, v ktorej sa uvádza, úrokovú mieru a dátum splatnosti alebo skutočnosť, že ide o trvalú emisiu;</w:t>
            </w:r>
          </w:p>
          <w:p>
            <w:pPr>
              <w:rPr>
                <w:rFonts w:ascii="Times New Roman" w:hAnsi="Times New Roman" w:cs="Times New Roman"/>
                <w:szCs w:val="24"/>
                <w:lang w:val="sk-SK"/>
              </w:rPr>
            </w:pPr>
            <w:r>
              <w:rPr>
                <w:rFonts w:ascii="Times New Roman" w:hAnsi="Times New Roman" w:cs="Times New Roman"/>
                <w:szCs w:val="24"/>
                <w:lang w:val="sk-SK"/>
              </w:rPr>
              <w:t>(ii) či existujú nejaké okolnosti, za akých sa vyžaduje splatenie;</w:t>
            </w:r>
          </w:p>
          <w:p>
            <w:pPr>
              <w:ind w:right="400"/>
              <w:rPr>
                <w:rFonts w:ascii="Times New Roman" w:hAnsi="Times New Roman" w:cs="Times New Roman"/>
                <w:szCs w:val="24"/>
                <w:lang w:val="sk-SK"/>
              </w:rPr>
            </w:pPr>
            <w:r>
              <w:rPr>
                <w:rFonts w:ascii="Times New Roman" w:hAnsi="Times New Roman" w:cs="Times New Roman"/>
                <w:szCs w:val="24"/>
                <w:lang w:val="sk-SK"/>
              </w:rPr>
              <w:t>(iii) pod</w:t>
            </w:r>
            <w:r>
              <w:rPr>
                <w:rFonts w:ascii="Times New Roman" w:hAnsi="Times New Roman" w:cs="Times New Roman"/>
                <w:szCs w:val="24"/>
                <w:lang w:val="sk-SK"/>
              </w:rPr>
              <w:t>mienky podriadenosti, existenciu všetkých ustanovení na prevedenie druhoradého záväzku na kapitál alebo nejakú inú formu záväzku a podmienky všetkých takýchto ustanovení.</w:t>
            </w:r>
          </w:p>
          <w:p>
            <w:pPr>
              <w:rPr>
                <w:rFonts w:ascii="Times New Roman" w:hAnsi="Times New Roman" w:cs="Times New Roman"/>
                <w:szCs w:val="24"/>
                <w:lang w:val="sk-SK"/>
              </w:rPr>
            </w:pPr>
            <w:r>
              <w:rPr>
                <w:rFonts w:ascii="Times New Roman" w:hAnsi="Times New Roman" w:cs="Times New Roman"/>
                <w:szCs w:val="24"/>
                <w:lang w:val="sk-SK"/>
              </w:rPr>
              <w:t>(b) celkové označenie pravidiel, ktorými sa riadia ostatné vypožičiavania.</w:t>
            </w:r>
          </w:p>
          <w:p>
            <w:pPr>
              <w:pStyle w:val="BodyTextIndent2"/>
              <w:spacing w:before="0"/>
              <w:ind w:left="0"/>
              <w:rPr>
                <w:rFonts w:ascii="Times New Roman" w:hAnsi="Times New Roman" w:cs="Times New Roman"/>
                <w:sz w:val="24"/>
                <w:szCs w:val="24"/>
              </w:rPr>
            </w:pPr>
            <w:r>
              <w:rPr>
                <w:rFonts w:ascii="Times New Roman" w:hAnsi="Times New Roman" w:cs="Times New Roman"/>
                <w:sz w:val="24"/>
                <w:szCs w:val="24"/>
              </w:rPr>
              <w:t xml:space="preserve">3. (a) namiesto informácií, vyžadovaných podľa článku 43 (1) (6) smernice 78/660/EEC, úverové inštitúcie v zápisoch o svojich účtoch uvedú pre každú z položiek Aktíva 3 (b) a 4 a položiek Pasíva 1 (b), 2 (a), 2 (b) (bb) a 3 (b) sumy týchto pôžičiek a preddavkov ako </w:t>
            </w:r>
            <w:r>
              <w:rPr>
                <w:rFonts w:ascii="Times New Roman" w:hAnsi="Times New Roman" w:cs="Times New Roman"/>
                <w:sz w:val="24"/>
                <w:szCs w:val="24"/>
              </w:rPr>
              <w:t>aj pasíva na základe ich zostávajúcej splatnosti nasledovným spôsobom:</w:t>
            </w:r>
          </w:p>
          <w:p>
            <w:pPr>
              <w:rPr>
                <w:rFonts w:ascii="Times New Roman" w:hAnsi="Times New Roman" w:cs="Times New Roman"/>
                <w:szCs w:val="24"/>
                <w:lang w:val="de-DE"/>
              </w:rPr>
            </w:pPr>
            <w:r>
              <w:rPr>
                <w:rFonts w:ascii="Times New Roman" w:hAnsi="Times New Roman" w:cs="Times New Roman"/>
                <w:szCs w:val="24"/>
                <w:lang w:val="de-DE"/>
              </w:rPr>
              <w:t>-      nie viac ako tri mesiace,</w:t>
            </w:r>
          </w:p>
          <w:p>
            <w:pPr>
              <w:ind w:right="71"/>
              <w:rPr>
                <w:rFonts w:ascii="Times New Roman" w:hAnsi="Times New Roman" w:cs="Times New Roman"/>
                <w:b/>
                <w:szCs w:val="24"/>
                <w:lang w:val="de-DE"/>
              </w:rPr>
            </w:pPr>
            <w:r>
              <w:rPr>
                <w:rFonts w:ascii="Times New Roman" w:hAnsi="Times New Roman" w:cs="Times New Roman"/>
                <w:szCs w:val="24"/>
                <w:lang w:val="de-DE"/>
              </w:rPr>
              <w:t>- viac ako tri mesiace, ale nie viac ako jeden</w:t>
            </w:r>
            <w:r>
              <w:rPr>
                <w:rFonts w:ascii="Times New Roman" w:hAnsi="Times New Roman" w:cs="Times New Roman"/>
                <w:b/>
                <w:szCs w:val="24"/>
                <w:lang w:val="de-DE"/>
              </w:rPr>
              <w:t xml:space="preserve"> </w:t>
            </w:r>
            <w:r>
              <w:rPr>
                <w:rFonts w:ascii="Times New Roman" w:hAnsi="Times New Roman" w:cs="Times New Roman"/>
                <w:szCs w:val="24"/>
                <w:lang w:val="de-DE"/>
              </w:rPr>
              <w:t>rok,</w:t>
            </w:r>
          </w:p>
          <w:p>
            <w:pPr>
              <w:rPr>
                <w:rFonts w:ascii="Times New Roman" w:hAnsi="Times New Roman" w:cs="Times New Roman"/>
                <w:szCs w:val="24"/>
                <w:lang w:val="de-DE"/>
              </w:rPr>
            </w:pPr>
            <w:r>
              <w:rPr>
                <w:rFonts w:ascii="Times New Roman" w:hAnsi="Times New Roman" w:cs="Times New Roman"/>
                <w:szCs w:val="24"/>
                <w:lang w:val="de-DE"/>
              </w:rPr>
              <w:t xml:space="preserve">- viac ako jeden rok, ale nie viac ako päť rokov, </w:t>
            </w:r>
          </w:p>
          <w:p>
            <w:pPr>
              <w:pStyle w:val="BodyText2"/>
              <w:spacing w:before="0" w:line="240" w:lineRule="auto"/>
              <w:rPr>
                <w:rFonts w:ascii="Times New Roman" w:hAnsi="Times New Roman" w:cs="Times New Roman"/>
                <w:szCs w:val="24"/>
                <w:lang w:val="de-DE"/>
              </w:rPr>
            </w:pPr>
            <w:r>
              <w:rPr>
                <w:rFonts w:ascii="Times New Roman" w:hAnsi="Times New Roman" w:cs="Times New Roman"/>
                <w:szCs w:val="24"/>
                <w:lang w:val="de-DE"/>
              </w:rPr>
              <w:t>- viac ako päť rokov.</w:t>
            </w:r>
          </w:p>
          <w:p>
            <w:pPr>
              <w:rPr>
                <w:rFonts w:ascii="Times New Roman" w:hAnsi="Times New Roman" w:cs="Times New Roman"/>
                <w:szCs w:val="24"/>
                <w:lang w:val="de-DE"/>
              </w:rPr>
            </w:pPr>
            <w:r>
              <w:rPr>
                <w:rFonts w:ascii="Times New Roman" w:hAnsi="Times New Roman" w:cs="Times New Roman"/>
                <w:szCs w:val="24"/>
                <w:lang w:val="de-DE"/>
              </w:rPr>
              <w:t>Pre položku Aktíva 4 sa musia taktiež vykázať pôžičky a preddavky na vyžiadanie a s krátkou výpovednou lehotou.</w:t>
            </w:r>
          </w:p>
          <w:p>
            <w:pPr>
              <w:rPr>
                <w:rFonts w:ascii="Times New Roman" w:hAnsi="Times New Roman" w:cs="Times New Roman"/>
                <w:szCs w:val="24"/>
                <w:lang w:val="de-DE"/>
              </w:rPr>
            </w:pPr>
            <w:r>
              <w:rPr>
                <w:rFonts w:ascii="Times New Roman" w:hAnsi="Times New Roman" w:cs="Times New Roman"/>
                <w:szCs w:val="24"/>
                <w:lang w:val="de-DE"/>
              </w:rPr>
              <w:t>Ak pôžičky a preddavky alebo záväzky zahŕňajú platbu splátkami, zostávajúca splatnosť bude obdobím medzi dátumom súvahy a dátumom, kedy sa stane splatnou každá splátka.</w:t>
            </w: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p>
          <w:p>
            <w:pPr>
              <w:rPr>
                <w:rFonts w:ascii="Times New Roman" w:hAnsi="Times New Roman" w:cs="Times New Roman"/>
                <w:szCs w:val="24"/>
                <w:lang w:val="de-DE"/>
              </w:rPr>
            </w:pPr>
            <w:r>
              <w:rPr>
                <w:rFonts w:ascii="Times New Roman" w:hAnsi="Times New Roman" w:cs="Times New Roman"/>
                <w:szCs w:val="24"/>
                <w:lang w:val="de-DE"/>
              </w:rPr>
              <w:t>Avšak počas piatich rokov od dátumu uvedeného v článku 47 (2) môžu členské štáty vyžadovať alebo povoliť, aby sa prehľad splatnosti aktív a pasív uvedených v tomto článku zakladal na pôvodne dohodnutej splatnosti alebo výpovednej lehote. V takomto prípade, keď' úverová inštitúcia nadobudla jestvujúcu pôžičku, ktorá nie je potvrdená certifikátom, budú členské štáty vyžadovať, aby sa takáto pôžička zakladala na zostávajúcej splatnosti k dátumu, kedy bola nadobudnutá. Pre účely tohto pododstavca bude pôvodne dohodnutá splatnosť pre pôžičky obdobím medzi dátumom prvého výberu a dátumom splatenia; výpovedná lehota sa bude pokladať za obdobie medzi dátumom, kedy sa výpoveď odovzdala a dátumom, kedy sa vykonala splátka; ak sú pôžičky a preddavky alebo záväzky vyplatiteľné splátkami, dohodnutá splatnosť bude obdobím medzi dátumom, kedy takéto pôžičky a preddavky alebo záväzky vzniknú, a dátumom, kedy sa stane splatnou posledná splátka. Úverové inštitúcie rovnako uvedú pri položkách súvahy, uvedené v tomto pododstavci, aká časť týchto aktív a pasív sa stane splatnou do jedného roku od dátumu súvahy.</w:t>
            </w:r>
          </w:p>
          <w:p>
            <w:pPr>
              <w:rPr>
                <w:rFonts w:ascii="Times New Roman" w:hAnsi="Times New Roman" w:cs="Times New Roman"/>
                <w:szCs w:val="24"/>
                <w:lang w:val="de-DE"/>
              </w:rPr>
            </w:pPr>
            <w:r>
              <w:rPr>
                <w:rFonts w:ascii="Times New Roman" w:hAnsi="Times New Roman" w:cs="Times New Roman"/>
                <w:szCs w:val="24"/>
                <w:lang w:val="de-DE"/>
              </w:rPr>
              <w:t>(b) Úverové inštitúcie v zmysle položky Aktíva 5 (Dlžné cenné papiere, vrátane cenných papierov s pevným výnosom) a položky Pasíva 3 (a) (dlžné cenné papiere v emisii) uvedú, aká časť aktív a pasív sa stane splatnou do jedného roka od dátumu súvahy.</w:t>
            </w:r>
          </w:p>
          <w:p>
            <w:pPr>
              <w:rPr>
                <w:rFonts w:ascii="Times New Roman" w:hAnsi="Times New Roman" w:cs="Times New Roman"/>
                <w:szCs w:val="24"/>
                <w:lang w:val="de-DE"/>
              </w:rPr>
            </w:pPr>
            <w:r>
              <w:rPr>
                <w:rFonts w:ascii="Times New Roman" w:hAnsi="Times New Roman" w:cs="Times New Roman"/>
                <w:szCs w:val="24"/>
                <w:lang w:val="de-DE"/>
              </w:rPr>
              <w:t>(c) Členské štáty môžu vyžadovaf, aby sa informácie uvedené v pododsekoch (a) a (b) uvádzali v súvahe.</w:t>
            </w:r>
          </w:p>
          <w:p>
            <w:pPr>
              <w:rPr>
                <w:rFonts w:ascii="Times New Roman" w:hAnsi="Times New Roman" w:cs="Times New Roman"/>
                <w:szCs w:val="24"/>
                <w:lang w:val="de-DE"/>
              </w:rPr>
            </w:pPr>
            <w:r>
              <w:rPr>
                <w:rFonts w:ascii="Times New Roman" w:hAnsi="Times New Roman" w:cs="Times New Roman"/>
                <w:szCs w:val="24"/>
                <w:lang w:val="de-DE"/>
              </w:rPr>
              <w:t>(d) Úverové inštitúcie poskytnú podrobnosti o aktívach, ktoré založili ako záruku za svoje</w:t>
            </w:r>
            <w:r>
              <w:rPr>
                <w:rFonts w:ascii="Times New Roman" w:hAnsi="Times New Roman" w:cs="Times New Roman"/>
                <w:b/>
                <w:szCs w:val="24"/>
                <w:lang w:val="de-DE"/>
              </w:rPr>
              <w:t xml:space="preserve"> </w:t>
            </w:r>
            <w:r>
              <w:rPr>
                <w:rFonts w:ascii="Times New Roman" w:hAnsi="Times New Roman" w:cs="Times New Roman"/>
                <w:szCs w:val="24"/>
                <w:lang w:val="de-DE"/>
              </w:rPr>
              <w:t>vlastné záväzky alebo za záväzky tretích strán (vrátane podmienečných záväzkov);</w:t>
            </w:r>
          </w:p>
          <w:p>
            <w:pPr>
              <w:rPr>
                <w:rFonts w:ascii="Times New Roman" w:hAnsi="Times New Roman" w:cs="Times New Roman"/>
                <w:szCs w:val="24"/>
                <w:lang w:val="de-DE"/>
              </w:rPr>
            </w:pPr>
            <w:r>
              <w:rPr>
                <w:rFonts w:ascii="Times New Roman" w:hAnsi="Times New Roman" w:cs="Times New Roman"/>
                <w:szCs w:val="24"/>
                <w:lang w:val="de-DE"/>
              </w:rPr>
              <w:t>podrobnosti budú dostatočne detailné, aby označili pre každú položku Pasíva a každú mimosúvahovú položku  celkovú sumu aktív, založených ako záruk</w:t>
            </w:r>
            <w:r>
              <w:rPr>
                <w:rFonts w:ascii="Times New Roman" w:hAnsi="Times New Roman" w:cs="Times New Roman"/>
                <w:szCs w:val="24"/>
                <w:lang w:val="de-DE"/>
              </w:rPr>
              <w:t>u.</w:t>
            </w:r>
          </w:p>
          <w:p>
            <w:pPr>
              <w:jc w:val="both"/>
              <w:rPr>
                <w:rFonts w:ascii="Times New Roman" w:hAnsi="Times New Roman" w:cs="Times New Roman"/>
                <w:szCs w:val="24"/>
                <w:lang w:val="de-DE"/>
              </w:rPr>
            </w:pPr>
            <w:r>
              <w:rPr>
                <w:rFonts w:ascii="Times New Roman" w:hAnsi="Times New Roman" w:cs="Times New Roman"/>
                <w:szCs w:val="24"/>
                <w:lang w:val="de-DE"/>
              </w:rPr>
              <w:t>4. Keď úverové inštitúcie musia  poskytnúť informácie, uvedené v článku 43 (1) (7) smernice 78/660/EEC v mimosúvahových položkách , takéto informácie sa nemusia opakovať v záznamoch o účtoch.</w:t>
            </w:r>
          </w:p>
          <w:p>
            <w:pPr>
              <w:rPr>
                <w:rFonts w:ascii="Times New Roman" w:hAnsi="Times New Roman" w:cs="Times New Roman"/>
                <w:szCs w:val="24"/>
              </w:rPr>
            </w:pPr>
            <w:r>
              <w:rPr>
                <w:rFonts w:ascii="Times New Roman" w:hAnsi="Times New Roman" w:cs="Times New Roman"/>
                <w:szCs w:val="24"/>
                <w:lang w:val="de-DE"/>
              </w:rPr>
              <w:t xml:space="preserve">5. Namiesto informácií, vyžadovaných podľa článku 43 (1) (8) smernice 78/660/EEC, uvedie úverová inštitúcia v záznamoch o svojich účtoch podiel svojho prijmu v súvislosti s  položkami  1, 3, 4, 6 a 7 článku 27 alebo položkami B1.B2,B3.B4aB7 článku 28 podľa geografického umiestnenia trhov, pokiaľ sa tieto , vzhľadom </w:t>
            </w:r>
            <w:r>
              <w:rPr>
                <w:rFonts w:ascii="Times New Roman" w:hAnsi="Times New Roman" w:cs="Times New Roman"/>
                <w:szCs w:val="24"/>
                <w:lang w:val="de-DE"/>
              </w:rPr>
              <w:t xml:space="preserve">na spôsob, akým je úverová organizácia organizovaná podstatne navzájom líšia. </w:t>
            </w:r>
            <w:r>
              <w:rPr>
                <w:rFonts w:ascii="Times New Roman" w:hAnsi="Times New Roman" w:cs="Times New Roman"/>
                <w:szCs w:val="24"/>
              </w:rPr>
              <w:t>Bude platí článok</w:t>
            </w:r>
            <w:r>
              <w:rPr>
                <w:rFonts w:ascii="Times New Roman" w:hAnsi="Times New Roman" w:cs="Times New Roman"/>
                <w:b/>
                <w:szCs w:val="24"/>
              </w:rPr>
              <w:t xml:space="preserve"> </w:t>
            </w:r>
            <w:r>
              <w:rPr>
                <w:rFonts w:ascii="Times New Roman" w:hAnsi="Times New Roman" w:cs="Times New Roman"/>
                <w:szCs w:val="24"/>
              </w:rPr>
              <w:t>45 (1) (b) smernice 78/660/EEC.</w:t>
            </w:r>
          </w:p>
          <w:p>
            <w:pPr>
              <w:rPr>
                <w:rFonts w:ascii="Times New Roman" w:hAnsi="Times New Roman" w:cs="Times New Roman"/>
                <w:szCs w:val="24"/>
              </w:rPr>
            </w:pPr>
            <w:r>
              <w:rPr>
                <w:rFonts w:ascii="Times New Roman" w:hAnsi="Times New Roman" w:cs="Times New Roman"/>
                <w:szCs w:val="24"/>
              </w:rPr>
              <w:t>6. Odkaz v článku 43 (1) (9) smernice 78/660/EEC na článok 23 (6) tejto smernice sa bude pokladať za odkaz na článok 27 (8) alebo článok 28 (A 4) tejto smernice.</w:t>
            </w:r>
          </w:p>
          <w:p>
            <w:pPr>
              <w:rPr>
                <w:rFonts w:ascii="Times New Roman" w:hAnsi="Times New Roman" w:cs="Times New Roman"/>
                <w:szCs w:val="24"/>
                <w:lang w:val="sk-SK"/>
              </w:rPr>
            </w:pPr>
            <w:r>
              <w:rPr>
                <w:rFonts w:ascii="Times New Roman" w:hAnsi="Times New Roman" w:cs="Times New Roman"/>
                <w:szCs w:val="24"/>
              </w:rPr>
              <w:t>7. Derogovaním článku 43 (1) (13) smernice 78/660/EEC musia úverové inštitúcie odhaliť iba sumy preddavkov a úverov, udelených členom ich správnych, riadiacich a dozorných orgánov, ako aj záväzky do ktorých vstúpili v ich mene prostredníctvom záruk akéhokoľvek druhu. Takéto informácie sa musia uviesť vo forme celkového súčtu za každú kategóriu.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431/2002</w:t>
            </w:r>
            <w:r>
              <w:rPr>
                <w:rFonts w:ascii="Times New Roman" w:hAnsi="Times New Roman" w:cs="Times New Roman"/>
                <w:b/>
                <w:szCs w:val="24"/>
                <w:lang w:val="sk-SK"/>
              </w:rPr>
              <w:t xml:space="preserve"> </w:t>
            </w:r>
            <w:r>
              <w:rPr>
                <w:rFonts w:ascii="Times New Roman" w:hAnsi="Times New Roman" w:cs="Times New Roman"/>
                <w:szCs w:val="24"/>
                <w:lang w:val="sk-SK"/>
              </w:rPr>
              <w:t>Z.z</w:t>
            </w:r>
            <w:r>
              <w:rPr>
                <w:rFonts w:ascii="Times New Roman" w:hAnsi="Times New Roman" w:cs="Times New Roman"/>
                <w:szCs w:val="24"/>
                <w:lang w:val="sk-SK"/>
              </w:rPr>
              <w:t>.</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zákon č. 431/2002 Z.z.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Z.z</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§17 ods.8</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ods.9</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4 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i/>
                <w:color w:val="000000"/>
                <w:szCs w:val="24"/>
                <w:lang w:val="sk-SK"/>
              </w:rPr>
              <w:t xml:space="preserve">Účtovná jednotka je povinná uvádzať v účtovnej závierke informácie podľa stavu ku dňu, ku ktorému sa účtovná závierka zostavuje; to platí obdobne aj pre všetky účtovné zápisy, ktoré sa uskutočňujú iba ku dňu, ku ktorému sa zostavuje účtovná závierka, ak tento zákon ďalej neustanovuje inak. </w:t>
            </w:r>
            <w:r>
              <w:rPr>
                <w:rFonts w:ascii="Times New Roman" w:hAnsi="Times New Roman" w:cs="Times New Roman"/>
                <w:b/>
                <w:lang w:val="sk-SK"/>
              </w:rPr>
              <w:t>Účtovná jednotka pritom zohľadňuje aj informácie týkajúce sa stavu ku dňu, ku ktorému sa zostavuje účtovná závierka a ktoré účtovná jednotka získala do dňa zostavenia  účtovnej závierky.</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 8 ods. 5; informácie nemôžu byť vylúčené iba z dôvodu, že sú nezrozumiteľné pre používateľa. Informácie sú porovnateľné, ak spĺňajú požiadavky podľa § 7 ods. 3 až 5. Informácie v účtovnej závierke sú spoľahlivé, ak spĺňajú požiadavky podľa § 7 ods. 1 a ak sú úplné a včasné. Úplnosť informácií v účtovnej závierke sa zabezpečuje s dodržaním významnosti a so zohľadnením nákladov na ich získanie. Informácie v účtovnej závierke sú včasné, ak spĺňajú požiadavky podľa odseku 5.</w:t>
            </w:r>
          </w:p>
          <w:p>
            <w:pPr>
              <w:rPr>
                <w:rFonts w:ascii="Times New Roman" w:hAnsi="Times New Roman" w:cs="Times New Roman"/>
                <w:i/>
                <w:color w:val="000000"/>
                <w:szCs w:val="24"/>
                <w:lang w:val="sk-SK"/>
              </w:rPr>
            </w:pPr>
          </w:p>
          <w:p>
            <w:pPr>
              <w:pStyle w:val="FootnoteText"/>
              <w:rPr>
                <w:rFonts w:ascii="Times New Roman" w:hAnsi="Times New Roman" w:cs="Times New Roman"/>
                <w:i/>
                <w:sz w:val="24"/>
                <w:szCs w:val="24"/>
              </w:rPr>
            </w:pPr>
            <w:r>
              <w:rPr>
                <w:rFonts w:ascii="MS Sans Serif" w:hAnsi="MS Sans Serif" w:cs="Times New Roman"/>
                <w:i/>
                <w:color w:val="000000"/>
                <w:sz w:val="24"/>
                <w:szCs w:val="24"/>
              </w:rPr>
              <w:t xml:space="preserve">Podrobnosti o rámcových účtových osnovách (§ 13) pre jednotlivé skupiny účtovných jednotiek účtujúcich v sústave podvojného účtovníctva, dni uskutočnenia účtovného prípadu, postupoch účtovania, usporiadaní a označovaní položiek individuálnej účtovnej závierky a konsolidovanej účtovnej závierky a o obsahovom vymedzení týchto položiek, rozsahu údajov určených z účtovnej závierky na zverejnenie, termínoch, spôsoboch a mieste predkladania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w:t>
            </w:r>
            <w:r>
              <w:rPr>
                <w:rFonts w:ascii="MS Sans Serif" w:hAnsi="MS Sans Serif" w:cs="Times New Roman"/>
                <w:b/>
                <w:color w:val="000000"/>
                <w:sz w:val="24"/>
                <w:szCs w:val="24"/>
              </w:rPr>
              <w:t>a ananlytickej evidencie</w:t>
            </w:r>
            <w:r>
              <w:rPr>
                <w:rFonts w:ascii="MS Sans Serif" w:hAnsi="MS Sans Serif" w:cs="Times New Roman"/>
                <w:i/>
                <w:color w:val="000000"/>
                <w:sz w:val="24"/>
                <w:szCs w:val="24"/>
              </w:rPr>
              <w:t xml:space="preserve">, metódach a postupoch konsolidácie a účtovných sústavách ustanoví </w:t>
            </w:r>
            <w:r>
              <w:rPr>
                <w:rFonts w:ascii="Times New Roman" w:hAnsi="Times New Roman" w:cs="Times New Roman"/>
                <w:b/>
                <w:sz w:val="24"/>
                <w:szCs w:val="24"/>
              </w:rPr>
              <w:t>Ministerstvo financií Slovenskej republiky (ďalej len „ministerstvo“)</w:t>
            </w:r>
            <w:r>
              <w:rPr>
                <w:rFonts w:ascii="MS Sans Serif" w:hAnsi="MS Sans Serif" w:cs="Times New Roman"/>
                <w:i/>
                <w:color w:val="000000"/>
                <w:sz w:val="24"/>
                <w:szCs w:val="24"/>
              </w:rPr>
              <w:t xml:space="preserve"> opatrením. Opatrenie vyhlasuje ministerstvo oznámením o jeho vydaní v Zbierke zákonov Slovenskej republiky8) a účtovná jednotka je povinná ho dodržiavať.</w:t>
            </w:r>
          </w:p>
          <w:p>
            <w:pPr>
              <w:rPr>
                <w:rFonts w:ascii="Times New Roman" w:hAnsi="Times New Roman" w:cs="Times New Roman"/>
                <w:i/>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41</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 Informácie požadované v článku 15 (3) smernice 78/660/EEC sa musia uvádzať vzhľadom na aktíva, vlastnené ako fixné aktíva, tak  ako sa definujú v článku 35 tejto smernice. Povinnosť vykazovať úpravy hodnôt osobitne však nebude platiť, keď členský štát povolil kompenzácie medzi úpravami hodnôt podľa článku 34 (2) tejto smernice. V takomto prípade úpravy hodnôt možno kombinovať s inými položkami.</w:t>
            </w:r>
          </w:p>
          <w:p>
            <w:pPr>
              <w:rPr>
                <w:rFonts w:ascii="Times New Roman" w:hAnsi="Times New Roman" w:cs="Times New Roman"/>
                <w:szCs w:val="24"/>
                <w:lang w:val="sk-SK"/>
              </w:rPr>
            </w:pPr>
            <w:r>
              <w:rPr>
                <w:rFonts w:ascii="Times New Roman" w:hAnsi="Times New Roman" w:cs="Times New Roman"/>
                <w:szCs w:val="24"/>
                <w:lang w:val="sk-SK"/>
              </w:rPr>
              <w:t>2. Členské štáty môžu vyžadovať, aby úverové inštitúcie poskytovali nasledujúce informácie aj v zápisoch o svojich účtoch:</w:t>
            </w:r>
          </w:p>
          <w:p>
            <w:pPr>
              <w:ind w:left="240"/>
              <w:rPr>
                <w:rFonts w:ascii="Times New Roman" w:hAnsi="Times New Roman" w:cs="Times New Roman"/>
                <w:szCs w:val="24"/>
                <w:lang w:val="sk-SK"/>
              </w:rPr>
            </w:pPr>
            <w:r>
              <w:rPr>
                <w:rFonts w:ascii="Times New Roman" w:hAnsi="Times New Roman" w:cs="Times New Roman"/>
                <w:szCs w:val="24"/>
                <w:lang w:val="sk-SK"/>
              </w:rPr>
              <w:t>(a) rozčlenenie prevoditeľných cenných papierov, vykázaných v položkách Aktíva 5 až 8 na kótované a nekótované cenné papiere;</w:t>
            </w:r>
          </w:p>
          <w:p>
            <w:pPr>
              <w:ind w:left="240"/>
              <w:rPr>
                <w:rFonts w:ascii="Times New Roman" w:hAnsi="Times New Roman" w:cs="Times New Roman"/>
                <w:szCs w:val="24"/>
                <w:lang w:val="sk-SK"/>
              </w:rPr>
            </w:pPr>
            <w:r>
              <w:rPr>
                <w:rFonts w:ascii="Times New Roman" w:hAnsi="Times New Roman" w:cs="Times New Roman"/>
                <w:szCs w:val="24"/>
                <w:lang w:val="sk-SK"/>
              </w:rPr>
              <w:t>(b) rozčlenenie prevoditeľných cenných papierov, vykázaných pod položkami Aktíva 5 a 6, na</w:t>
            </w:r>
            <w:r>
              <w:rPr>
                <w:rFonts w:ascii="Times New Roman" w:hAnsi="Times New Roman" w:cs="Times New Roman"/>
                <w:b/>
                <w:szCs w:val="24"/>
                <w:lang w:val="sk-SK"/>
              </w:rPr>
              <w:t xml:space="preserve"> </w:t>
            </w:r>
            <w:r>
              <w:rPr>
                <w:rFonts w:ascii="Times New Roman" w:hAnsi="Times New Roman" w:cs="Times New Roman"/>
                <w:szCs w:val="24"/>
                <w:lang w:val="sk-SK"/>
              </w:rPr>
              <w:t>cenné papiere, ktoré podľa článku 35 sú alebo nie sú vlastnené ako finančné fixné aktíva, a kritérium použité na rozlíšenie medzi týmito dvoma kategóriami prevoditeľných cenných papierov;</w:t>
            </w:r>
          </w:p>
          <w:p>
            <w:pPr>
              <w:ind w:left="240"/>
              <w:rPr>
                <w:rFonts w:ascii="Times New Roman" w:hAnsi="Times New Roman" w:cs="Times New Roman"/>
                <w:szCs w:val="24"/>
                <w:lang w:val="sk-SK"/>
              </w:rPr>
            </w:pPr>
            <w:r>
              <w:rPr>
                <w:rFonts w:ascii="Times New Roman" w:hAnsi="Times New Roman" w:cs="Times New Roman"/>
                <w:szCs w:val="24"/>
                <w:lang w:val="sk-SK"/>
              </w:rPr>
              <w:t>(c) hodnota leasingových transakcií priradených medzi príslušné položky súvahy;</w:t>
            </w:r>
          </w:p>
          <w:p>
            <w:pPr>
              <w:ind w:left="240"/>
              <w:rPr>
                <w:rFonts w:ascii="Times New Roman" w:hAnsi="Times New Roman" w:cs="Times New Roman"/>
                <w:szCs w:val="24"/>
                <w:lang w:val="sk-SK"/>
              </w:rPr>
            </w:pPr>
            <w:r>
              <w:rPr>
                <w:rFonts w:ascii="Times New Roman" w:hAnsi="Times New Roman" w:cs="Times New Roman"/>
                <w:szCs w:val="24"/>
                <w:lang w:val="sk-SK"/>
              </w:rPr>
              <w:t>(d) rozčlenenie položky Aktíva 13, položky   Pasíva 4, položiek 10 a 18 vo vertikálnom usporiadaní  alebo položiek A 6 a A 11 vo horizontálnom usporiadaní a položiek 7 a 17 vo vertikálnom usporiadaní alebo B 7 a B 9 v horizontálnom usporiadaní  vo výkaze ziskov a strát na ich hlavné sumy komponentov, ked' sú takéto sumy dôležité na účely stanovenia výročných účtov, ako aj vysvetlenie ich povahy a výšky ;</w:t>
            </w:r>
          </w:p>
          <w:p>
            <w:pPr>
              <w:ind w:left="240" w:right="400"/>
              <w:rPr>
                <w:rFonts w:ascii="Times New Roman" w:hAnsi="Times New Roman" w:cs="Times New Roman"/>
                <w:szCs w:val="24"/>
                <w:lang w:val="sk-SK"/>
              </w:rPr>
            </w:pPr>
            <w:r>
              <w:rPr>
                <w:rFonts w:ascii="Times New Roman" w:hAnsi="Times New Roman" w:cs="Times New Roman"/>
                <w:szCs w:val="24"/>
                <w:lang w:val="sk-SK"/>
              </w:rPr>
              <w:t>(e) poplatky zaplatené úverovou inštitúciou na účet druhoradých pasív v roku, ktorý</w:t>
            </w:r>
            <w:r>
              <w:rPr>
                <w:rFonts w:ascii="Times New Roman" w:hAnsi="Times New Roman" w:cs="Times New Roman"/>
                <w:b/>
                <w:szCs w:val="24"/>
                <w:lang w:val="sk-SK"/>
              </w:rPr>
              <w:t xml:space="preserve"> </w:t>
            </w:r>
            <w:r>
              <w:rPr>
                <w:rFonts w:ascii="Times New Roman" w:hAnsi="Times New Roman" w:cs="Times New Roman"/>
                <w:szCs w:val="24"/>
                <w:lang w:val="sk-SK"/>
              </w:rPr>
              <w:t>sa</w:t>
            </w:r>
            <w:r>
              <w:rPr>
                <w:rFonts w:ascii="Times New Roman" w:hAnsi="Times New Roman" w:cs="Times New Roman"/>
                <w:b/>
                <w:szCs w:val="24"/>
                <w:lang w:val="sk-SK"/>
              </w:rPr>
              <w:t xml:space="preserve"> </w:t>
            </w:r>
            <w:r>
              <w:rPr>
                <w:rFonts w:ascii="Times New Roman" w:hAnsi="Times New Roman" w:cs="Times New Roman"/>
                <w:szCs w:val="24"/>
                <w:lang w:val="sk-SK"/>
              </w:rPr>
              <w:t>reviduje;</w:t>
            </w:r>
          </w:p>
          <w:p>
            <w:pPr>
              <w:pStyle w:val="BodyTextIndent3"/>
              <w:spacing w:before="0" w:line="240" w:lineRule="auto"/>
              <w:ind w:firstLine="0"/>
              <w:rPr>
                <w:rFonts w:ascii="Times New Roman" w:hAnsi="Times New Roman" w:cs="Times New Roman"/>
                <w:sz w:val="24"/>
                <w:szCs w:val="24"/>
              </w:rPr>
            </w:pPr>
            <w:r>
              <w:rPr>
                <w:rFonts w:ascii="Times New Roman" w:hAnsi="Times New Roman" w:cs="Times New Roman"/>
                <w:sz w:val="24"/>
                <w:szCs w:val="24"/>
              </w:rPr>
              <w:t>(f) skutočnosť, že inštitúcia poskytuje manažérske a agentúrne služby tretím stranám, kde rozsah podnikania takéhoto druhu je významný vo vzťahu k aktivitám inštitúcie ako celku;</w:t>
            </w:r>
          </w:p>
          <w:p>
            <w:pPr>
              <w:ind w:left="240"/>
              <w:rPr>
                <w:rFonts w:ascii="Times New Roman" w:hAnsi="Times New Roman" w:cs="Times New Roman"/>
                <w:szCs w:val="24"/>
                <w:lang w:val="sk-SK"/>
              </w:rPr>
            </w:pPr>
            <w:r>
              <w:rPr>
                <w:rFonts w:ascii="Times New Roman" w:hAnsi="Times New Roman" w:cs="Times New Roman"/>
                <w:szCs w:val="24"/>
                <w:lang w:val="sk-SK"/>
              </w:rPr>
              <w:t>(g) agregátne sumy aktív a pasív uvedených v zahraničných menách, prevedené na menu, v ktorej sa vystavujú výročné účty;</w:t>
            </w:r>
          </w:p>
          <w:p>
            <w:pPr>
              <w:ind w:right="400"/>
              <w:rPr>
                <w:rFonts w:ascii="Times New Roman" w:hAnsi="Times New Roman" w:cs="Times New Roman"/>
                <w:szCs w:val="24"/>
                <w:lang w:val="sk-SK"/>
              </w:rPr>
            </w:pPr>
            <w:r>
              <w:rPr>
                <w:rFonts w:ascii="Times New Roman" w:hAnsi="Times New Roman" w:cs="Times New Roman"/>
                <w:szCs w:val="24"/>
                <w:lang w:val="sk-SK"/>
              </w:rPr>
              <w:t>(h) prehľad  typov  nesplatných budúcich transakcii, nevyrovnaných k dátumu súvahy, ktoré označujú každý typ transakcie, ktorá je vykonaná vo významnej miere za účelom  zabezpečenia úrokových sadzieb ,  výmenných kurzov a trhových cien pred účinkami fluktuácie, alebo, ktorá je prevedená vo významnej miere  pre obchodné účely. Tieto typy transakcie budú zahŕňať všetky tie ktoré súvisia s takým výnosom, alebo nákladom, ktorý je obsiahnutý v článku 27, položka 6, článku 28, položky A 3 alebo B 4 alebo článku 29 (3), napríklad cudzie meny, drahé kovy, prevoditeľné cenné papiere, vkladové certifikáty a ostatné aktíva.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4 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i/>
                <w:sz w:val="24"/>
                <w:szCs w:val="24"/>
              </w:rPr>
            </w:pPr>
            <w:r>
              <w:rPr>
                <w:rFonts w:ascii="MS Sans Serif" w:hAnsi="MS Sans Serif" w:cs="Times New Roman"/>
                <w:i/>
                <w:color w:val="000000"/>
                <w:sz w:val="24"/>
                <w:szCs w:val="24"/>
              </w:rPr>
              <w:t xml:space="preserve">Podrobnosti o rámcových účtových osnovách (§ 13) pre jednotlivé skupiny účtovných jednotiek účtujúcich v sústave podvojného účtovníctva, dni uskutočnenia účtovného prípadu, postupoch účtovania, usporiadaní a označovaní položiek individuálnej účtovnej závierky a konsolidovanej účtovnej závierky a o obsahovom vymedzení týchto položiek, rozsahu údajov určených z účtovnej závierky na zverejnenie, termínoch, spôsoboch a mieste predkladania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w:t>
            </w:r>
            <w:r>
              <w:rPr>
                <w:rFonts w:ascii="MS Sans Serif" w:hAnsi="MS Sans Serif" w:cs="Times New Roman"/>
                <w:b/>
                <w:color w:val="000000"/>
                <w:sz w:val="24"/>
                <w:szCs w:val="24"/>
              </w:rPr>
              <w:t>a ananlytickej evidencie</w:t>
            </w:r>
            <w:r>
              <w:rPr>
                <w:rFonts w:ascii="MS Sans Serif" w:hAnsi="MS Sans Serif" w:cs="Times New Roman"/>
                <w:i/>
                <w:color w:val="000000"/>
                <w:sz w:val="24"/>
                <w:szCs w:val="24"/>
              </w:rPr>
              <w:t xml:space="preserve">, metódach a postupoch konsolidácie a účtovných sústavách ustanoví </w:t>
            </w:r>
            <w:r>
              <w:rPr>
                <w:rFonts w:ascii="Times New Roman" w:hAnsi="Times New Roman" w:cs="Times New Roman"/>
                <w:b/>
                <w:sz w:val="24"/>
                <w:szCs w:val="24"/>
              </w:rPr>
              <w:t>Ministerstvo financií Slovenskej republiky (ďalej len „ministerstvo“)</w:t>
            </w:r>
            <w:r>
              <w:rPr>
                <w:rFonts w:ascii="MS Sans Serif" w:hAnsi="MS Sans Serif" w:cs="Times New Roman"/>
                <w:i/>
                <w:color w:val="000000"/>
                <w:sz w:val="24"/>
                <w:szCs w:val="24"/>
              </w:rPr>
              <w:t xml:space="preserve"> opatrením. Opatrenie vyhlasuje ministerstvo oznámením o jeho vydaní v Zbierke zákonov Slovenskej republiky8) a účtovná jednotka je povinná ho dodržiavať.</w:t>
            </w:r>
          </w:p>
          <w:p>
            <w:pPr>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w:t>
            </w:r>
          </w:p>
          <w:p>
            <w:pPr>
              <w:rPr>
                <w:rFonts w:ascii="Times New Roman" w:hAnsi="Times New Roman" w:cs="Times New Roman"/>
                <w:szCs w:val="24"/>
                <w:lang w:val="sk-SK"/>
              </w:rPr>
            </w:pPr>
            <w:r>
              <w:rPr>
                <w:rFonts w:ascii="Times New Roman" w:hAnsi="Times New Roman" w:cs="Times New Roman"/>
                <w:szCs w:val="24"/>
                <w:lang w:val="sk-SK"/>
              </w:rPr>
              <w:t>MF SR č.</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42</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120" w:line="280" w:lineRule="auto"/>
              <w:rPr>
                <w:rFonts w:ascii="Times New Roman" w:hAnsi="Times New Roman" w:cs="Times New Roman"/>
                <w:szCs w:val="24"/>
                <w:lang w:val="sk-SK"/>
              </w:rPr>
            </w:pPr>
            <w:r>
              <w:rPr>
                <w:rFonts w:ascii="Times New Roman" w:hAnsi="Times New Roman" w:cs="Times New Roman"/>
                <w:szCs w:val="24"/>
                <w:lang w:val="sk-SK"/>
              </w:rPr>
              <w:t>1. Úverové inštitúcie vystavia konsolidované účty a konsolidované výročné správy podľa smernice 83/349/EEC, pokiaľ tento oddiel nestanovuje inak.</w:t>
            </w:r>
          </w:p>
          <w:p>
            <w:pPr>
              <w:spacing w:line="280" w:lineRule="auto"/>
              <w:rPr>
                <w:rFonts w:ascii="Times New Roman" w:hAnsi="Times New Roman" w:cs="Times New Roman"/>
                <w:szCs w:val="24"/>
                <w:lang w:val="sk-SK"/>
              </w:rPr>
            </w:pPr>
            <w:r>
              <w:rPr>
                <w:rFonts w:ascii="Times New Roman" w:hAnsi="Times New Roman" w:cs="Times New Roman"/>
                <w:szCs w:val="24"/>
                <w:lang w:val="sk-SK"/>
              </w:rPr>
              <w:t>2. Pokiaľ sa členský štát neodvoláva na článok 5 smernice 83/349/EEC, bude odsek 1 tohto článku platiť aj na materské podniky, ktorých výlučným predmetom je prevzatie účasti  v dcérskych podnikoch a tiež správa takejto účasti  a jej  premena na</w:t>
            </w:r>
            <w:r>
              <w:rPr>
                <w:rFonts w:ascii="Times New Roman" w:hAnsi="Times New Roman" w:cs="Times New Roman"/>
                <w:b/>
                <w:szCs w:val="24"/>
                <w:lang w:val="sk-SK"/>
              </w:rPr>
              <w:t xml:space="preserve"> </w:t>
            </w:r>
            <w:r>
              <w:rPr>
                <w:rFonts w:ascii="Times New Roman" w:hAnsi="Times New Roman" w:cs="Times New Roman"/>
                <w:szCs w:val="24"/>
                <w:lang w:val="sk-SK"/>
              </w:rPr>
              <w:t>zisk</w:t>
            </w:r>
            <w:r>
              <w:rPr>
                <w:rFonts w:ascii="Times New Roman" w:hAnsi="Times New Roman" w:cs="Times New Roman"/>
                <w:b/>
                <w:szCs w:val="24"/>
                <w:lang w:val="sk-SK"/>
              </w:rPr>
              <w:t xml:space="preserve">, </w:t>
            </w:r>
            <w:r>
              <w:rPr>
                <w:rFonts w:ascii="Times New Roman" w:hAnsi="Times New Roman" w:cs="Times New Roman"/>
                <w:szCs w:val="24"/>
                <w:lang w:val="sk-SK"/>
              </w:rPr>
              <w:t>keď sú tieto dcérske podniky bud' výlučne alebo čiastočne úverovými inštitúciami.</w:t>
            </w:r>
          </w:p>
          <w:p>
            <w:pPr>
              <w:spacing w:before="120" w:line="280" w:lineRule="auto"/>
              <w:ind w:right="400"/>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§22</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ods.7</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ods.8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ods.9 </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 10 ods. 11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 12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 13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 14</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 xml:space="preserve">Konsolidovanou účtovnou závierkou sa rozumie účtovná závierka, ktorá poskytuje informácie o konsolidovanom celku podľa § 6 ods.4. Konsolidovaná účtovná závierka sa zostavuje podľa metód a zásad ustanovených osobitnými predpismi.   </w:t>
            </w:r>
          </w:p>
          <w:p>
            <w:pPr>
              <w:ind w:right="23"/>
              <w:jc w:val="both"/>
              <w:rPr>
                <w:rFonts w:ascii="Times New Roman" w:hAnsi="Times New Roman" w:cs="Times New Roman"/>
                <w:lang w:val="sk-SK"/>
              </w:rPr>
            </w:pPr>
            <w:r>
              <w:rPr>
                <w:rFonts w:ascii="Times New Roman" w:hAnsi="Times New Roman" w:cs="Times New Roman"/>
                <w:lang w:val="sk-SK"/>
              </w:rPr>
              <w:t xml:space="preserve"> Konsolidovanú účtovnú závierku a konsolidovanú výročnú správu zostavuje materská účtovná jednotka. Materskou účtovnou jednotkou sa na účely tohto zákona rozumie účtovná jednotka, ktorá  je obchodnou spoločnosťou, štátnym podnikom alebo družstvom,  ktorá v inej účtovnej jednotke, ktorá je obchodnou spoločnosťou (ďalej len „dcérska účtovná jednotka“)</w:t>
            </w:r>
          </w:p>
          <w:p>
            <w:pPr>
              <w:numPr>
                <w:ilvl w:val="0"/>
                <w:numId w:val="21"/>
              </w:numPr>
              <w:tabs>
                <w:tab w:val="clear" w:pos="1080"/>
              </w:tabs>
              <w:ind w:left="355" w:right="23"/>
              <w:jc w:val="both"/>
              <w:rPr>
                <w:rFonts w:ascii="Times New Roman" w:hAnsi="Times New Roman" w:cs="Times New Roman"/>
                <w:lang w:val="sk-SK"/>
              </w:rPr>
            </w:pPr>
            <w:r>
              <w:rPr>
                <w:rFonts w:ascii="Times New Roman" w:hAnsi="Times New Roman" w:cs="Times New Roman"/>
                <w:lang w:val="sk-SK"/>
              </w:rPr>
              <w:t>má väčšinu hlasovacíc</w:t>
            </w:r>
            <w:r>
              <w:rPr>
                <w:rFonts w:ascii="Times New Roman" w:hAnsi="Times New Roman" w:cs="Times New Roman"/>
                <w:lang w:val="sk-SK"/>
              </w:rPr>
              <w:t>h práv, alebo</w:t>
            </w:r>
          </w:p>
          <w:p>
            <w:pPr>
              <w:numPr>
                <w:ilvl w:val="0"/>
                <w:numId w:val="21"/>
              </w:numPr>
              <w:tabs>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vymenúvať alebo odvolávať väčšinu členov štatutárneho orgánu alebo dozorného orgánu,  a súčasne je spoločníkom alebo akcionárom, alebo</w:t>
            </w:r>
          </w:p>
          <w:p>
            <w:pPr>
              <w:numPr>
                <w:ilvl w:val="0"/>
                <w:numId w:val="21"/>
              </w:numPr>
              <w:tabs>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ovládať dcérsku účtovnú jednotku, ktorej je spoločníkom alebo akcionárom, na základe dohody uzavretej  s dcérskou účtovnou jednotkou alebo na základe spoločenskej zmluvy alebo stanov dcérskej účtovnej jednotky, ak to umožňuje právo štátu, ktorým sa riadi dcérska účtovná jednotka, alebo</w:t>
            </w:r>
          </w:p>
          <w:p>
            <w:pPr>
              <w:numPr>
                <w:ilvl w:val="0"/>
                <w:numId w:val="21"/>
              </w:numPr>
              <w:tabs>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väčšina členov štatutárneho orgánu alebo dozorného orgánu vykonávajúcich svoju funkciu v priebehu účtovného obdobia a v bezprostredne predchádzajúcom účtovnom období, až do zostavenia konsolidovanej účtovnej závierky bola vymenovaná výlučne prostredníctvom výkonu hlasovacích práv tohto spoločníka alebo akcionára, alebo</w:t>
            </w:r>
          </w:p>
          <w:p>
            <w:pPr>
              <w:numPr>
                <w:ilvl w:val="0"/>
                <w:numId w:val="21"/>
              </w:numPr>
              <w:tabs>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na základe dohody s inými jej</w:t>
            </w:r>
            <w:r>
              <w:rPr>
                <w:rFonts w:ascii="Times New Roman" w:hAnsi="Times New Roman" w:cs="Times New Roman"/>
                <w:b/>
                <w:sz w:val="28"/>
                <w:szCs w:val="28"/>
                <w:lang w:val="sk-SK"/>
              </w:rPr>
              <w:t xml:space="preserve"> </w:t>
            </w:r>
            <w:r>
              <w:rPr>
                <w:rFonts w:ascii="Times New Roman" w:hAnsi="Times New Roman" w:cs="Times New Roman"/>
                <w:lang w:val="sk-SK"/>
              </w:rPr>
              <w:t>spoločníkmi alebo akcionármi má väčšinu hlasovacích práv spoločníkov alebo akcionárov.</w:t>
            </w:r>
          </w:p>
          <w:p>
            <w:pPr>
              <w:ind w:right="72"/>
              <w:jc w:val="both"/>
              <w:rPr>
                <w:rFonts w:ascii="Times New Roman" w:hAnsi="Times New Roman" w:cs="Times New Roman"/>
                <w:lang w:val="sk-SK"/>
              </w:rPr>
            </w:pPr>
            <w:r>
              <w:rPr>
                <w:rFonts w:ascii="Times New Roman" w:hAnsi="Times New Roman" w:cs="Times New Roman"/>
                <w:lang w:val="sk-SK"/>
              </w:rPr>
              <w:t xml:space="preserve"> Pri výpočte hlasovacích práv podľa odseku 2 písm. a), b),  d) a e) sa k hlasovacím právam a právam na vymenovanie alebo odvolanie členov štatutárneho orgánu alebo dozorného orgánu pripočítajú práva inej dcérskej  účtovnej jednotky  alebo osoby, ktorá koná vo vlastnom mene, ale v prospech materskej účtovnej jednotky  alebo inej dcérskej  účtovnej jednotky.</w:t>
            </w:r>
          </w:p>
          <w:p>
            <w:pPr>
              <w:ind w:right="23"/>
              <w:jc w:val="both"/>
              <w:rPr>
                <w:rFonts w:ascii="Times New Roman" w:hAnsi="Times New Roman" w:cs="Times New Roman"/>
                <w:lang w:val="sk-SK"/>
              </w:rPr>
            </w:pPr>
            <w:r>
              <w:rPr>
                <w:rFonts w:ascii="Times New Roman" w:hAnsi="Times New Roman" w:cs="Times New Roman"/>
                <w:lang w:val="sk-SK"/>
              </w:rPr>
              <w:t>Pri výpočte hlasovacích práv podľa odseku 2 písm. a), b), d) a e) sa od práv uvedených v odseku 2 odpočítajú tie práva, ktoré súvisia s akciami alebo podielmi, ktoré</w:t>
            </w:r>
          </w:p>
          <w:p>
            <w:pPr>
              <w:numPr>
                <w:ilvl w:val="0"/>
                <w:numId w:val="22"/>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sú držané na účet inej účtovnej jednotky ako je  materská účtovná jednotka  alebo dcérska   účtovná jednotka  alebo</w:t>
            </w:r>
          </w:p>
          <w:p>
            <w:pPr>
              <w:numPr>
                <w:ilvl w:val="0"/>
                <w:numId w:val="22"/>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 xml:space="preserve">sú držané ako zábezpeka, ak sa tieto práva vykonávajú podľa prijatých pokynov alebo vlastníctvo týchto podielov alebo akcií predstavuje pre účtovnú jednotku, ktorá ich drží, bežnú činnosť v súvislosti s poskytovaním pôžičiek, ak sa hlasovacie práva vykonávajú v záujme tej </w:t>
            </w:r>
            <w:r>
              <w:rPr>
                <w:rFonts w:ascii="Times New Roman" w:hAnsi="Times New Roman" w:cs="Times New Roman"/>
                <w:b/>
                <w:sz w:val="28"/>
                <w:szCs w:val="28"/>
                <w:lang w:val="sk-SK"/>
              </w:rPr>
              <w:t xml:space="preserve"> </w:t>
            </w:r>
            <w:r>
              <w:rPr>
                <w:rFonts w:ascii="Times New Roman" w:hAnsi="Times New Roman" w:cs="Times New Roman"/>
                <w:lang w:val="sk-SK"/>
              </w:rPr>
              <w:t>účtovnej jednotky, ktorá zábezpeku poskytla.</w:t>
            </w:r>
          </w:p>
          <w:p>
            <w:pPr>
              <w:ind w:right="23"/>
              <w:jc w:val="both"/>
              <w:rPr>
                <w:rFonts w:ascii="Times New Roman" w:hAnsi="Times New Roman" w:cs="Times New Roman"/>
                <w:lang w:val="sk-SK"/>
              </w:rPr>
            </w:pPr>
            <w:r>
              <w:rPr>
                <w:rFonts w:ascii="Times New Roman" w:hAnsi="Times New Roman" w:cs="Times New Roman"/>
                <w:lang w:val="sk-SK"/>
              </w:rPr>
              <w:t>Pri  posudzovaní  hlasovacích práv podľa odseku 2 písm. a), d) a 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w:t>
            </w:r>
            <w:r>
              <w:rPr>
                <w:rFonts w:ascii="Times New Roman" w:hAnsi="Times New Roman" w:cs="Times New Roman"/>
                <w:lang w:val="sk-SK"/>
              </w:rPr>
              <w:t>vných jednotiek.</w:t>
            </w:r>
          </w:p>
          <w:p>
            <w:pPr>
              <w:ind w:right="23"/>
              <w:jc w:val="both"/>
              <w:rPr>
                <w:rFonts w:ascii="Times New Roman" w:hAnsi="Times New Roman" w:cs="Times New Roman"/>
                <w:lang w:val="sk-SK"/>
              </w:rPr>
            </w:pPr>
            <w:r>
              <w:rPr>
                <w:rFonts w:ascii="Times New Roman" w:hAnsi="Times New Roman" w:cs="Times New Roman"/>
                <w:lang w:val="sk-SK"/>
              </w:rPr>
              <w:t xml:space="preserve"> Na materskú účtovnú jednotku, ktorá je zároveň dcérskou účtovnou jednotkou a jej  materská účtovná jednotka  podlieha právu niektorého členského štátu Európskej únie, sa nevzťahuje povinnosť zostaviť konsolidovanú účtovnú závierku a konsolidovanú výročnú správu (ďalej len „oslobodená dcérska účtovná jednotka“), ak jej materská účtovná jednotka  má</w:t>
            </w:r>
          </w:p>
          <w:p>
            <w:pPr>
              <w:numPr>
                <w:ilvl w:val="0"/>
                <w:numId w:val="24"/>
              </w:numPr>
              <w:tabs>
                <w:tab w:val="left" w:pos="0"/>
                <w:tab w:val="clear" w:pos="1429"/>
              </w:tabs>
              <w:ind w:left="355"/>
              <w:jc w:val="both"/>
              <w:rPr>
                <w:rFonts w:ascii="Times New Roman" w:hAnsi="Times New Roman" w:cs="Times New Roman"/>
                <w:lang w:val="sk-SK"/>
              </w:rPr>
            </w:pPr>
            <w:r>
              <w:rPr>
                <w:rFonts w:ascii="Times New Roman" w:hAnsi="Times New Roman" w:cs="Times New Roman"/>
                <w:lang w:val="sk-SK"/>
              </w:rPr>
              <w:t>všetky akcie alebo podiely oslobodenej dcérskej účtovnej jednotky alebo</w:t>
            </w:r>
          </w:p>
          <w:p>
            <w:pPr>
              <w:numPr>
                <w:ilvl w:val="0"/>
                <w:numId w:val="24"/>
              </w:numPr>
              <w:tabs>
                <w:tab w:val="left" w:pos="0"/>
                <w:tab w:val="clear" w:pos="1429"/>
              </w:tabs>
              <w:ind w:left="355"/>
              <w:jc w:val="both"/>
              <w:rPr>
                <w:rFonts w:ascii="Times New Roman" w:hAnsi="Times New Roman" w:cs="Times New Roman"/>
                <w:lang w:val="sk-SK"/>
              </w:rPr>
            </w:pPr>
            <w:r>
              <w:rPr>
                <w:rFonts w:ascii="Times New Roman" w:hAnsi="Times New Roman" w:cs="Times New Roman"/>
                <w:lang w:val="sk-SK"/>
              </w:rPr>
              <w:t>najmenej 90 % akcií alebo podielov oslobodenej dcérskej účtovnej jednotky  a ostatní akcionári alebo spoločníci tejto účtovnej jednotky s oslobodením od povinnosti zostaviť konsolidovanú účtovnú závierku súhlasili.</w:t>
            </w:r>
          </w:p>
          <w:p>
            <w:pPr>
              <w:jc w:val="both"/>
              <w:rPr>
                <w:rFonts w:ascii="Times New Roman" w:hAnsi="Times New Roman" w:cs="Times New Roman"/>
                <w:lang w:val="sk-SK"/>
              </w:rPr>
            </w:pPr>
            <w:r>
              <w:rPr>
                <w:rFonts w:ascii="Times New Roman" w:hAnsi="Times New Roman" w:cs="Times New Roman"/>
                <w:lang w:val="sk-SK"/>
              </w:rPr>
              <w:t>Predpokladmi pre oslobodenie od povinnosti zostaviť konsolidovanú účtovnú závierku a konsolidovanú výročnú správu podľa odseku 6 je splnenie týchto podmienok:</w:t>
            </w:r>
          </w:p>
          <w:p>
            <w:pPr>
              <w:numPr>
                <w:ilvl w:val="0"/>
                <w:numId w:val="25"/>
              </w:numPr>
              <w:tabs>
                <w:tab w:val="left" w:pos="71"/>
                <w:tab w:val="clear" w:pos="1429"/>
              </w:tabs>
              <w:ind w:left="355"/>
              <w:jc w:val="both"/>
              <w:rPr>
                <w:rFonts w:ascii="Times New Roman" w:hAnsi="Times New Roman" w:cs="Times New Roman"/>
                <w:lang w:val="sk-SK"/>
              </w:rPr>
            </w:pPr>
            <w:r>
              <w:rPr>
                <w:rFonts w:ascii="Times New Roman" w:hAnsi="Times New Roman" w:cs="Times New Roman"/>
                <w:lang w:val="sk-SK"/>
              </w:rPr>
              <w:t xml:space="preserve">oslobodená dcérska účtovná jednotka  a všetky jej dcérske účtovné jednotky  sú zahrnované do konsolidovanej účtovnej závierky zostavenej podľa právnych predpisov Európskej únie a Európskych spoločenstiev, </w:t>
            </w:r>
          </w:p>
          <w:p>
            <w:pPr>
              <w:numPr>
                <w:ilvl w:val="0"/>
                <w:numId w:val="25"/>
              </w:numPr>
              <w:tabs>
                <w:tab w:val="left" w:pos="71"/>
                <w:tab w:val="clear" w:pos="1429"/>
              </w:tabs>
              <w:ind w:left="355"/>
              <w:jc w:val="both"/>
              <w:rPr>
                <w:rFonts w:ascii="Times New Roman" w:hAnsi="Times New Roman" w:cs="Times New Roman"/>
                <w:lang w:val="sk-SK"/>
              </w:rPr>
            </w:pPr>
            <w:r>
              <w:rPr>
                <w:rFonts w:ascii="Times New Roman" w:hAnsi="Times New Roman" w:cs="Times New Roman"/>
                <w:lang w:val="sk-SK"/>
              </w:rPr>
              <w:t xml:space="preserve">konsolidovaná účtovná závierka uvedená v písmene a) a súlad konsolidovanej výročnej správy s účtovnou závierkou musí byť overený audítorom podľa právnych predpisov Európskej únie a Európskych spoločenstiev, </w:t>
            </w:r>
          </w:p>
          <w:p>
            <w:pPr>
              <w:numPr>
                <w:ilvl w:val="0"/>
                <w:numId w:val="25"/>
              </w:numPr>
              <w:tabs>
                <w:tab w:val="left" w:pos="71"/>
                <w:tab w:val="clear" w:pos="1429"/>
              </w:tabs>
              <w:ind w:left="355"/>
              <w:jc w:val="both"/>
              <w:rPr>
                <w:rFonts w:ascii="Times New Roman" w:hAnsi="Times New Roman" w:cs="Times New Roman"/>
                <w:lang w:val="sk-SK"/>
              </w:rPr>
            </w:pPr>
            <w:r>
              <w:rPr>
                <w:rFonts w:ascii="Times New Roman" w:hAnsi="Times New Roman" w:cs="Times New Roman"/>
                <w:lang w:val="sk-SK"/>
              </w:rPr>
              <w:t>konsolidovaná účtovná závierka uvedená v písmene a) a konsolidovaná výročná správa musia byť zverejnené podľa právnych predpisov Európskej únie a Európskych spoločenstiev,</w:t>
            </w:r>
          </w:p>
          <w:p>
            <w:pPr>
              <w:numPr>
                <w:ilvl w:val="0"/>
                <w:numId w:val="25"/>
              </w:numPr>
              <w:tabs>
                <w:tab w:val="left" w:pos="71"/>
                <w:tab w:val="clear" w:pos="1429"/>
              </w:tabs>
              <w:ind w:left="355"/>
              <w:jc w:val="both"/>
              <w:rPr>
                <w:rFonts w:ascii="Times New Roman" w:hAnsi="Times New Roman" w:cs="Times New Roman"/>
                <w:lang w:val="sk-SK"/>
              </w:rPr>
            </w:pPr>
            <w:r>
              <w:rPr>
                <w:rFonts w:ascii="Times New Roman" w:hAnsi="Times New Roman" w:cs="Times New Roman"/>
                <w:lang w:val="sk-SK"/>
              </w:rPr>
              <w:t>oslobodená dcérska účtovná jednotka uvedie v poznámkach k individuálnej účtovnej závierke názov a sídlo materskej účtovnej jednotky  zostavujúcej konsolidovanú účtovnú závierku uvedenú v odseku 7 písm. a) a poukáže na to, že bola od povinnosti zostaviť konsolidovanú účtovnú závierku a konsolidovanú výročnú správu oslobodená.</w:t>
            </w:r>
          </w:p>
          <w:p>
            <w:pPr>
              <w:ind w:right="23"/>
              <w:jc w:val="both"/>
              <w:rPr>
                <w:rFonts w:ascii="Times New Roman" w:hAnsi="Times New Roman" w:cs="Times New Roman"/>
                <w:lang w:val="sk-SK"/>
              </w:rPr>
            </w:pPr>
            <w:r>
              <w:rPr>
                <w:rFonts w:ascii="Times New Roman" w:hAnsi="Times New Roman" w:cs="Times New Roman"/>
                <w:lang w:val="sk-SK"/>
              </w:rPr>
              <w:t xml:space="preserve"> Povinnosť zostaviť konsolidovanú účtovnú závierku a konsolidovanú výročnú správu nemá materská účtovná jednotka, ak súčet údajov z jej individuálnej účtovnej závierky a individuálnych závierok jej  dcérskych  účtovných jednotiek na všetkých hierarchických úrovniach, zostavených za posledné dve účtovné obdobia neprekročil v každom z týchto účtovných období aspoň dve z týchto podmienok</w:t>
            </w:r>
          </w:p>
          <w:p>
            <w:pPr>
              <w:numPr>
                <w:ilvl w:val="0"/>
                <w:numId w:val="23"/>
              </w:numPr>
              <w:tabs>
                <w:tab w:val="left" w:pos="213"/>
                <w:tab w:val="clear" w:pos="1797"/>
              </w:tabs>
              <w:ind w:left="355" w:right="23"/>
              <w:jc w:val="both"/>
              <w:rPr>
                <w:rFonts w:ascii="Times New Roman" w:hAnsi="Times New Roman" w:cs="Times New Roman"/>
                <w:lang w:val="sk-SK"/>
              </w:rPr>
            </w:pPr>
            <w:r>
              <w:rPr>
                <w:rFonts w:ascii="Times New Roman" w:hAnsi="Times New Roman" w:cs="Times New Roman"/>
                <w:lang w:val="sk-SK"/>
              </w:rPr>
              <w:t>sumu majetku 350 000 000 Sk, pričom sumou majetku sa rozumie suma majetku zistená zo súvah v ocenení upravenom o položky podľa § 26 ods. 3,</w:t>
            </w:r>
          </w:p>
          <w:p>
            <w:pPr>
              <w:numPr>
                <w:ilvl w:val="0"/>
                <w:numId w:val="23"/>
              </w:numPr>
              <w:tabs>
                <w:tab w:val="left" w:pos="213"/>
                <w:tab w:val="clear" w:pos="1797"/>
              </w:tabs>
              <w:ind w:left="355" w:right="23"/>
              <w:jc w:val="both"/>
              <w:rPr>
                <w:rFonts w:ascii="Times New Roman" w:hAnsi="Times New Roman" w:cs="Times New Roman"/>
                <w:lang w:val="sk-SK"/>
              </w:rPr>
            </w:pPr>
            <w:r>
              <w:rPr>
                <w:rFonts w:ascii="Times New Roman" w:hAnsi="Times New Roman" w:cs="Times New Roman"/>
                <w:lang w:val="sk-SK"/>
              </w:rPr>
              <w:t>čistý obrat 700 000 000 Sk, pričom čistým obratom na tento účel sú tržby z predaja výrobkov, tovarov a z poskytovania služieb,</w:t>
            </w:r>
          </w:p>
          <w:p>
            <w:pPr>
              <w:numPr>
                <w:ilvl w:val="0"/>
                <w:numId w:val="23"/>
              </w:numPr>
              <w:tabs>
                <w:tab w:val="left" w:pos="213"/>
                <w:tab w:val="clear" w:pos="1797"/>
              </w:tabs>
              <w:ind w:left="355" w:right="-70"/>
              <w:jc w:val="both"/>
              <w:rPr>
                <w:rFonts w:ascii="Times New Roman" w:hAnsi="Times New Roman" w:cs="Times New Roman"/>
                <w:lang w:val="sk-SK"/>
              </w:rPr>
            </w:pPr>
            <w:r>
              <w:rPr>
                <w:rFonts w:ascii="Times New Roman" w:hAnsi="Times New Roman" w:cs="Times New Roman"/>
                <w:lang w:val="sk-SK"/>
              </w:rPr>
              <w:t>priemerný prepočítaný počet zamestnancov 250.</w:t>
            </w:r>
          </w:p>
          <w:p>
            <w:pPr>
              <w:ind w:right="23"/>
              <w:jc w:val="both"/>
              <w:rPr>
                <w:rFonts w:ascii="Times New Roman" w:hAnsi="Times New Roman" w:cs="Times New Roman"/>
                <w:lang w:val="sk-SK"/>
              </w:rPr>
            </w:pPr>
            <w:r>
              <w:rPr>
                <w:rFonts w:ascii="Times New Roman" w:hAnsi="Times New Roman" w:cs="Times New Roman"/>
                <w:lang w:val="sk-SK"/>
              </w:rPr>
              <w:t>Na účtovnú jednotku, ktorá zostavuje účtovnú závierku podľa § 17a sa odsek 8 nevzťahuje.</w:t>
            </w:r>
          </w:p>
          <w:p>
            <w:pPr>
              <w:ind w:right="-902"/>
              <w:jc w:val="both"/>
              <w:rPr>
                <w:rFonts w:ascii="Times New Roman" w:hAnsi="Times New Roman" w:cs="Times New Roman"/>
                <w:lang w:val="sk-SK"/>
              </w:rPr>
            </w:pPr>
            <w:r>
              <w:rPr>
                <w:rFonts w:ascii="Times New Roman" w:hAnsi="Times New Roman" w:cs="Times New Roman"/>
                <w:lang w:val="sk-SK"/>
              </w:rPr>
              <w:t xml:space="preserve"> Konsolidovaná účtovná závierka musí byť ov</w:t>
            </w:r>
            <w:r>
              <w:rPr>
                <w:rFonts w:ascii="Times New Roman" w:hAnsi="Times New Roman" w:cs="Times New Roman"/>
                <w:lang w:val="sk-SK"/>
              </w:rPr>
              <w:t>erená audítorom.</w:t>
            </w:r>
          </w:p>
          <w:p>
            <w:pPr>
              <w:ind w:right="23"/>
              <w:jc w:val="both"/>
              <w:rPr>
                <w:rFonts w:ascii="Times New Roman" w:hAnsi="Times New Roman" w:cs="Times New Roman"/>
                <w:lang w:val="sk-SK"/>
              </w:rPr>
            </w:pPr>
            <w:r>
              <w:rPr>
                <w:rFonts w:ascii="Times New Roman" w:hAnsi="Times New Roman" w:cs="Times New Roman"/>
                <w:lang w:val="sk-SK"/>
              </w:rPr>
              <w:t>Materská účtovná jednotka  je povinná včas oznámiť dcérskym účtovným jednotkám a ostatným účtovným jednotkám zahrnovaným do konsolidovanej účtovnej závierky informáciu, že má povinnosť zostaviť konsolidovanú účtovnú závierku.</w:t>
            </w:r>
          </w:p>
          <w:p>
            <w:pPr>
              <w:ind w:right="23"/>
              <w:jc w:val="both"/>
              <w:rPr>
                <w:rFonts w:ascii="Times New Roman" w:hAnsi="Times New Roman" w:cs="Times New Roman"/>
                <w:lang w:val="sk-SK"/>
              </w:rPr>
            </w:pPr>
            <w:r>
              <w:rPr>
                <w:rFonts w:ascii="Times New Roman" w:hAnsi="Times New Roman" w:cs="Times New Roman"/>
                <w:lang w:val="sk-SK"/>
              </w:rPr>
              <w:t xml:space="preserve"> Dcérske účtovné jednotky  a ostatné účtovné jednotky zahrnované do konsolidovanej účtovnej závierky sú povinné poskytnúť svoju individuálnu účtovnú závierku a požadované informácie </w:t>
            </w:r>
            <w:r>
              <w:rPr>
                <w:rFonts w:ascii="Times New Roman" w:hAnsi="Times New Roman" w:cs="Times New Roman"/>
                <w:b/>
                <w:sz w:val="28"/>
                <w:szCs w:val="28"/>
                <w:lang w:val="sk-SK"/>
              </w:rPr>
              <w:t xml:space="preserve"> </w:t>
            </w:r>
            <w:r>
              <w:rPr>
                <w:rFonts w:ascii="Times New Roman" w:hAnsi="Times New Roman" w:cs="Times New Roman"/>
                <w:lang w:val="sk-SK"/>
              </w:rPr>
              <w:t>potrebné na zostavenie konsolidovanej účtovnej závierky materskej  účtovnej jednotke.</w:t>
            </w:r>
          </w:p>
          <w:p>
            <w:pPr>
              <w:ind w:right="23"/>
              <w:jc w:val="both"/>
              <w:rPr>
                <w:rFonts w:ascii="Times New Roman" w:hAnsi="Times New Roman" w:cs="Times New Roman"/>
                <w:lang w:val="sk-SK"/>
              </w:rPr>
            </w:pPr>
            <w:r>
              <w:rPr>
                <w:rFonts w:ascii="Times New Roman" w:hAnsi="Times New Roman" w:cs="Times New Roman"/>
                <w:lang w:val="sk-SK"/>
              </w:rPr>
              <w:t xml:space="preserve"> Na konsolidovanú výročnú správu sa  § 20 vzťahuje  primerane. Ak má účtovná jednotka povinnosť zostaviť individuálnu výročnú správu a konsolidovanú výročnú správu, môžu byť tieto správy vyhotovené ako jedna výročná správa.</w:t>
            </w:r>
          </w:p>
          <w:p>
            <w:pPr>
              <w:rPr>
                <w:rFonts w:ascii="Times New Roman" w:hAnsi="Times New Roman" w:cs="Times New Roman"/>
                <w:szCs w:val="24"/>
                <w:lang w:val="sk-SK"/>
              </w:rPr>
            </w:pPr>
            <w:r>
              <w:rPr>
                <w:rFonts w:ascii="Times New Roman" w:hAnsi="Times New Roman" w:cs="Times New Roman"/>
                <w:lang w:val="sk-SK"/>
              </w:rPr>
              <w:t>Na zostavenie mimoriadnej konsolidovanej účtovnej závierky a priebežnej konsolidovanej účtovnej závierky sa odseky 1 až 13 vzťahujú rovnako.</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lang w:val="sk-SK"/>
              </w:rPr>
              <w:t xml:space="preserve">V zmysle nariadenia (ES) č. 1606/2002 čl. 4, 5 majú </w:t>
            </w:r>
            <w:r>
              <w:rPr>
                <w:rFonts w:ascii="Times New Roman" w:hAnsi="Times New Roman" w:cs="Times New Roman"/>
                <w:bCs/>
                <w:lang w:val="sk-SK"/>
              </w:rPr>
              <w:t>členské štáty   možnosť povoliť alebo požadovať, aby verejne obchodované spoločnosti ich vypracovali v zhode s medzinárodnými účtovnými štandardami vypracovanými v súlade s postupom stanoveným v tomto nariadení. Členské štáty sa môžu rozhodnúť rozšíriť toto povolenie alebo túto</w:t>
            </w:r>
            <w:r>
              <w:rPr>
                <w:rFonts w:ascii="Times New Roman" w:hAnsi="Times New Roman" w:cs="Times New Roman"/>
                <w:b/>
                <w:bCs/>
                <w:lang w:val="sk-SK"/>
              </w:rPr>
              <w:t xml:space="preserve"> </w:t>
            </w:r>
            <w:r>
              <w:rPr>
                <w:rFonts w:ascii="Times New Roman" w:hAnsi="Times New Roman" w:cs="Times New Roman"/>
                <w:bCs/>
                <w:lang w:val="sk-SK"/>
              </w:rPr>
              <w:t>požiadavku na ďalšie spoločnosti, vzhľadom na vypracovanie svojich konsolidovaných účtov a/alebo ich ročných účtov.</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43</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400" w:hanging="68"/>
              <w:rPr>
                <w:rFonts w:ascii="Times New Roman" w:hAnsi="Times New Roman" w:cs="Times New Roman"/>
                <w:szCs w:val="24"/>
                <w:lang w:val="sk-SK"/>
              </w:rPr>
            </w:pPr>
            <w:r>
              <w:rPr>
                <w:rFonts w:ascii="Times New Roman" w:hAnsi="Times New Roman" w:cs="Times New Roman"/>
                <w:szCs w:val="24"/>
                <w:lang w:val="sk-SK"/>
              </w:rPr>
              <w:t>1. Smernica 83/349/EEC bude platiť podľa článku 1 tejto smernice a odseku 2 tohto článku.</w:t>
            </w:r>
          </w:p>
          <w:p>
            <w:pPr>
              <w:ind w:hanging="68"/>
              <w:jc w:val="both"/>
              <w:rPr>
                <w:rFonts w:ascii="Times New Roman" w:hAnsi="Times New Roman" w:cs="Times New Roman"/>
                <w:szCs w:val="24"/>
              </w:rPr>
            </w:pPr>
            <w:r>
              <w:rPr>
                <w:rFonts w:ascii="Times New Roman" w:hAnsi="Times New Roman" w:cs="Times New Roman"/>
                <w:szCs w:val="24"/>
              </w:rPr>
              <w:t>2.   (a) Články 4, 6, 15 a 40 smernice 83/349/EEC nebudú platiť.</w:t>
            </w:r>
          </w:p>
          <w:p>
            <w:pPr>
              <w:ind w:right="400" w:hanging="68"/>
              <w:jc w:val="both"/>
              <w:rPr>
                <w:rFonts w:ascii="Times New Roman" w:hAnsi="Times New Roman" w:cs="Times New Roman"/>
                <w:szCs w:val="24"/>
              </w:rPr>
            </w:pPr>
            <w:r>
              <w:rPr>
                <w:rFonts w:ascii="Times New Roman" w:hAnsi="Times New Roman" w:cs="Times New Roman"/>
                <w:szCs w:val="24"/>
              </w:rPr>
              <w:t>(b) Členské štáty môžu uplatniť článok 7 smernice 83/349/EEC podľa nasledujúcich dodatočných podmienok:</w:t>
            </w:r>
          </w:p>
          <w:p>
            <w:pPr>
              <w:ind w:hanging="68"/>
              <w:rPr>
                <w:rFonts w:ascii="Times New Roman" w:hAnsi="Times New Roman" w:cs="Times New Roman"/>
                <w:szCs w:val="24"/>
              </w:rPr>
            </w:pPr>
            <w:r>
              <w:rPr>
                <w:rFonts w:ascii="Times New Roman" w:hAnsi="Times New Roman" w:cs="Times New Roman"/>
                <w:szCs w:val="24"/>
              </w:rPr>
              <w:t>- materský podnik musí vyhlásiť, že garantuje záväzky, do ktorých vstúpil oslobodený podnik; existencia takéhoto vyhlásenia sa zverejní v účtoch oslobodeného podniku;</w:t>
            </w:r>
          </w:p>
          <w:p>
            <w:pPr>
              <w:ind w:right="400" w:hanging="68"/>
              <w:rPr>
                <w:rFonts w:ascii="Times New Roman" w:hAnsi="Times New Roman" w:cs="Times New Roman"/>
                <w:szCs w:val="24"/>
              </w:rPr>
            </w:pPr>
            <w:r>
              <w:rPr>
                <w:rFonts w:ascii="Times New Roman" w:hAnsi="Times New Roman" w:cs="Times New Roman"/>
                <w:szCs w:val="24"/>
              </w:rPr>
              <w:t>-  materský podnik musí byť úverovou inštitúciou v zmysle článku 2 (1) (a) tejto smernice.</w:t>
            </w:r>
          </w:p>
          <w:p>
            <w:pPr>
              <w:ind w:right="400" w:hanging="68"/>
              <w:rPr>
                <w:rFonts w:ascii="Times New Roman" w:hAnsi="Times New Roman" w:cs="Times New Roman"/>
                <w:szCs w:val="24"/>
              </w:rPr>
            </w:pPr>
            <w:r>
              <w:rPr>
                <w:rFonts w:ascii="Times New Roman" w:hAnsi="Times New Roman" w:cs="Times New Roman"/>
                <w:szCs w:val="24"/>
              </w:rPr>
              <w:t>(c) informácie uvedené v prvých dvoch zarážkach článku 9 (2) smernice 83/349/EEC, menovite:</w:t>
            </w:r>
          </w:p>
          <w:p>
            <w:pPr>
              <w:ind w:right="400" w:hanging="68"/>
              <w:rPr>
                <w:rFonts w:ascii="Times New Roman" w:hAnsi="Times New Roman" w:cs="Times New Roman"/>
                <w:szCs w:val="24"/>
                <w:lang w:val="fr-FR"/>
              </w:rPr>
            </w:pPr>
            <w:r>
              <w:rPr>
                <w:rFonts w:ascii="Times New Roman" w:hAnsi="Times New Roman" w:cs="Times New Roman"/>
                <w:szCs w:val="24"/>
                <w:lang w:val="fr-FR"/>
              </w:rPr>
              <w:t>- suma základného  majetku a                                                                                                                                         - čistý obrat sa nahradia :</w:t>
            </w:r>
          </w:p>
          <w:p>
            <w:pPr>
              <w:ind w:hanging="68"/>
              <w:rPr>
                <w:rFonts w:ascii="Times New Roman" w:hAnsi="Times New Roman" w:cs="Times New Roman"/>
                <w:szCs w:val="24"/>
                <w:lang w:val="fr-FR"/>
              </w:rPr>
            </w:pPr>
            <w:r>
              <w:rPr>
                <w:rFonts w:ascii="Times New Roman" w:hAnsi="Times New Roman" w:cs="Times New Roman"/>
                <w:szCs w:val="24"/>
                <w:lang w:val="fr-FR"/>
              </w:rPr>
              <w:t>sumou položiek 1, 3, 4, 6 a 7 v článku 27 alebo B1, B2 ,B3 ,B4 a B7 v článku 28 tejto smernice.</w:t>
            </w:r>
          </w:p>
          <w:p>
            <w:pPr>
              <w:ind w:hanging="68"/>
              <w:rPr>
                <w:rFonts w:ascii="Times New Roman" w:hAnsi="Times New Roman" w:cs="Times New Roman"/>
                <w:szCs w:val="24"/>
                <w:lang w:val="fr-FR"/>
              </w:rPr>
            </w:pPr>
            <w:r>
              <w:rPr>
                <w:rFonts w:ascii="Times New Roman" w:hAnsi="Times New Roman" w:cs="Times New Roman"/>
                <w:szCs w:val="24"/>
                <w:lang w:val="fr-FR"/>
              </w:rPr>
              <w:t>(d) Keď v dôsledku použitia článku 13 (3) (c) smernice 83/349/EEC sa dcérsky podnik, ktorý je úverovou inštitúciou, nezahrnie do konsolidovaných účtov, ked' sú akcie takéhoto podniku v dočasnom vlastníctve ako dôsledok operácie finančnej pomoci za účelom reorganizácie alebo oživenia predmetného podniku, výročné účty takéhoto podniku sa prikladajú ku konsolidovaným účtom a uvádzajú sa  dodatočné informácie v zápisoch o účtoch o povahe a podmienkach operácie finančnej pomoci.</w:t>
            </w:r>
          </w:p>
          <w:p>
            <w:pPr>
              <w:ind w:hanging="68"/>
              <w:rPr>
                <w:rFonts w:ascii="Times New Roman" w:hAnsi="Times New Roman" w:cs="Times New Roman"/>
                <w:szCs w:val="24"/>
                <w:lang w:val="fr-FR"/>
              </w:rPr>
            </w:pPr>
            <w:r>
              <w:rPr>
                <w:rFonts w:ascii="Times New Roman" w:hAnsi="Times New Roman" w:cs="Times New Roman"/>
                <w:szCs w:val="24"/>
                <w:lang w:val="fr-FR"/>
              </w:rPr>
              <w:t>(e) Členský štát môže použiť aj článok 12 smernice 83/349/EEC na dve alebo viacero úverových inštitúcií, ktoré nie sú spojené, ako sa popisuje v článku 1 (1) alebo (2) tejto smernice, ale sa riadia na jednotnom  základe inom ako zmluva alebo ustanovenia v zakladajúcej listine alebo v stanovách združenia.</w:t>
            </w:r>
          </w:p>
          <w:p>
            <w:pPr>
              <w:ind w:right="400" w:hanging="68"/>
              <w:rPr>
                <w:rFonts w:ascii="Times New Roman" w:hAnsi="Times New Roman" w:cs="Times New Roman"/>
                <w:szCs w:val="24"/>
                <w:lang w:val="fr-FR"/>
              </w:rPr>
            </w:pPr>
            <w:r>
              <w:rPr>
                <w:rFonts w:ascii="Times New Roman" w:hAnsi="Times New Roman" w:cs="Times New Roman"/>
                <w:szCs w:val="24"/>
                <w:lang w:val="fr-FR"/>
              </w:rPr>
              <w:t>(f) Článok 14 smernice 83/349/EEC s výnimkou odseku 2 bude platiť za predpokladu nasledujúceho ustanovenia.</w:t>
            </w:r>
          </w:p>
          <w:p>
            <w:pPr>
              <w:ind w:right="400" w:hanging="68"/>
              <w:rPr>
                <w:rFonts w:ascii="Times New Roman" w:hAnsi="Times New Roman" w:cs="Times New Roman"/>
                <w:szCs w:val="24"/>
                <w:lang w:val="fr-FR"/>
              </w:rPr>
            </w:pPr>
            <w:r>
              <w:rPr>
                <w:rFonts w:ascii="Times New Roman" w:hAnsi="Times New Roman" w:cs="Times New Roman"/>
                <w:szCs w:val="24"/>
                <w:lang w:val="fr-FR"/>
              </w:rPr>
              <w:t>Keď je materský podnik úverovou inštitúciou a keď jeden alebo viacero dcérskych  podnikov, ktoré sa majú konsolidovať nemá tento štatút, potom sa dcérske podniky</w:t>
            </w:r>
            <w:r>
              <w:rPr>
                <w:rFonts w:ascii="Times New Roman" w:hAnsi="Times New Roman" w:cs="Times New Roman"/>
                <w:b/>
                <w:szCs w:val="24"/>
                <w:lang w:val="fr-FR"/>
              </w:rPr>
              <w:t xml:space="preserve"> </w:t>
            </w:r>
            <w:r>
              <w:rPr>
                <w:rFonts w:ascii="Times New Roman" w:hAnsi="Times New Roman" w:cs="Times New Roman"/>
                <w:szCs w:val="24"/>
                <w:lang w:val="fr-FR"/>
              </w:rPr>
              <w:t>zahrnú do konsolidácie ak ich činnosti sú priamym rozšírením bankových služieb alebo spadajú do oblasti služieb pomáhajúcich  bankovníctvu, ako sú leasing, faktoring, správa podielových fondov správa služieb spracovania dát alebo akékoľvek ďalšie podobné činnosti.</w:t>
            </w:r>
          </w:p>
          <w:p>
            <w:pPr>
              <w:ind w:left="280" w:hanging="68"/>
              <w:rPr>
                <w:rFonts w:ascii="Times New Roman" w:hAnsi="Times New Roman" w:cs="Times New Roman"/>
                <w:szCs w:val="24"/>
                <w:lang w:val="fr-FR"/>
              </w:rPr>
            </w:pPr>
            <w:r>
              <w:rPr>
                <w:rFonts w:ascii="Times New Roman" w:hAnsi="Times New Roman" w:cs="Times New Roman"/>
                <w:szCs w:val="24"/>
                <w:lang w:val="fr-FR"/>
              </w:rPr>
              <w:t>(g) Na účely usporiadania konsolidovaných účtov:</w:t>
            </w:r>
          </w:p>
          <w:p>
            <w:pPr>
              <w:ind w:hanging="68"/>
              <w:rPr>
                <w:rFonts w:ascii="Times New Roman" w:hAnsi="Times New Roman" w:cs="Times New Roman"/>
                <w:szCs w:val="24"/>
                <w:lang w:val="fr-FR"/>
              </w:rPr>
            </w:pPr>
            <w:r>
              <w:rPr>
                <w:rFonts w:ascii="Times New Roman" w:hAnsi="Times New Roman" w:cs="Times New Roman"/>
                <w:szCs w:val="24"/>
                <w:lang w:val="fr-FR"/>
              </w:rPr>
              <w:t>budú platiť články 3, 5 až 26 a 29 až 34 tejto smernice;</w:t>
            </w:r>
          </w:p>
          <w:p>
            <w:pPr>
              <w:ind w:hanging="68"/>
              <w:rPr>
                <w:rFonts w:ascii="Times New Roman" w:hAnsi="Times New Roman" w:cs="Times New Roman"/>
                <w:szCs w:val="24"/>
                <w:lang w:val="fr-FR"/>
              </w:rPr>
            </w:pPr>
            <w:r>
              <w:rPr>
                <w:rFonts w:ascii="Times New Roman" w:hAnsi="Times New Roman" w:cs="Times New Roman"/>
                <w:szCs w:val="24"/>
                <w:lang w:val="fr-FR"/>
              </w:rPr>
              <w:t>odkaz v článku 17 smernice 83/349/EEC na článok 15 (3) smernice 78/660/EEC bude platiť na aktíva, pokladané za základný majetok  podľa článku 35 tejto smernice.</w:t>
            </w:r>
          </w:p>
          <w:p>
            <w:pPr>
              <w:ind w:right="400" w:hanging="68"/>
              <w:rPr>
                <w:rFonts w:ascii="Times New Roman" w:hAnsi="Times New Roman" w:cs="Times New Roman"/>
                <w:szCs w:val="24"/>
                <w:lang w:val="fr-FR"/>
              </w:rPr>
            </w:pPr>
            <w:r>
              <w:rPr>
                <w:rFonts w:ascii="Times New Roman" w:hAnsi="Times New Roman" w:cs="Times New Roman"/>
                <w:szCs w:val="24"/>
                <w:lang w:val="fr-FR"/>
              </w:rPr>
              <w:t>(h) Článok 34 smernice 83/349/EEC bude platiť  vzhľadom na obsah zápisov o konsolidovaných účtoch  podľa článkov 40 a 41 tejto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§22</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r>
              <w:rPr>
                <w:rFonts w:ascii="Times New Roman" w:hAnsi="Times New Roman" w:cs="Times New Roman"/>
                <w:szCs w:val="24"/>
                <w:lang w:val="sk-SK"/>
              </w:rPr>
              <w:t>až</w:t>
            </w:r>
          </w:p>
          <w:p>
            <w:pPr>
              <w:rPr>
                <w:rFonts w:ascii="Times New Roman" w:hAnsi="Times New Roman" w:cs="Times New Roman"/>
                <w:szCs w:val="24"/>
                <w:lang w:val="sk-SK"/>
              </w:rPr>
            </w:pPr>
            <w:r>
              <w:rPr>
                <w:rFonts w:ascii="Times New Roman" w:hAnsi="Times New Roman" w:cs="Times New Roman"/>
                <w:szCs w:val="24"/>
                <w:lang w:val="sk-SK"/>
              </w:rPr>
              <w:t>ods.8</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  </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44</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400"/>
              <w:rPr>
                <w:rFonts w:ascii="Times New Roman" w:hAnsi="Times New Roman" w:cs="Times New Roman"/>
                <w:szCs w:val="24"/>
                <w:lang w:val="sk-SK"/>
              </w:rPr>
            </w:pPr>
            <w:r>
              <w:rPr>
                <w:rFonts w:ascii="Times New Roman" w:hAnsi="Times New Roman" w:cs="Times New Roman"/>
                <w:szCs w:val="24"/>
                <w:lang w:val="sk-SK"/>
              </w:rPr>
              <w:t>1. Náležito schválené výročné účty úverových inštitúcií spolu s výročnými správami a správami osôb zodpovedných za auditovanie účtov sa zverejňujú tak, ako to stanovuje národné právo v súlade s článkom 3 smernice 68/151/EEC</w:t>
            </w:r>
            <w:r>
              <w:rPr>
                <w:rFonts w:ascii="Times New Roman" w:hAnsi="Times New Roman" w:cs="Times New Roman"/>
                <w:szCs w:val="24"/>
                <w:vertAlign w:val="superscript"/>
                <w:lang w:val="sk-SK"/>
              </w:rPr>
              <w:t>1</w:t>
            </w:r>
            <w:r>
              <w:rPr>
                <w:rFonts w:ascii="Times New Roman" w:hAnsi="Times New Roman" w:cs="Times New Roman"/>
                <w:szCs w:val="24"/>
                <w:lang w:val="sk-SK"/>
              </w:rPr>
              <w:t>.</w:t>
            </w:r>
          </w:p>
          <w:p>
            <w:pPr>
              <w:rPr>
                <w:rFonts w:ascii="Times New Roman" w:hAnsi="Times New Roman" w:cs="Times New Roman"/>
                <w:szCs w:val="24"/>
                <w:lang w:val="sk-SK"/>
              </w:rPr>
            </w:pPr>
            <w:r>
              <w:rPr>
                <w:rFonts w:ascii="Times New Roman" w:hAnsi="Times New Roman" w:cs="Times New Roman"/>
                <w:szCs w:val="24"/>
                <w:lang w:val="sk-SK"/>
              </w:rPr>
              <w:t>Národné právo však môže povoliť, aby sa výročná správa nepublikovala tak, ako je to vymedzené vyššie. V takomto prípade sa dá k dispozícii verejnosti v registrovanom sídle spoločnosti v príslušnom členskom štáte.  Na požiadanie musí (byť umožnené získať kópiu celej alebo časti akejkoľvek takejto správy. Cena takejto kópie nesmie presiahnuť jej administra</w:t>
            </w:r>
            <w:r>
              <w:rPr>
                <w:rFonts w:ascii="Times New Roman" w:hAnsi="Times New Roman" w:cs="Times New Roman"/>
                <w:szCs w:val="24"/>
                <w:lang w:val="sk-SK"/>
              </w:rPr>
              <w:t>tívne náklady.</w:t>
            </w:r>
          </w:p>
          <w:p>
            <w:pPr>
              <w:ind w:right="400"/>
              <w:rPr>
                <w:rFonts w:ascii="Times New Roman" w:hAnsi="Times New Roman" w:cs="Times New Roman"/>
                <w:szCs w:val="24"/>
                <w:lang w:val="sk-SK"/>
              </w:rPr>
            </w:pPr>
            <w:r>
              <w:rPr>
                <w:rFonts w:ascii="Times New Roman" w:hAnsi="Times New Roman" w:cs="Times New Roman"/>
                <w:szCs w:val="24"/>
                <w:lang w:val="sk-SK"/>
              </w:rPr>
              <w:t>2. Odsek 1 bude platiť aj na náležito schválené konsolidované účty, konsolidované výročné správy a správy osôb, zodpovedných za auditovanie účtov.</w:t>
            </w:r>
          </w:p>
          <w:p>
            <w:pPr>
              <w:rPr>
                <w:rFonts w:ascii="Times New Roman" w:hAnsi="Times New Roman" w:cs="Times New Roman"/>
                <w:szCs w:val="24"/>
                <w:lang w:val="sk-SK"/>
              </w:rPr>
            </w:pPr>
            <w:r>
              <w:rPr>
                <w:rFonts w:ascii="Times New Roman" w:hAnsi="Times New Roman" w:cs="Times New Roman"/>
                <w:szCs w:val="24"/>
                <w:lang w:val="sk-SK"/>
              </w:rPr>
              <w:t>3. Avšak keď úverová inštitúcia, ktorá vystavila výročné účty alebo konsolidované účty, nie je založená ako jedna z typov spoločnosti. uvedených v článku 1 (1) Smemice 78/660/EEC, a jej národné právo nevyžaduje zverejnenie dokumentov uvedených v odsekoch 1 a 2 tohto článku, tak ako sa predpisuje v článku 3 smernice 68/151/EEC, musí ich prinajmenšom dať k dispozícii verejnosti vo svojom registrovanom sídle alebo pri absencii registrovaného sídla vo svojom hlavnom mieste podnikania. Na požiadanie sa musia dať získať kópie takýchto dokumentov. Ceny takýchto kópií nesmú presiahnuť ich administratívne ná</w:t>
            </w:r>
            <w:r>
              <w:rPr>
                <w:rFonts w:ascii="Times New Roman" w:hAnsi="Times New Roman" w:cs="Times New Roman"/>
                <w:szCs w:val="24"/>
                <w:lang w:val="sk-SK"/>
              </w:rPr>
              <w:t>klady.</w:t>
            </w:r>
          </w:p>
          <w:p>
            <w:pPr>
              <w:ind w:right="400"/>
              <w:rPr>
                <w:rFonts w:ascii="Times New Roman" w:hAnsi="Times New Roman" w:cs="Times New Roman"/>
                <w:szCs w:val="24"/>
                <w:lang w:val="sk-SK"/>
              </w:rPr>
            </w:pPr>
            <w:r>
              <w:rPr>
                <w:rFonts w:ascii="Times New Roman" w:hAnsi="Times New Roman" w:cs="Times New Roman"/>
                <w:szCs w:val="24"/>
                <w:lang w:val="sk-SK"/>
              </w:rPr>
              <w:t>4. Výročné účty a konsolidované účty úverovej inštitúcie sa musia zverejniť v každom členskom štáte. v ktorom má takáto úverová inštitúcia pobočky v zmysle tretej zarážky článku 1 smernice 77/780/EEC. Takéto členské štáty môžu požadovať, aby sa tiet</w:t>
            </w:r>
            <w:r>
              <w:rPr>
                <w:rFonts w:ascii="Times New Roman" w:hAnsi="Times New Roman" w:cs="Times New Roman"/>
                <w:szCs w:val="24"/>
                <w:lang w:val="sk-SK"/>
              </w:rPr>
              <w:t>o dokumenty zverejnili v ich úradných jazykoch.</w:t>
            </w:r>
          </w:p>
          <w:p>
            <w:pPr>
              <w:ind w:right="400"/>
              <w:rPr>
                <w:rFonts w:ascii="Times New Roman" w:hAnsi="Times New Roman" w:cs="Times New Roman"/>
                <w:szCs w:val="24"/>
                <w:lang w:val="sk-SK"/>
              </w:rPr>
            </w:pPr>
            <w:r>
              <w:rPr>
                <w:rFonts w:ascii="Times New Roman" w:hAnsi="Times New Roman" w:cs="Times New Roman"/>
                <w:szCs w:val="24"/>
                <w:lang w:val="sk-SK"/>
              </w:rPr>
              <w:t>5. Členské štáty zabezpečia primerané sankcie za nesplnenie pravidiel zverejnenia, ktoré</w:t>
            </w:r>
            <w:r>
              <w:rPr>
                <w:rFonts w:ascii="Times New Roman" w:hAnsi="Times New Roman" w:cs="Times New Roman"/>
                <w:b/>
                <w:szCs w:val="24"/>
                <w:lang w:val="sk-SK"/>
              </w:rPr>
              <w:t xml:space="preserve"> </w:t>
            </w:r>
            <w:r>
              <w:rPr>
                <w:rFonts w:ascii="Times New Roman" w:hAnsi="Times New Roman" w:cs="Times New Roman"/>
                <w:szCs w:val="24"/>
                <w:lang w:val="sk-SK"/>
              </w:rPr>
              <w:t>sa</w:t>
            </w:r>
            <w:r>
              <w:rPr>
                <w:rFonts w:ascii="Times New Roman" w:hAnsi="Times New Roman" w:cs="Times New Roman"/>
                <w:b/>
                <w:szCs w:val="24"/>
                <w:lang w:val="sk-SK"/>
              </w:rPr>
              <w:t xml:space="preserve"> </w:t>
            </w:r>
            <w:r>
              <w:rPr>
                <w:rFonts w:ascii="Times New Roman" w:hAnsi="Times New Roman" w:cs="Times New Roman"/>
                <w:szCs w:val="24"/>
                <w:lang w:val="sk-SK"/>
              </w:rPr>
              <w:t>uvádzajú v tomto článku.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431/2002 Z.z</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zákon č. 431/2002 Z.z. </w:t>
            </w:r>
          </w:p>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§19 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§20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ods.2 </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ods.4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 21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ods.2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ods.4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 </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ods.6</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závierka účtovnej jednotky podľa odseku 1 musí byť audítorom overená do</w:t>
            </w:r>
            <w:r>
              <w:rPr>
                <w:rFonts w:ascii="Times New Roman" w:hAnsi="Times New Roman" w:cs="Times New Roman"/>
                <w:lang w:val="sk-SK"/>
              </w:rPr>
              <w:t xml:space="preserve"> </w:t>
            </w:r>
            <w:r>
              <w:rPr>
                <w:rFonts w:ascii="Times New Roman" w:hAnsi="Times New Roman" w:cs="Times New Roman"/>
                <w:b/>
                <w:lang w:val="sk-SK"/>
              </w:rPr>
              <w:t>jedného roka od skončenia účtovného obdobia</w:t>
            </w:r>
            <w:r>
              <w:rPr>
                <w:rFonts w:ascii="Times New Roman" w:hAnsi="Times New Roman" w:cs="Times New Roman"/>
                <w:i/>
                <w:color w:val="000000"/>
                <w:szCs w:val="24"/>
                <w:lang w:val="sk-SK"/>
              </w:rPr>
              <w:t>, za ktoré sa zostavuje, ak osobitný predpis neustanovuje inak.</w:t>
            </w:r>
          </w:p>
          <w:p>
            <w:pPr>
              <w:rPr>
                <w:rFonts w:ascii="Times New Roman" w:hAnsi="Times New Roman" w:cs="Times New Roman"/>
                <w:i/>
                <w:color w:val="000000"/>
                <w:szCs w:val="24"/>
                <w:lang w:val="sk-SK"/>
              </w:rPr>
            </w:pPr>
          </w:p>
          <w:p>
            <w:pPr>
              <w:rPr>
                <w:rFonts w:ascii="Times New Roman" w:hAnsi="Times New Roman" w:cs="Times New Roman"/>
                <w:i/>
                <w:szCs w:val="24"/>
                <w:lang w:val="sk-SK"/>
              </w:rPr>
            </w:pPr>
            <w:r>
              <w:rPr>
                <w:rFonts w:ascii="Times New Roman" w:hAnsi="Times New Roman" w:cs="Times New Roman"/>
                <w:i/>
                <w:color w:val="000000"/>
                <w:szCs w:val="24"/>
                <w:lang w:val="sk-SK"/>
              </w:rPr>
              <w:t xml:space="preserve">Účtovná jednotka, ktorá musí mať účtovnú závierku overenú audítorom podľa § 19, je povinná vyhotovovať výročnú správu, </w:t>
            </w:r>
            <w:r>
              <w:rPr>
                <w:rFonts w:ascii="Times New Roman" w:hAnsi="Times New Roman" w:cs="Times New Roman"/>
                <w:b/>
                <w:lang w:val="sk-SK"/>
              </w:rPr>
              <w:t>ktorej  súlad s účtovnou závierkou zostavenou za to isté účtovné obdobie musí byť overený</w:t>
            </w:r>
            <w:r>
              <w:rPr>
                <w:rFonts w:ascii="Times New Roman" w:hAnsi="Times New Roman" w:cs="Times New Roman"/>
                <w:i/>
                <w:color w:val="000000"/>
                <w:szCs w:val="24"/>
                <w:lang w:val="sk-SK"/>
              </w:rPr>
              <w:t xml:space="preserve"> audítorom, s výnimkou výročnej správy podľa osobitného predpisu. Výročná správa obsahuje účtovnú závierku za účtovné obdobie, za ktoré sa vyhotovuje výročná správa, a správu audítora k tejto účtovnej zá</w:t>
            </w:r>
            <w:r>
              <w:rPr>
                <w:rFonts w:ascii="Times New Roman" w:hAnsi="Times New Roman" w:cs="Times New Roman"/>
                <w:i/>
                <w:color w:val="000000"/>
                <w:szCs w:val="24"/>
                <w:lang w:val="sk-SK"/>
              </w:rPr>
              <w:t>vierke, ak osobitný predpis neustanovuje inak, a najmä informácie o</w:t>
            </w:r>
          </w:p>
          <w:p>
            <w:pPr>
              <w:rPr>
                <w:rFonts w:ascii="Times New Roman" w:hAnsi="Times New Roman" w:cs="Times New Roman"/>
                <w:b/>
                <w:lang w:val="sk-SK"/>
              </w:rPr>
            </w:pPr>
            <w:r>
              <w:rPr>
                <w:rFonts w:ascii="Times New Roman" w:hAnsi="Times New Roman" w:cs="Times New Roman"/>
                <w:b/>
                <w:lang w:val="sk-SK"/>
              </w:rPr>
              <w:t>a) 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pPr>
              <w:rPr>
                <w:rFonts w:ascii="Times New Roman" w:hAnsi="Times New Roman" w:cs="Times New Roman"/>
                <w:b/>
                <w:i/>
                <w:szCs w:val="24"/>
                <w:lang w:val="sk-SK"/>
              </w:rPr>
            </w:pPr>
            <w:r>
              <w:rPr>
                <w:rFonts w:ascii="Times New Roman" w:hAnsi="Times New Roman" w:cs="Times New Roman"/>
                <w:i/>
                <w:color w:val="000000"/>
                <w:szCs w:val="24"/>
                <w:lang w:val="sk-SK"/>
              </w:rPr>
              <w:t>b)udalostiach osobitného významu, ktoré nastali po skončení účtovného obdobia, za ktoré sa vyhotovuje výročná správa,</w:t>
              <w:br/>
              <w:t>c) predpokladanom budúcom vývoji činnosti účtovnej jednotky,</w:t>
              <w:br/>
              <w:t xml:space="preserve">d) </w:t>
            </w:r>
            <w:r>
              <w:rPr>
                <w:rFonts w:ascii="Times New Roman" w:hAnsi="Times New Roman" w:cs="Times New Roman"/>
                <w:b/>
                <w:color w:val="000000"/>
                <w:szCs w:val="24"/>
                <w:lang w:val="sk-SK"/>
              </w:rPr>
              <w:t xml:space="preserve">nákladoch </w:t>
            </w:r>
            <w:r>
              <w:rPr>
                <w:rFonts w:ascii="Times New Roman" w:hAnsi="Times New Roman" w:cs="Times New Roman"/>
                <w:i/>
                <w:color w:val="000000"/>
                <w:szCs w:val="24"/>
                <w:lang w:val="sk-SK"/>
              </w:rPr>
              <w:t>na činnosť v oblasti výskumu a vývoja,</w:t>
              <w:br/>
              <w:t xml:space="preserve">e) </w:t>
            </w:r>
            <w:r>
              <w:rPr>
                <w:rFonts w:ascii="Times New Roman" w:hAnsi="Times New Roman" w:cs="Times New Roman"/>
                <w:b/>
                <w:lang w:val="sk-SK"/>
              </w:rPr>
              <w:t>nadobúdaní</w:t>
            </w:r>
            <w:r>
              <w:rPr>
                <w:rFonts w:ascii="Times New Roman" w:hAnsi="Times New Roman" w:cs="Times New Roman"/>
                <w:b/>
                <w:i/>
                <w:color w:val="000000"/>
                <w:szCs w:val="24"/>
                <w:lang w:val="sk-SK"/>
              </w:rPr>
              <w:t xml:space="preserve">  vlastných akc</w:t>
            </w:r>
            <w:r>
              <w:rPr>
                <w:rFonts w:ascii="Times New Roman" w:hAnsi="Times New Roman" w:cs="Times New Roman"/>
                <w:b/>
                <w:i/>
                <w:color w:val="000000"/>
                <w:szCs w:val="24"/>
                <w:lang w:val="sk-SK"/>
              </w:rPr>
              <w:t>ií</w:t>
            </w:r>
            <w:r>
              <w:rPr>
                <w:rFonts w:ascii="Times New Roman" w:hAnsi="Times New Roman" w:cs="Times New Roman"/>
                <w:i/>
                <w:color w:val="000000"/>
                <w:szCs w:val="24"/>
                <w:lang w:val="sk-SK"/>
              </w:rPr>
              <w:t xml:space="preserve">, dočasných listov, obchodných podielov a akcií, dočasných listov a obchodných podielov </w:t>
            </w:r>
            <w:r>
              <w:rPr>
                <w:rFonts w:ascii="Times New Roman" w:hAnsi="Times New Roman" w:cs="Times New Roman"/>
                <w:b/>
                <w:lang w:val="sk-SK"/>
              </w:rPr>
              <w:t>materskej účtovnej jednotky podľa § 22</w:t>
            </w:r>
            <w:r>
              <w:rPr>
                <w:rFonts w:ascii="Times New Roman" w:hAnsi="Times New Roman" w:cs="Times New Roman"/>
                <w:b/>
                <w:i/>
                <w:color w:val="000000"/>
                <w:szCs w:val="24"/>
                <w:lang w:val="sk-SK"/>
              </w:rPr>
              <w:br/>
            </w:r>
            <w:r>
              <w:rPr>
                <w:rFonts w:ascii="Times New Roman" w:hAnsi="Times New Roman" w:cs="Times New Roman"/>
                <w:i/>
                <w:color w:val="000000"/>
                <w:szCs w:val="24"/>
                <w:lang w:val="sk-SK"/>
              </w:rPr>
              <w:t>f) návrhu na rozdelenie zisku alebo vyrovnanie straty,</w:t>
              <w:br/>
              <w:t>g) údajoch požadovaných podľa osobitných predpisov,</w:t>
              <w:br/>
              <w:t>h) tom, či účtovná jednotka má organizačnú zložku v zahraničí.</w:t>
            </w:r>
          </w:p>
          <w:p>
            <w:pPr>
              <w:pStyle w:val="FootnoteText"/>
              <w:rPr>
                <w:rFonts w:ascii="Times New Roman" w:hAnsi="Times New Roman" w:cs="Times New Roman"/>
                <w:i/>
                <w:color w:val="000000"/>
                <w:sz w:val="24"/>
                <w:szCs w:val="24"/>
              </w:rPr>
            </w:pPr>
            <w:r>
              <w:rPr>
                <w:rFonts w:ascii="Times New Roman" w:hAnsi="Times New Roman" w:cs="Times New Roman"/>
                <w:i/>
                <w:color w:val="000000"/>
                <w:sz w:val="24"/>
                <w:szCs w:val="24"/>
              </w:rPr>
              <w:t>Obsah výročnej správy inak ako v odseku 1 môže určiť osobitný predpis.</w:t>
            </w:r>
          </w:p>
          <w:p>
            <w:pPr>
              <w:pStyle w:val="FootnoteText"/>
              <w:rPr>
                <w:rFonts w:ascii="Times New Roman" w:hAnsi="Times New Roman" w:cs="Times New Roman"/>
                <w:b/>
                <w:i/>
                <w:sz w:val="24"/>
                <w:szCs w:val="24"/>
              </w:rPr>
            </w:pPr>
            <w:r>
              <w:rPr>
                <w:rFonts w:ascii="Times New Roman" w:hAnsi="Times New Roman" w:cs="Times New Roman"/>
                <w:b/>
                <w:sz w:val="24"/>
                <w:szCs w:val="24"/>
              </w:rPr>
              <w:t>Výročná správa účtovnej jednotky podľa odseku 1 musí poskytovať verný a pravdivý obraz  a súlad výročnej správy s účtovnou závierkou účtovnej jednotky musí byť overený audítorom do jedného roka od skončenia účtovného obdobia.</w:t>
            </w:r>
          </w:p>
          <w:p>
            <w:pPr>
              <w:pStyle w:val="FootnoteText"/>
              <w:rPr>
                <w:rFonts w:ascii="Times New Roman" w:hAnsi="Times New Roman" w:cs="Times New Roman"/>
                <w:i/>
                <w:color w:val="000000"/>
                <w:sz w:val="24"/>
                <w:szCs w:val="24"/>
              </w:rPr>
            </w:pPr>
            <w:r>
              <w:rPr>
                <w:rFonts w:ascii="Times New Roman" w:hAnsi="Times New Roman" w:cs="Times New Roman"/>
                <w:i/>
                <w:color w:val="000000"/>
                <w:sz w:val="24"/>
                <w:szCs w:val="24"/>
              </w:rPr>
              <w:t>K priebežnej účtovnej závierke sa vyhotovuje priebežná správa, ak tak ustanoví osobitný predpis.</w:t>
            </w:r>
          </w:p>
          <w:p>
            <w:pPr>
              <w:rPr>
                <w:rFonts w:ascii="Times New Roman" w:hAnsi="Times New Roman" w:cs="Times New Roman"/>
                <w:b/>
                <w:szCs w:val="24"/>
                <w:lang w:val="sk-SK"/>
              </w:rPr>
            </w:pPr>
            <w:r>
              <w:rPr>
                <w:rFonts w:ascii="Times New Roman" w:hAnsi="Times New Roman" w:cs="Times New Roman"/>
                <w:b/>
                <w:szCs w:val="24"/>
                <w:lang w:val="sk-SK"/>
              </w:rPr>
              <w:t>Ak je to pre posúdenie aktív, pasív a finančnej situácie účtovnej jednotky, ktorá používa nástroje podľa osobitného predpisu významné, účtovná jednotka je povinná uviesť vo výročnej správe tiež informácie o</w:t>
            </w:r>
          </w:p>
          <w:p>
            <w:pPr>
              <w:numPr>
                <w:ilvl w:val="0"/>
                <w:numId w:val="26"/>
              </w:numPr>
              <w:tabs>
                <w:tab w:val="left" w:pos="0"/>
                <w:tab w:val="left" w:pos="356"/>
                <w:tab w:val="clear" w:pos="720"/>
              </w:tabs>
              <w:ind w:left="72" w:firstLine="0"/>
              <w:rPr>
                <w:rFonts w:ascii="Times New Roman" w:hAnsi="Times New Roman" w:cs="Times New Roman"/>
                <w:b/>
                <w:szCs w:val="24"/>
                <w:lang w:val="sk-SK"/>
              </w:rPr>
            </w:pPr>
            <w:r>
              <w:rPr>
                <w:rFonts w:ascii="Times New Roman" w:hAnsi="Times New Roman" w:cs="Times New Roman"/>
                <w:b/>
                <w:szCs w:val="24"/>
                <w:lang w:val="sk-SK"/>
              </w:rPr>
              <w:t>cieľoch a metódach riadenia rizík v účtovnej jednotke, vrátane jej politiky pre zabezpečenie hlavných typov plánovaných obchodov, pri ktorých sa použijú zabezpečovacie deriváty,</w:t>
            </w:r>
          </w:p>
          <w:p>
            <w:pPr>
              <w:rPr>
                <w:rFonts w:ascii="Times New Roman" w:hAnsi="Times New Roman" w:cs="Times New Roman"/>
                <w:b/>
                <w:szCs w:val="24"/>
                <w:lang w:val="sk-SK"/>
              </w:rPr>
            </w:pPr>
            <w:r>
              <w:rPr>
                <w:rFonts w:ascii="Times New Roman" w:hAnsi="Times New Roman" w:cs="Times New Roman"/>
                <w:b/>
                <w:szCs w:val="24"/>
                <w:lang w:val="sk-SK"/>
              </w:rPr>
              <w:t>b) cenových rizikách, úverových rizikách, rizikách likvidity a rizikách súvisiacich s tokom hotovosti, ktorým je účtovná jednotka vystavená.</w:t>
            </w:r>
          </w:p>
          <w:p>
            <w:pPr>
              <w:rPr>
                <w:rFonts w:ascii="Times New Roman" w:hAnsi="Times New Roman" w:cs="Times New Roman"/>
                <w:szCs w:val="24"/>
                <w:lang w:val="sk-SK"/>
              </w:rPr>
            </w:pPr>
          </w:p>
          <w:p>
            <w:pPr>
              <w:jc w:val="both"/>
              <w:rPr>
                <w:rFonts w:ascii="Times New Roman" w:hAnsi="Times New Roman" w:cs="Times New Roman"/>
                <w:lang w:val="sk-SK"/>
              </w:rPr>
            </w:pPr>
            <w:r>
              <w:rPr>
                <w:rFonts w:ascii="Times New Roman" w:hAnsi="Times New Roman" w:cs="Times New Roman"/>
                <w:lang w:val="sk-SK"/>
              </w:rPr>
              <w:t>Účtovná   jednotka,  ktorá   je obchodnou spoločnosťou, Exportno-importná banka Slovenskej republiky, družstvo alebo štátny podnik, sú  povinné uložiť riadnu individuálnu účtovnú závierku a mimoriadnu individuálnu účtovnú závierku  a výročnú správu do zbierky listín  obchodného registra do  30 dní po schválení účtovnej závierky, pričom účtovná závierka môže byť uložená ako súčasť výročnej správy.</w:t>
            </w:r>
          </w:p>
          <w:p>
            <w:pPr>
              <w:jc w:val="both"/>
              <w:rPr>
                <w:rFonts w:ascii="Times New Roman" w:hAnsi="Times New Roman" w:cs="Times New Roman"/>
                <w:lang w:val="sk-SK"/>
              </w:rPr>
            </w:pPr>
            <w:r>
              <w:rPr>
                <w:rFonts w:ascii="Times New Roman" w:hAnsi="Times New Roman" w:cs="Times New Roman"/>
                <w:lang w:val="sk-SK"/>
              </w:rPr>
              <w:t xml:space="preserve"> Účtovné jednotky, ktoré majú povinnosť overenia účtovnej závierky audítorom podľa § 19 ods. 1 písm. a), b) a d) predkladajú riadnu individuálnu účtovnú závierku a mimoriadnu individuálnu účtovnú závierku a správu audítora na zverejnenie v obchodnom vestníku alebo účtovnú závierku zverejňujú  iným  vhodným spôsobom do 30 dní po schválení účtovnej závierky. </w:t>
            </w:r>
          </w:p>
          <w:p>
            <w:pPr>
              <w:jc w:val="both"/>
              <w:rPr>
                <w:rFonts w:ascii="Times New Roman" w:hAnsi="Times New Roman" w:cs="Times New Roman"/>
                <w:lang w:val="sk-SK"/>
              </w:rPr>
            </w:pPr>
            <w:r>
              <w:rPr>
                <w:rFonts w:ascii="Times New Roman" w:hAnsi="Times New Roman" w:cs="Times New Roman"/>
                <w:lang w:val="sk-SK"/>
              </w:rPr>
              <w:t xml:space="preserve">Riadnu individuálnu účtovnú závierku a mimoriadnu konsolidovanú účtovnú závierku a konsolidovanú výročnú správu účtovná jednotka, ktorá má povinnosť zostavovať konsolidovanú účtovnú závierku podľa § 22, je povinná uložiť ju do zbierky listín  obchodného registra do  jedného roka od skončenia účtovného obdobia, pričom konsolidovaná účtovná závierka môže byť uložená ako súčasť konsolidovanej výročnej správy. Účtovná jednotka, ktorá má povinnosť zostaviť konsolidovanú účtovnú závierku podľa § 22 predkladá konsolidovanú účtovnú závierku a správu audítora na zverejnenie v obchodnom vestníku alebo účtovnú závierku zverejňuje  iným  vhodným spôsobom do jedného roka od skončenia účtovného obdobia. </w:t>
            </w:r>
          </w:p>
          <w:p>
            <w:pPr>
              <w:jc w:val="both"/>
              <w:rPr>
                <w:rFonts w:ascii="Times New Roman" w:hAnsi="Times New Roman" w:cs="Times New Roman"/>
                <w:lang w:val="sk-SK"/>
              </w:rPr>
            </w:pPr>
            <w:r>
              <w:rPr>
                <w:rFonts w:ascii="Times New Roman" w:hAnsi="Times New Roman" w:cs="Times New Roman"/>
                <w:lang w:val="sk-SK"/>
              </w:rPr>
              <w:t xml:space="preserve"> Ak účtovná jednotka nezverejňuje účtovnú závierku v plnom rozsahu v obchodnom vestníku, musí zverejniť  v obchodnom vestníku minimálne súvahu a výkaz ziskov a strát z riadnej konsolidovanej účtovnej závierky a mimoriadnej konsolidovanej účtovnej závierky; účtovná jednotka súčasne uvedie, že zverejňuje neúplnú účtovnú závierku a informáciu o tom, akým spôsobom zverejnila úplnú účtovnú závierku. Pri uverejnení neúplnej účtovnej závierky sa v obchodnom vestníku nesmie zverejniť názor audítora, zverejňuje sa len informácia, aký názor správa audítora obsahuje</w:t>
            </w:r>
            <w:r>
              <w:rPr>
                <w:rFonts w:ascii="Times New Roman" w:hAnsi="Times New Roman" w:cs="Times New Roman"/>
                <w:vertAlign w:val="superscript"/>
                <w:lang w:val="sk-SK"/>
              </w:rPr>
              <w:t>28a)</w:t>
            </w:r>
            <w:r>
              <w:rPr>
                <w:rFonts w:ascii="Times New Roman" w:hAnsi="Times New Roman" w:cs="Times New Roman"/>
                <w:lang w:val="sk-SK"/>
              </w:rPr>
              <w:t xml:space="preserve">. Ak správa audítora obsahuje skutočnosti, ktoré nemali vplyv na názor audítora, ale ktoré chcel audítor zdôrazniť musí byť táto informácia zverejnená. </w:t>
            </w:r>
          </w:p>
          <w:p>
            <w:pPr>
              <w:jc w:val="both"/>
              <w:rPr>
                <w:rFonts w:ascii="Times New Roman" w:hAnsi="Times New Roman" w:cs="Times New Roman"/>
                <w:lang w:val="sk-SK"/>
              </w:rPr>
            </w:pPr>
            <w:r>
              <w:rPr>
                <w:rFonts w:ascii="Times New Roman" w:hAnsi="Times New Roman" w:cs="Times New Roman"/>
                <w:lang w:val="sk-SK"/>
              </w:rPr>
              <w:t xml:space="preserve"> Účtovná jednotka uvedená v § 19 ods. 1 písm. c) zverejňuje údaje   z   účtovnej   závierky   spôsobom  ustanoveným  osobitným predpisom.</w:t>
            </w:r>
          </w:p>
          <w:p>
            <w:pPr>
              <w:jc w:val="both"/>
              <w:rPr>
                <w:rFonts w:ascii="Times New Roman" w:hAnsi="Times New Roman" w:cs="Times New Roman"/>
                <w:lang w:val="sk-SK"/>
              </w:rPr>
            </w:pPr>
            <w:r>
              <w:rPr>
                <w:rFonts w:ascii="Times New Roman" w:hAnsi="Times New Roman" w:cs="Times New Roman"/>
                <w:lang w:val="sk-SK"/>
              </w:rPr>
              <w:t xml:space="preserve"> Účtovná  jednotka,  ktorá  má  povinnosť  overovania podľa § 19,  nesmie zverejniť  informácie, ktoré  predtým neboli overené audítorom, spôsobom,  ktorý by mohol používateľa  uviesť do omylu, že audítorom overené boli.</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zákona</w:t>
            </w: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hRule="auto" w:val="0"/>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45</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Členský štát nemusí použiť článok 2 (1) (b) (iii) smernice 84/253/EEC</w:t>
            </w:r>
            <w:r>
              <w:rPr>
                <w:rFonts w:ascii="Times New Roman" w:hAnsi="Times New Roman" w:cs="Times New Roman"/>
                <w:szCs w:val="24"/>
                <w:vertAlign w:val="superscript"/>
                <w:lang w:val="sk-SK"/>
              </w:rPr>
              <w:t>1</w:t>
            </w:r>
            <w:r>
              <w:rPr>
                <w:rFonts w:ascii="Times New Roman" w:hAnsi="Times New Roman" w:cs="Times New Roman"/>
                <w:szCs w:val="24"/>
                <w:lang w:val="sk-SK"/>
              </w:rPr>
              <w:t xml:space="preserve"> pre verejné sporiteľne, keď úradné auditovanie dokumentov týchto podnikov, uvedené v článku 1 (1) tejto smernice, je vyhradené pre jestvujúci dozorný orgán pre tieto sporiteľne v čase nadobudnutia platnosti tejto smernice a keď zodpovedná osoba spĺňa aspoň podmienky stanovené v článku 3 až 9 smernice 84/253/EEC.</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351" w:type="dxa"/>
          <w:tblInd w:w="-356" w:type="dxa"/>
          <w:tblLayout w:type="fixed"/>
          <w:tblCellMar>
            <w:top w:w="0" w:type="dxa"/>
            <w:left w:w="70" w:type="dxa"/>
            <w:bottom w:w="0" w:type="dxa"/>
            <w:right w:w="70" w:type="dxa"/>
          </w:tblCellMar>
        </w:tblPrEx>
        <w:trPr>
          <w:trHeight w:val="3866"/>
        </w:trPr>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47</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 Členské štáty uvedú do platnosti zákony, predpisy a administratívne opatrenia, ktoré sú nevyhnutné pre to aby bol dosiahnutý súlad s touto smernicou a to do 31. decembra 1990. Okamžite o tom budú informovať komisiu.</w:t>
            </w:r>
          </w:p>
          <w:p>
            <w:pPr>
              <w:rPr>
                <w:rFonts w:ascii="Times New Roman" w:hAnsi="Times New Roman" w:cs="Times New Roman"/>
                <w:szCs w:val="24"/>
                <w:lang w:val="sk-SK"/>
              </w:rPr>
            </w:pPr>
            <w:r>
              <w:rPr>
                <w:rFonts w:ascii="Times New Roman" w:hAnsi="Times New Roman" w:cs="Times New Roman"/>
                <w:szCs w:val="24"/>
                <w:lang w:val="sk-SK"/>
              </w:rPr>
              <w:t>2. Členský štát môže zabezpečiť, aby sa ustanovenia uvedené v odseku 1 najprv použili na výročné účty a  konsolidované účty za finančné roky, ktoré sa začínajú 1. januára 1993 alebo počas kalendárneho roka 1993.</w:t>
            </w:r>
          </w:p>
          <w:p>
            <w:pPr>
              <w:ind w:right="400"/>
              <w:rPr>
                <w:rFonts w:ascii="Times New Roman" w:hAnsi="Times New Roman" w:cs="Times New Roman"/>
                <w:szCs w:val="24"/>
                <w:lang w:val="sk-SK"/>
              </w:rPr>
            </w:pPr>
            <w:r>
              <w:rPr>
                <w:rFonts w:ascii="Times New Roman" w:hAnsi="Times New Roman" w:cs="Times New Roman"/>
                <w:szCs w:val="24"/>
                <w:lang w:val="sk-SK"/>
              </w:rPr>
              <w:t>3. Členské štáty oznámia komisii</w:t>
            </w:r>
            <w:r>
              <w:rPr>
                <w:rFonts w:ascii="Times New Roman" w:hAnsi="Times New Roman" w:cs="Times New Roman"/>
                <w:b/>
                <w:szCs w:val="24"/>
                <w:lang w:val="sk-SK"/>
              </w:rPr>
              <w:t xml:space="preserve"> </w:t>
            </w:r>
            <w:r>
              <w:rPr>
                <w:rFonts w:ascii="Times New Roman" w:hAnsi="Times New Roman" w:cs="Times New Roman"/>
                <w:szCs w:val="24"/>
                <w:lang w:val="sk-SK"/>
              </w:rPr>
              <w:t>texty hlavných ustanovení národného práva, ktoré príjmu v</w:t>
            </w:r>
            <w:r>
              <w:rPr>
                <w:rFonts w:ascii="Times New Roman" w:hAnsi="Times New Roman" w:cs="Times New Roman"/>
                <w:b/>
                <w:szCs w:val="24"/>
                <w:lang w:val="sk-SK"/>
              </w:rPr>
              <w:t xml:space="preserve"> </w:t>
            </w:r>
            <w:r>
              <w:rPr>
                <w:rFonts w:ascii="Times New Roman" w:hAnsi="Times New Roman" w:cs="Times New Roman"/>
                <w:szCs w:val="24"/>
                <w:lang w:val="sk-SK"/>
              </w:rPr>
              <w:t>oblasti pokrytej touto smernicou.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II návrhu zákona</w:t>
            </w:r>
          </w:p>
        </w:tc>
        <w:tc>
          <w:tcPr>
            <w:tcW w:w="48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rPr>
            </w:pPr>
            <w:r>
              <w:rPr>
                <w:rFonts w:ascii="Times New Roman" w:hAnsi="Times New Roman" w:cs="Times New Roman"/>
              </w:rPr>
              <w:t>Tento zákon nadobúda účinnosť 1. januára 2005 okrem bodu 20, ktorý nadobúda účinnosť 1. januára 2006.</w:t>
            </w:r>
          </w:p>
          <w:p>
            <w:pPr>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SR </w:t>
            </w:r>
            <w:r>
              <w:rPr>
                <w:rFonts w:ascii="Times New Roman" w:hAnsi="Times New Roman" w:cs="Times New Roman"/>
                <w:lang w:val="sk-SK"/>
              </w:rPr>
              <w:t>informuje Komisiu prostredníctvom notifikácie</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10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bl>
    <w:p>
      <w:pPr>
        <w:rPr>
          <w:rFonts w:ascii="Times New Roman" w:hAnsi="Times New Roman" w:cs="Times New Roman"/>
          <w:szCs w:val="24"/>
          <w:lang w:val="sk-SK"/>
        </w:rPr>
      </w:pPr>
    </w:p>
    <w:sectPr>
      <w:footerReference w:type="even" r:id="rId4"/>
      <w:footerReference w:type="default" r:id="rId5"/>
      <w:pgSz w:w="16840" w:h="11907" w:orient="landscape" w:code="9"/>
      <w:pgMar w:top="1191" w:right="1191" w:bottom="1191" w:left="1191" w:header="397" w:footer="3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5AE6"/>
    <w:multiLevelType w:val="hybridMultilevel"/>
    <w:tmpl w:val="D5DAB1F0"/>
    <w:lvl w:ilvl="0">
      <w:start w:val="1"/>
      <w:numFmt w:val="lowerLetter"/>
      <w:lvlText w:val="%1)"/>
      <w:lvlJc w:val="left"/>
      <w:pPr>
        <w:tabs>
          <w:tab w:val="num" w:pos="1429"/>
        </w:tabs>
        <w:ind w:left="1429" w:hanging="360"/>
      </w:pPr>
      <w:rPr>
        <w:color w:val="auto"/>
      </w:rPr>
    </w:lvl>
    <w:lvl w:ilvl="1">
      <w:start w:val="7"/>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CC514F3"/>
    <w:multiLevelType w:val="singleLevel"/>
    <w:tmpl w:val="20FA8170"/>
    <w:lvl w:ilvl="0">
      <w:start w:val="1"/>
      <w:numFmt w:val="lowerLetter"/>
      <w:lvlText w:val="     %1)"/>
      <w:lvlJc w:val="left"/>
      <w:pPr>
        <w:tabs>
          <w:tab w:val="num" w:pos="680"/>
        </w:tabs>
        <w:ind w:left="680" w:hanging="680"/>
      </w:pPr>
    </w:lvl>
  </w:abstractNum>
  <w:abstractNum w:abstractNumId="2">
    <w:nsid w:val="0F863325"/>
    <w:multiLevelType w:val="singleLevel"/>
    <w:tmpl w:val="D186A82C"/>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3">
    <w:nsid w:val="14A3691B"/>
    <w:multiLevelType w:val="hybridMultilevel"/>
    <w:tmpl w:val="129649F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60B6576"/>
    <w:multiLevelType w:val="singleLevel"/>
    <w:tmpl w:val="234216A8"/>
    <w:lvl w:ilvl="0">
      <w:start w:val="1"/>
      <w:numFmt w:val="decimal"/>
      <w:lvlText w:val="%1."/>
      <w:lvlJc w:val="left"/>
      <w:pPr>
        <w:tabs>
          <w:tab w:val="num" w:pos="1021"/>
        </w:tabs>
        <w:ind w:left="1021" w:hanging="397"/>
      </w:pPr>
    </w:lvl>
  </w:abstractNum>
  <w:abstractNum w:abstractNumId="5">
    <w:nsid w:val="1DDE05F8"/>
    <w:multiLevelType w:val="singleLevel"/>
    <w:tmpl w:val="FB4413CE"/>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6">
    <w:nsid w:val="22652614"/>
    <w:multiLevelType w:val="singleLevel"/>
    <w:tmpl w:val="EA185802"/>
    <w:lvl w:ilvl="0">
      <w:start w:val="0"/>
      <w:numFmt w:val="bullet"/>
      <w:lvlText w:val="-"/>
      <w:lvlJc w:val="left"/>
      <w:pPr>
        <w:tabs>
          <w:tab w:val="num" w:pos="1880"/>
        </w:tabs>
        <w:ind w:left="1880" w:hanging="360"/>
      </w:pPr>
      <w:rPr>
        <w:rFonts w:ascii="Times New Roman" w:hAnsi="Times New Roman"/>
        <w:rtl w:val="0"/>
      </w:rPr>
    </w:lvl>
  </w:abstractNum>
  <w:abstractNum w:abstractNumId="7">
    <w:nsid w:val="23064EFF"/>
    <w:multiLevelType w:val="singleLevel"/>
    <w:tmpl w:val="59628EA8"/>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8">
    <w:nsid w:val="28C13809"/>
    <w:multiLevelType w:val="singleLevel"/>
    <w:tmpl w:val="CF267D32"/>
    <w:lvl w:ilvl="0">
      <w:start w:val="5"/>
      <w:numFmt w:val="decimal"/>
      <w:lvlText w:val="(%1)"/>
      <w:lvlJc w:val="left"/>
      <w:pPr>
        <w:tabs>
          <w:tab w:val="num" w:pos="360"/>
        </w:tabs>
        <w:ind w:left="0" w:firstLine="0"/>
      </w:pPr>
      <w:rPr>
        <w:rFonts w:ascii="Times New Roman" w:hAnsi="Times New Roman"/>
        <w:b w:val="0"/>
        <w:i w:val="0"/>
        <w:sz w:val="24"/>
        <w:rtl w:val="0"/>
      </w:rPr>
    </w:lvl>
  </w:abstractNum>
  <w:abstractNum w:abstractNumId="9">
    <w:nsid w:val="28D232B8"/>
    <w:multiLevelType w:val="singleLevel"/>
    <w:tmpl w:val="E43A479A"/>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0">
    <w:nsid w:val="2DB76E64"/>
    <w:multiLevelType w:val="singleLevel"/>
    <w:tmpl w:val="029EC5D6"/>
    <w:lvl w:ilvl="0">
      <w:start w:val="7"/>
      <w:numFmt w:val="decimal"/>
      <w:lvlText w:val="(%1)"/>
      <w:lvlJc w:val="left"/>
      <w:pPr>
        <w:tabs>
          <w:tab w:val="num" w:pos="360"/>
        </w:tabs>
        <w:ind w:left="0" w:firstLine="0"/>
      </w:pPr>
      <w:rPr>
        <w:rFonts w:ascii="Times New Roman" w:hAnsi="Times New Roman"/>
        <w:sz w:val="24"/>
        <w:rtl w:val="0"/>
      </w:rPr>
    </w:lvl>
  </w:abstractNum>
  <w:abstractNum w:abstractNumId="11">
    <w:nsid w:val="30A60E05"/>
    <w:multiLevelType w:val="singleLevel"/>
    <w:tmpl w:val="FB4413CE"/>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2">
    <w:nsid w:val="312A480E"/>
    <w:multiLevelType w:val="hybrid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378E782A"/>
    <w:multiLevelType w:val="singleLevel"/>
    <w:tmpl w:val="20FA8170"/>
    <w:lvl w:ilvl="0">
      <w:start w:val="1"/>
      <w:numFmt w:val="lowerLetter"/>
      <w:lvlText w:val="     %1)"/>
      <w:lvlJc w:val="left"/>
      <w:pPr>
        <w:tabs>
          <w:tab w:val="num" w:pos="680"/>
        </w:tabs>
        <w:ind w:left="680" w:hanging="680"/>
      </w:pPr>
    </w:lvl>
  </w:abstractNum>
  <w:abstractNum w:abstractNumId="14">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15">
    <w:nsid w:val="3F3B0024"/>
    <w:multiLevelType w:val="hybridMultilevel"/>
    <w:tmpl w:val="12E2CB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A0B4E75"/>
    <w:multiLevelType w:val="singleLevel"/>
    <w:tmpl w:val="041B0017"/>
    <w:lvl w:ilvl="0">
      <w:start w:val="1"/>
      <w:numFmt w:val="lowerLetter"/>
      <w:lvlText w:val="%1)"/>
      <w:lvlJc w:val="left"/>
      <w:pPr>
        <w:tabs>
          <w:tab w:val="num" w:pos="360"/>
        </w:tabs>
        <w:ind w:left="360" w:hanging="360"/>
      </w:pPr>
    </w:lvl>
  </w:abstractNum>
  <w:abstractNum w:abstractNumId="17">
    <w:nsid w:val="5FAF0F7B"/>
    <w:multiLevelType w:val="singleLevel"/>
    <w:tmpl w:val="8150743A"/>
    <w:lvl w:ilvl="0">
      <w:start w:val="1"/>
      <w:numFmt w:val="decimal"/>
      <w:lvlText w:val="(%1)"/>
      <w:lvlJc w:val="left"/>
      <w:pPr>
        <w:tabs>
          <w:tab w:val="num" w:pos="360"/>
        </w:tabs>
        <w:ind w:left="0" w:firstLine="0"/>
      </w:pPr>
      <w:rPr>
        <w:rFonts w:ascii="Times New Roman" w:hAnsi="Times New Roman"/>
        <w:sz w:val="22"/>
        <w:rtl w:val="0"/>
      </w:rPr>
    </w:lvl>
  </w:abstractNum>
  <w:abstractNum w:abstractNumId="18">
    <w:nsid w:val="60881780"/>
    <w:multiLevelType w:val="singleLevel"/>
    <w:tmpl w:val="041B000F"/>
    <w:lvl w:ilvl="0">
      <w:start w:val="1"/>
      <w:numFmt w:val="decimal"/>
      <w:lvlText w:val="%1."/>
      <w:lvlJc w:val="left"/>
      <w:pPr>
        <w:tabs>
          <w:tab w:val="num" w:pos="360"/>
        </w:tabs>
        <w:ind w:left="360" w:hanging="360"/>
      </w:pPr>
    </w:lvl>
  </w:abstractNum>
  <w:abstractNum w:abstractNumId="19">
    <w:nsid w:val="6906646E"/>
    <w:multiLevelType w:val="singleLevel"/>
    <w:tmpl w:val="857C8780"/>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20">
    <w:nsid w:val="6C541182"/>
    <w:multiLevelType w:val="singleLevel"/>
    <w:tmpl w:val="041B0019"/>
    <w:lvl w:ilvl="0">
      <w:start w:val="1"/>
      <w:numFmt w:val="lowerLetter"/>
      <w:lvlText w:val="(%1)"/>
      <w:lvlJc w:val="left"/>
      <w:pPr>
        <w:tabs>
          <w:tab w:val="num" w:pos="360"/>
        </w:tabs>
        <w:ind w:left="360" w:hanging="360"/>
      </w:pPr>
    </w:lvl>
  </w:abstractNum>
  <w:abstractNum w:abstractNumId="21">
    <w:nsid w:val="70D7374D"/>
    <w:multiLevelType w:val="hybridMultilevel"/>
    <w:tmpl w:val="20B8856A"/>
    <w:lvl w:ilvl="0">
      <w:start w:val="1"/>
      <w:numFmt w:val="lowerLetter"/>
      <w:lvlText w:val="%1)"/>
      <w:lvlJc w:val="left"/>
      <w:pPr>
        <w:tabs>
          <w:tab w:val="num" w:pos="1429"/>
        </w:tabs>
        <w:ind w:left="1429" w:hanging="360"/>
      </w:pPr>
    </w:lvl>
    <w:lvl w:ilvl="1">
      <w:start w:val="2"/>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2">
    <w:nsid w:val="74537730"/>
    <w:multiLevelType w:val="singleLevel"/>
    <w:tmpl w:val="59628EA8"/>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23">
    <w:nsid w:val="76C1145C"/>
    <w:multiLevelType w:val="singleLevel"/>
    <w:tmpl w:val="20FA8170"/>
    <w:lvl w:ilvl="0">
      <w:start w:val="1"/>
      <w:numFmt w:val="lowerLetter"/>
      <w:lvlText w:val="     %1)"/>
      <w:lvlJc w:val="left"/>
      <w:pPr>
        <w:tabs>
          <w:tab w:val="num" w:pos="680"/>
        </w:tabs>
        <w:ind w:left="680" w:hanging="680"/>
      </w:pPr>
    </w:lvl>
  </w:abstractNum>
  <w:abstractNum w:abstractNumId="24">
    <w:nsid w:val="79AF71A6"/>
    <w:multiLevelType w:val="hybridMultilevel"/>
    <w:tmpl w:val="766C9220"/>
    <w:lvl w:ilvl="0">
      <w:start w:val="1"/>
      <w:numFmt w:val="lowerLetter"/>
      <w:lvlText w:val="%1)"/>
      <w:lvlJc w:val="left"/>
      <w:pPr>
        <w:tabs>
          <w:tab w:val="num" w:pos="1797"/>
        </w:tabs>
        <w:ind w:left="1797" w:hanging="360"/>
      </w:pPr>
    </w:lvl>
    <w:lvl w:ilvl="1">
      <w:start w:val="1"/>
      <w:numFmt w:val="lowerLetter"/>
      <w:lvlText w:val="%2."/>
      <w:lvlJc w:val="left"/>
      <w:pPr>
        <w:tabs>
          <w:tab w:val="num" w:pos="2517"/>
        </w:tabs>
        <w:ind w:left="2517" w:hanging="360"/>
      </w:pPr>
    </w:lvl>
    <w:lvl w:ilvl="2">
      <w:start w:val="1"/>
      <w:numFmt w:val="lowerRoman"/>
      <w:lvlText w:val="%3."/>
      <w:lvlJc w:val="righ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righ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right"/>
      <w:pPr>
        <w:tabs>
          <w:tab w:val="num" w:pos="7557"/>
        </w:tabs>
        <w:ind w:left="7557" w:hanging="180"/>
      </w:pPr>
    </w:lvl>
  </w:abstractNum>
  <w:abstractNum w:abstractNumId="25">
    <w:nsid w:val="7A375404"/>
    <w:multiLevelType w:val="singleLevel"/>
    <w:tmpl w:val="59628EA8"/>
    <w:lvl w:ilvl="0">
      <w:start w:val="1"/>
      <w:numFmt w:val="lowerLetter"/>
      <w:lvlText w:val="       %1)"/>
      <w:lvlJc w:val="left"/>
      <w:pPr>
        <w:tabs>
          <w:tab w:val="num" w:pos="907"/>
        </w:tabs>
        <w:ind w:left="907" w:hanging="907"/>
      </w:pPr>
      <w:rPr>
        <w:rFonts w:ascii="Times New Roman" w:hAnsi="Times New Roman"/>
        <w:b w:val="0"/>
        <w:i w:val="0"/>
        <w:sz w:val="24"/>
        <w:rtl w:val="0"/>
      </w:rPr>
    </w:lvl>
  </w:abstractNum>
  <w:num w:numId="1">
    <w:abstractNumId w:val="14"/>
  </w:num>
  <w:num w:numId="2">
    <w:abstractNumId w:val="6"/>
  </w:num>
  <w:num w:numId="3">
    <w:abstractNumId w:val="20"/>
  </w:num>
  <w:num w:numId="4">
    <w:abstractNumId w:val="11"/>
  </w:num>
  <w:num w:numId="5">
    <w:abstractNumId w:val="18"/>
  </w:num>
  <w:num w:numId="6">
    <w:abstractNumId w:val="16"/>
  </w:num>
  <w:num w:numId="7">
    <w:abstractNumId w:val="25"/>
  </w:num>
  <w:num w:numId="8">
    <w:abstractNumId w:val="13"/>
  </w:num>
  <w:num w:numId="9">
    <w:abstractNumId w:val="2"/>
  </w:num>
  <w:num w:numId="10">
    <w:abstractNumId w:val="5"/>
  </w:num>
  <w:num w:numId="11">
    <w:abstractNumId w:val="8"/>
  </w:num>
  <w:num w:numId="12">
    <w:abstractNumId w:val="9"/>
  </w:num>
  <w:num w:numId="13">
    <w:abstractNumId w:val="22"/>
  </w:num>
  <w:num w:numId="14">
    <w:abstractNumId w:val="7"/>
  </w:num>
  <w:num w:numId="15">
    <w:abstractNumId w:val="10"/>
  </w:num>
  <w:num w:numId="16">
    <w:abstractNumId w:val="23"/>
  </w:num>
  <w:num w:numId="17">
    <w:abstractNumId w:val="19"/>
  </w:num>
  <w:num w:numId="18">
    <w:abstractNumId w:val="17"/>
  </w:num>
  <w:num w:numId="19">
    <w:abstractNumId w:val="1"/>
  </w:num>
  <w:num w:numId="20">
    <w:abstractNumId w:val="4"/>
  </w:num>
  <w:num w:numId="21">
    <w:abstractNumId w:val="12"/>
  </w:num>
  <w:num w:numId="22">
    <w:abstractNumId w:val="3"/>
  </w:num>
  <w:num w:numId="23">
    <w:abstractNumId w:val="24"/>
  </w:num>
  <w:num w:numId="24">
    <w:abstractNumId w:val="21"/>
  </w:num>
  <w:num w:numId="25">
    <w:abstractNumId w:val="0"/>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lockText">
    <w:name w:val="Block Text"/>
    <w:basedOn w:val="Normal"/>
    <w:pPr>
      <w:spacing w:before="60" w:line="280" w:lineRule="auto"/>
      <w:ind w:left="640" w:right="400"/>
      <w:jc w:val="left"/>
    </w:pPr>
    <w:rPr>
      <w:rFonts w:ascii="Arial" w:hAnsi="Arial"/>
      <w:noProof/>
      <w:sz w:val="18"/>
      <w:lang w:val="sk-SK"/>
    </w:rPr>
  </w:style>
  <w:style w:type="paragraph" w:styleId="BodyText">
    <w:name w:val="Body Text"/>
    <w:basedOn w:val="Normal"/>
    <w:pPr>
      <w:spacing w:before="180" w:line="280" w:lineRule="auto"/>
      <w:ind w:right="400"/>
      <w:jc w:val="left"/>
    </w:pPr>
    <w:rPr>
      <w:rFonts w:ascii="Arial" w:hAnsi="Arial"/>
      <w:noProof/>
      <w:sz w:val="18"/>
      <w:lang w:val="sk-SK"/>
    </w:rPr>
  </w:style>
  <w:style w:type="paragraph" w:styleId="BodyText2">
    <w:name w:val="Body Text 2"/>
    <w:basedOn w:val="Normal"/>
    <w:pPr>
      <w:spacing w:before="20" w:line="420" w:lineRule="auto"/>
      <w:ind w:right="71"/>
      <w:jc w:val="left"/>
    </w:pPr>
  </w:style>
  <w:style w:type="paragraph" w:styleId="BodyTextIndent">
    <w:name w:val="Body Text Indent"/>
    <w:basedOn w:val="Normal"/>
    <w:pPr>
      <w:spacing w:before="60" w:line="280" w:lineRule="auto"/>
      <w:ind w:left="960"/>
      <w:jc w:val="left"/>
    </w:pPr>
    <w:rPr>
      <w:rFonts w:ascii="Arial" w:hAnsi="Arial"/>
      <w:noProof/>
      <w:sz w:val="18"/>
      <w:lang w:val="sk-SK"/>
    </w:rPr>
  </w:style>
  <w:style w:type="paragraph" w:styleId="BodyTextIndent2">
    <w:name w:val="Body Text Indent 2"/>
    <w:basedOn w:val="Normal"/>
    <w:pPr>
      <w:tabs>
        <w:tab w:val="left" w:pos="8505"/>
      </w:tabs>
      <w:spacing w:before="140"/>
      <w:ind w:left="880"/>
      <w:jc w:val="left"/>
    </w:pPr>
    <w:rPr>
      <w:rFonts w:ascii="Arial" w:hAnsi="Arial"/>
      <w:noProof/>
      <w:sz w:val="18"/>
      <w:lang w:val="sk-SK"/>
    </w:rPr>
  </w:style>
  <w:style w:type="paragraph" w:styleId="BodyTextIndent3">
    <w:name w:val="Body Text Indent 3"/>
    <w:basedOn w:val="Normal"/>
    <w:pPr>
      <w:spacing w:before="80" w:line="280" w:lineRule="auto"/>
      <w:ind w:left="240" w:hanging="260"/>
      <w:jc w:val="left"/>
    </w:pPr>
    <w:rPr>
      <w:rFonts w:ascii="Arial" w:hAnsi="Arial"/>
      <w:noProof/>
      <w:sz w:val="18"/>
      <w:lang w:val="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spacing w:before="120" w:line="280" w:lineRule="auto"/>
      <w:jc w:val="left"/>
    </w:pPr>
    <w:rPr>
      <w:sz w:val="1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noProof/>
      <w:sz w:val="20"/>
      <w:lang w:val="sk-SK"/>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Textbubliny">
    <w:name w:val="Text bubliny"/>
    <w:basedOn w:val="Normal"/>
    <w:semiHidden/>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5281</Words>
  <Characters>30106</Characters>
  <Application>Microsoft Office Word</Application>
  <DocSecurity>0</DocSecurity>
  <Lines>0</Lines>
  <Paragraphs>0</Paragraphs>
  <ScaleCrop>false</ScaleCrop>
  <Company>Ministry of Finance</Company>
  <LinksUpToDate>false</LinksUpToDate>
  <CharactersWithSpaces>36972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Marta Gulárová</cp:lastModifiedBy>
  <cp:revision>2</cp:revision>
  <cp:lastPrinted>2004-05-04T07:32:00Z</cp:lastPrinted>
  <dcterms:created xsi:type="dcterms:W3CDTF">2004-06-21T13:00:00Z</dcterms:created>
  <dcterms:modified xsi:type="dcterms:W3CDTF">2004-06-21T13:00:00Z</dcterms:modified>
</cp:coreProperties>
</file>