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szCs w:val="24"/>
          <w:lang w:val="sk-SK"/>
        </w:rPr>
      </w:pPr>
      <w:r>
        <w:rPr>
          <w:rFonts w:ascii="Times New Roman" w:hAnsi="Times New Roman" w:cs="Times New Roman"/>
          <w:b/>
          <w:szCs w:val="24"/>
          <w:lang w:val="sk-SK"/>
        </w:rPr>
        <w:t>TABUĽKA ZHODY</w:t>
      </w:r>
    </w:p>
    <w:p>
      <w:pPr>
        <w:jc w:val="center"/>
        <w:rPr>
          <w:rFonts w:ascii="Times New Roman" w:hAnsi="Times New Roman" w:cs="Times New Roman"/>
          <w:b/>
          <w:szCs w:val="24"/>
          <w:lang w:val="sk-SK"/>
        </w:rPr>
      </w:pPr>
      <w:r>
        <w:rPr>
          <w:rFonts w:ascii="Times New Roman" w:hAnsi="Times New Roman" w:cs="Times New Roman"/>
          <w:b/>
          <w:lang w:val="sk-SK"/>
        </w:rPr>
        <w:t>k návrhu zákona, ktorým sa mení a dopĺňa zákon č. 431/2002 Z.z. o účtovníctve v znení zákona č. 562/2003 Z.z. s právom Európskych spoločenstiev a právom Európskej únie</w:t>
      </w: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96"/>
        <w:gridCol w:w="4394"/>
        <w:gridCol w:w="567"/>
        <w:gridCol w:w="709"/>
        <w:gridCol w:w="708"/>
        <w:gridCol w:w="4395"/>
        <w:gridCol w:w="567"/>
        <w:gridCol w:w="850"/>
        <w:gridCol w:w="1134"/>
        <w:gridCol w:w="992"/>
      </w:tblGrid>
      <w:tr>
        <w:tblPrEx>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45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szCs w:val="24"/>
              </w:rPr>
            </w:pPr>
            <w:r>
              <w:rPr>
                <w:rFonts w:ascii="Times New Roman" w:hAnsi="Times New Roman" w:cs="Times New Roman"/>
                <w:szCs w:val="24"/>
              </w:rPr>
              <w:t>Právny akt EÚ/ES</w:t>
            </w:r>
          </w:p>
          <w:p>
            <w:pPr>
              <w:pStyle w:val="Heading1"/>
              <w:jc w:val="both"/>
              <w:rPr>
                <w:rFonts w:ascii="Times New Roman" w:hAnsi="Times New Roman" w:cs="Times New Roman"/>
                <w:b w:val="0"/>
                <w:szCs w:val="24"/>
              </w:rPr>
            </w:pPr>
            <w:r>
              <w:rPr>
                <w:rFonts w:ascii="Times New Roman" w:hAnsi="Times New Roman" w:cs="Times New Roman"/>
                <w:szCs w:val="24"/>
              </w:rPr>
              <w:t>Štvrtá smernica rady č. 78/660/EHS z 25. júla 1978 o ročnej účtovnej závierke niektorých typov obchodných spoločností, vychádzajúca z článku 54 (3) (g)  zmluv</w:t>
            </w:r>
          </w:p>
        </w:tc>
        <w:tc>
          <w:tcPr>
            <w:tcW w:w="9355"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Všeobecne záväzné právne predpisy SR</w:t>
            </w:r>
          </w:p>
          <w:p>
            <w:pPr>
              <w:rPr>
                <w:rFonts w:ascii="Times New Roman" w:hAnsi="Times New Roman" w:cs="Times New Roman"/>
                <w:b/>
                <w:szCs w:val="24"/>
                <w:lang w:val="sk-SK"/>
              </w:rPr>
            </w:pPr>
            <w:r>
              <w:rPr>
                <w:rFonts w:ascii="Times New Roman" w:hAnsi="Times New Roman" w:cs="Times New Roman"/>
                <w:b/>
                <w:szCs w:val="24"/>
                <w:lang w:val="sk-SK"/>
              </w:rPr>
              <w:t>Návrh zákona, ktorým sa mení a dopĺňa zákon č. 431/2002 Z.z. o účtovníctve v znení zákona č. 562/2003 Z.z.</w:t>
            </w:r>
          </w:p>
          <w:p>
            <w:pPr>
              <w:rPr>
                <w:rFonts w:ascii="Times New Roman" w:hAnsi="Times New Roman" w:cs="Times New Roman"/>
                <w:b/>
                <w:szCs w:val="24"/>
                <w:lang w:val="sk-SK"/>
              </w:rPr>
            </w:pPr>
            <w:r>
              <w:rPr>
                <w:rFonts w:ascii="Times New Roman" w:hAnsi="Times New Roman" w:cs="Times New Roman"/>
                <w:b/>
                <w:szCs w:val="24"/>
                <w:lang w:val="sk-SK"/>
              </w:rPr>
              <w:t xml:space="preserve">Zákon č. 431/2002 Z.z. o účtovníctve v znení zákona č. 562/2003 Z.z.  </w:t>
            </w: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szCs w:val="24"/>
                <w:lang w:val="sk-SK"/>
              </w:rPr>
              <w:t xml:space="preserve">   </w:t>
            </w:r>
            <w:r>
              <w:rPr>
                <w:rFonts w:ascii="Times New Roman" w:hAnsi="Times New Roman" w:cs="Times New Roman"/>
                <w:b/>
                <w:szCs w:val="24"/>
                <w:lang w:val="sk-SK"/>
              </w:rPr>
              <w:t>č.</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Times New Roman" w:hAnsi="Times New Roman" w:cs="Times New Roman"/>
                <w:szCs w:val="24"/>
              </w:rPr>
            </w:pPr>
            <w:r>
              <w:rPr>
                <w:rFonts w:ascii="Times New Roman" w:hAnsi="Times New Roman" w:cs="Times New Roman"/>
                <w:szCs w:val="24"/>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Spôsob trans-pozície</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Číslo</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Článok</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Text</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Zhoda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Administratívna infraštru-ktúra</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Poznámky</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Štádium legislatívneho procesu</w:t>
            </w: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Štruktúru súvahy  a účtu ziskov a strát, najmä pokiaľ ide o formu ich prezentácie, nemožno meniť z roka na rok. Odchýlky od tejto zásady súe prípustné len vo výnimočných prípadoch. Každú takúto odchýlku treba uviesť a zdôvodniť v poznámke.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7 ods.3</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w:t>
            </w:r>
          </w:p>
          <w:p>
            <w:pPr>
              <w:jc w:val="both"/>
              <w:rPr>
                <w:rFonts w:ascii="Times New Roman" w:hAnsi="Times New Roman" w:cs="Times New Roman"/>
                <w:szCs w:val="24"/>
                <w:lang w:val="sk-SK"/>
              </w:rPr>
            </w:pPr>
            <w:r>
              <w:rPr>
                <w:rFonts w:ascii="Times New Roman" w:hAnsi="Times New Roman" w:cs="Times New Roman"/>
                <w:lang w:val="sk-SK"/>
              </w:rPr>
              <w:t>poskytla  verný a  pravdivý obraz  skutočností. O  tom je  účtovná jednotka povinná informovať v účtovnej závierke v poznámkach.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MF SR</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Členské štáty nariadia jednu z dvoch štruktúr súvahy alebo obe štruktúry ako vyžadujú články 9 a 10. Ak členský štát nariadi možnosť oboch štruktúr, majú spoločnosti možnosť voľby jednej z nich.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 200/ Z.z.</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4 ods.2</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i/>
                <w:sz w:val="24"/>
                <w:szCs w:val="24"/>
              </w:rPr>
            </w:pPr>
            <w:r>
              <w:rPr>
                <w:rFonts w:ascii="MS Sans Serif" w:hAnsi="MS Sans Serif" w:cs="Times New Roman"/>
                <w:i/>
                <w:color w:val="000000"/>
                <w:sz w:val="24"/>
                <w:szCs w:val="24"/>
              </w:rPr>
              <w:t xml:space="preserve">Podrobnosti o rámcových účtových osnovách (§ 13) pre jednotlivé skupiny účtovných jednotiek účtujúcich v sústave podvojného účtovníctva, dni uskutočnenia účtovného prípadu, postupoch účtovania, usporiadaní a označovaní položiek individuálnej účtovnej závierky a konsolidovanej účtovnej závierky a o obsahovom vymedzení týchto položiek, rozsahu údajov určených z účtovnej závierky na zverejnenie, termínoch, spôsoboch a mieste predkladania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w:t>
            </w:r>
            <w:r>
              <w:rPr>
                <w:rFonts w:ascii="MS Sans Serif" w:hAnsi="MS Sans Serif" w:cs="Times New Roman"/>
                <w:b/>
                <w:color w:val="000000"/>
                <w:sz w:val="24"/>
                <w:szCs w:val="24"/>
              </w:rPr>
              <w:t>a</w:t>
            </w:r>
            <w:r>
              <w:rPr>
                <w:rFonts w:ascii="MS Sans Serif" w:hAnsi="MS Sans Serif" w:cs="Times New Roman"/>
                <w:b/>
                <w:color w:val="000000"/>
                <w:sz w:val="24"/>
                <w:szCs w:val="24"/>
              </w:rPr>
              <w:t> </w:t>
            </w:r>
            <w:r>
              <w:rPr>
                <w:rFonts w:ascii="MS Sans Serif" w:hAnsi="MS Sans Serif" w:cs="Times New Roman"/>
                <w:b/>
                <w:color w:val="000000"/>
                <w:sz w:val="24"/>
                <w:szCs w:val="24"/>
              </w:rPr>
              <w:t>ananlytickej evidencie</w:t>
            </w:r>
            <w:r>
              <w:rPr>
                <w:rFonts w:ascii="MS Sans Serif" w:hAnsi="MS Sans Serif" w:cs="Times New Roman"/>
                <w:i/>
                <w:color w:val="000000"/>
                <w:sz w:val="24"/>
                <w:szCs w:val="24"/>
              </w:rPr>
              <w:t xml:space="preserve">, metódach a postupoch konsolidácie a účtovných sústavách ustanoví </w:t>
            </w:r>
            <w:r>
              <w:rPr>
                <w:rFonts w:ascii="Times New Roman" w:hAnsi="Times New Roman" w:cs="Times New Roman"/>
                <w:b/>
                <w:sz w:val="24"/>
                <w:szCs w:val="24"/>
              </w:rPr>
              <w:t>Ministerstvo financií Slovenskej republiky (ďalej len „ministerstvo“)</w:t>
            </w:r>
            <w:r>
              <w:rPr>
                <w:rFonts w:ascii="MS Sans Serif" w:hAnsi="MS Sans Serif" w:cs="Times New Roman"/>
                <w:i/>
                <w:color w:val="000000"/>
                <w:sz w:val="24"/>
                <w:szCs w:val="24"/>
              </w:rPr>
              <w:t xml:space="preserve"> opatrením. Opatrenie vyhlasuje ministerstvo oznámením o jeho vydaní v Zbierke zákonov Slovenskej republiky8) a účtovná jednotka je povinná ho dodržiavať.</w:t>
            </w: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1. Ak spoločnosť ku dňu závierky práve prekročila alebo   už dosiahla vyčíslené limity dvoch z troch kritérií uvedených v článku 11, potom za týchto okolností nie ja daná možnosť aplikovať  výnimky stanovené v danom článku, pokiaľ sa situácia neopakuje v dvoch po sebe nasledujúcich finančných rokoch (účtovných obdobiach).</w:t>
            </w:r>
          </w:p>
          <w:p>
            <w:pPr>
              <w:pStyle w:val="PlainText"/>
              <w:rPr>
                <w:rFonts w:ascii="Times New Roman" w:hAnsi="Times New Roman" w:cs="Times New Roman"/>
                <w:sz w:val="24"/>
                <w:szCs w:val="24"/>
              </w:rPr>
            </w:pPr>
            <w:r>
              <w:rPr>
                <w:rFonts w:ascii="Times New Roman" w:hAnsi="Times New Roman" w:cs="Times New Roman"/>
                <w:sz w:val="24"/>
                <w:szCs w:val="24"/>
              </w:rPr>
              <w:t>2. Čiastky účtuv ECU uvedené v článku 11 môžno zvýšiť maximálne o 10 % k prepočtu na národnú menu.</w:t>
            </w:r>
          </w:p>
          <w:p>
            <w:pPr>
              <w:rPr>
                <w:rFonts w:ascii="Times New Roman" w:hAnsi="Times New Roman" w:cs="Times New Roman"/>
                <w:szCs w:val="24"/>
                <w:lang w:val="sk-SK"/>
              </w:rPr>
            </w:pPr>
            <w:r>
              <w:rPr>
                <w:rFonts w:ascii="Times New Roman" w:hAnsi="Times New Roman" w:cs="Times New Roman"/>
                <w:szCs w:val="24"/>
                <w:lang w:val="sk-SK"/>
              </w:rPr>
              <w:t>3. Súvahová suma uvedená v článku 11 bude obsahovať aktíva z položiek A až E na strane aktív podľa štruktúry uvedenej v článku 9 alebo  položky A až E v štruktúre  uvedenej v článku 10.</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w:t>
            </w:r>
            <w:r>
              <w:rPr>
                <w:rFonts w:ascii="Times New Roman" w:hAnsi="Times New Roman" w:cs="Times New Roman"/>
                <w:szCs w:val="24"/>
                <w:lang w:val="sk-SK"/>
              </w:rPr>
              <w:t>. 18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V položke „Náklady  budúcich období a príjmy budúcich období"sa musia vykazovať výdavky zúčtované v priebehu účtovného obdobia, ale týkajúce sa neskoršieho obdobia, ako aj výnosy daného obdobia, ktoré však budú splatné až po jeho závierke.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Členské štáty však môžu stanoviť, aby sa tieto výnosy vykazovali ako pohľadávky. Ak sú väčšieho rozsahu, musia sa bližšie vysvetliť v prílohe.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 2002 Z.z.</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3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i/>
                <w:szCs w:val="24"/>
                <w:lang w:val="sk-SK"/>
              </w:rPr>
            </w:pPr>
            <w:r>
              <w:rPr>
                <w:rFonts w:ascii="Times New Roman" w:hAnsi="Times New Roman" w:cs="Times New Roman"/>
                <w:i/>
                <w:color w:val="000000"/>
                <w:szCs w:val="24"/>
                <w:lang w:val="sk-SK"/>
              </w:rPr>
              <w:t>Účtovná jednotka účtuje a vykazuje účtovné prípady v období, s ktorým časovo a vecne súvisia (ďalej len "účtovné obdobie"). Ak túto zásadu nemožno dodržať, účtovná jednotka ich zaúčtuje a vykáže v období, keď sa tieto skutočnosti zistili.</w:t>
              <w:br/>
              <w:t xml:space="preserve"> Účtovná jednotka postupuje v účtovnom období v účtovníctve podľa § 4 ods. 2. Náklady a výnosy účtuje účtovná jednotka v tom účtovnom období, v ktorom vznikli, bez ohľadu na deň ich úhrady, inkasa alebo na deň vyrovnania iným spôsobom. Výdavky a príjmy účtuje účtovná jednotka vždy v tom účtovnom období, v ktorom</w:t>
            </w:r>
            <w:r>
              <w:rPr>
                <w:rFonts w:ascii="Times New Roman" w:hAnsi="Times New Roman" w:cs="Times New Roman"/>
                <w:i/>
                <w:color w:val="000000"/>
                <w:szCs w:val="24"/>
                <w:lang w:val="sk-SK"/>
              </w:rPr>
              <w:t xml:space="preserve"> dôjde k ich úhrade alebo inkasu.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Opatre nie MF SR zo 16.12. 2002 č. 23 054/ 2002-92, ktorým sa ustanovujú podrob nosti o postupoch účtovania a rámcovej účtovej osnove pre podni kateľov účtujú cich v sústave podvojného účtovní c</w:t>
            </w:r>
            <w:r>
              <w:rPr>
                <w:rFonts w:ascii="Times New Roman" w:hAnsi="Times New Roman" w:cs="Times New Roman"/>
                <w:szCs w:val="24"/>
                <w:lang w:val="sk-SK"/>
              </w:rPr>
              <w:t>tva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V položke „Náklady  budúcich období a príjmy budúcich období" sa musia vykazovať výnosy nezaplatené pred dňom súvahy, ale súvisiace s nasledujúcim  účtovným obdobím ako aj náklady, ktoré nastali pred dňom súvahy a ktoré budú zaplatené až v priebehu nasledujúceho účtovného obdobia. Členské štáty však môžu stanoviť, aby sa tieto náklady vykazovali vo veriteľoch; ak sú väčšieho rozsahu, musia sa bližšie vysvetliť v prílohe.</w:t>
            </w: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3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i/>
                <w:szCs w:val="24"/>
                <w:lang w:val="sk-SK"/>
              </w:rPr>
            </w:pPr>
            <w:r>
              <w:rPr>
                <w:rFonts w:ascii="Times New Roman" w:hAnsi="Times New Roman" w:cs="Times New Roman"/>
                <w:i/>
                <w:color w:val="000000"/>
                <w:szCs w:val="24"/>
                <w:lang w:val="sk-SK"/>
              </w:rPr>
              <w:t>Účtovná jednotka účtuje a vykazuje účtovné prípady v období, s ktorým časovo a vecne súvisia (ďalej len "účtovné obdobie"). Ak túto zásadu nemožno dodržať, účtovná jednotka ich zaúčtuje a vykáže v období, keď sa tieto skutočnosti zistili.</w:t>
              <w:br/>
              <w:t>Účtovná jednotka postupuje v účtovnom období v účtovníctve podľa § 4 ods. 2. Náklady a výnosy účtuje účtovná jednotka v tom účtovnom období, v ktorom vznikli, bez ohľadu na deň ich úhrady, inkasa alebo na deň vyrovnania iným spôsobom. Výdavky a príjmy účtuje účtovná jednotka vždy v tom účtovnom období, v ktorom dô</w:t>
            </w:r>
            <w:r>
              <w:rPr>
                <w:rFonts w:ascii="Times New Roman" w:hAnsi="Times New Roman" w:cs="Times New Roman"/>
                <w:i/>
                <w:color w:val="000000"/>
                <w:szCs w:val="24"/>
                <w:lang w:val="sk-SK"/>
              </w:rPr>
              <w:t>jde k ich úhrade alebo inkasu.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Opatre nie MF SR zo 16.12. 2002 č. 23 054/ 2002-92, ktorým sa ustanovujú podro bnosti o postu poch účto vania a rámcovej účtovej osnove pre podnikateľov účtu júcich v sústave podvoj ného účto vníctva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l. Členské štáty musia zabezpečiť, aby pre oceňovanie položiek účtovnej závierky platili nasledujúce všeobecné zásady:</w:t>
            </w:r>
          </w:p>
          <w:p>
            <w:pPr>
              <w:pStyle w:val="PlainText"/>
              <w:numPr>
                <w:ilvl w:val="0"/>
                <w:numId w:val="10"/>
              </w:numPr>
              <w:tabs>
                <w:tab w:val="left" w:pos="360"/>
              </w:tabs>
              <w:rPr>
                <w:rFonts w:ascii="Times New Roman" w:hAnsi="Times New Roman" w:cs="Times New Roman"/>
                <w:sz w:val="24"/>
                <w:szCs w:val="24"/>
              </w:rPr>
            </w:pPr>
            <w:r>
              <w:rPr>
                <w:rFonts w:ascii="Times New Roman" w:hAnsi="Times New Roman" w:cs="Times New Roman"/>
                <w:sz w:val="24"/>
                <w:szCs w:val="24"/>
              </w:rPr>
              <w:t>predpokladá sa, že spoločnosť bude pokračovať vo svojej činnosti;</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numPr>
                <w:ilvl w:val="0"/>
                <w:numId w:val="10"/>
              </w:numPr>
              <w:tabs>
                <w:tab w:val="left" w:pos="360"/>
              </w:tabs>
              <w:rPr>
                <w:rFonts w:ascii="Times New Roman" w:hAnsi="Times New Roman" w:cs="Times New Roman"/>
                <w:sz w:val="24"/>
                <w:szCs w:val="24"/>
              </w:rPr>
            </w:pPr>
            <w:r>
              <w:rPr>
                <w:rFonts w:ascii="Times New Roman" w:hAnsi="Times New Roman" w:cs="Times New Roman"/>
                <w:sz w:val="24"/>
                <w:szCs w:val="24"/>
              </w:rPr>
              <w:t>pri metódach oceňovania sa musí zachovávať kontinuita;</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(c) oceňovanie sa musí prevádzať na základe opatrnosti. To predovšetkým znamená, že:</w:t>
            </w:r>
          </w:p>
          <w:p>
            <w:pPr>
              <w:pStyle w:val="PlainText"/>
              <w:rPr>
                <w:rFonts w:ascii="Times New Roman" w:hAnsi="Times New Roman" w:cs="Times New Roman"/>
                <w:sz w:val="24"/>
                <w:szCs w:val="24"/>
              </w:rPr>
            </w:pPr>
            <w:r>
              <w:rPr>
                <w:rFonts w:ascii="Times New Roman" w:hAnsi="Times New Roman" w:cs="Times New Roman"/>
                <w:sz w:val="24"/>
                <w:szCs w:val="24"/>
              </w:rPr>
              <w:t>(aa) ku dňu závierky sa smú vykazovať len tie zisky, ktoré boli vytvorené ;</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(bb) musia sa zohľadniť všetky tie predpokladané riziká a potencionálne straty, ktoré vyplynuli v priebehu daného finančného roka alebo v niektorom z predchádzajúcich účtovných období a to aj vtedy, keď sa podnik o nich dozvedel až v čase medzi dňom závierky a dňom skutočného zostavenia súvahy;</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(cc) do úvahy sa musia brať všetky odpisy bez ohľadu na to, či je výsledkom účtovného obdobia zisk alebo strata.</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numPr>
                <w:ilvl w:val="0"/>
                <w:numId w:val="32"/>
              </w:numPr>
              <w:tabs>
                <w:tab w:val="left" w:pos="360"/>
              </w:tabs>
              <w:rPr>
                <w:rFonts w:ascii="Times New Roman" w:hAnsi="Times New Roman" w:cs="Times New Roman"/>
                <w:sz w:val="24"/>
                <w:szCs w:val="24"/>
              </w:rPr>
            </w:pPr>
            <w:r>
              <w:rPr>
                <w:rFonts w:ascii="Times New Roman" w:hAnsi="Times New Roman" w:cs="Times New Roman"/>
                <w:sz w:val="24"/>
                <w:szCs w:val="24"/>
              </w:rPr>
              <w:t>musia sa zohľadniť všetky náklady a výnosy toho účtovného obdobia, na ktoré sa vzťahujú, bez ohľadu na dátum príjmu či platby týchto výnosov alebo nák</w:t>
            </w:r>
            <w:r>
              <w:rPr>
                <w:rFonts w:ascii="Times New Roman" w:hAnsi="Times New Roman" w:cs="Times New Roman"/>
                <w:sz w:val="24"/>
                <w:szCs w:val="24"/>
              </w:rPr>
              <w:t>ladov;</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numPr>
                <w:ilvl w:val="0"/>
                <w:numId w:val="32"/>
              </w:numPr>
              <w:tabs>
                <w:tab w:val="left" w:pos="360"/>
              </w:tabs>
              <w:rPr>
                <w:rFonts w:ascii="Times New Roman" w:hAnsi="Times New Roman" w:cs="Times New Roman"/>
                <w:sz w:val="24"/>
                <w:szCs w:val="24"/>
              </w:rPr>
            </w:pPr>
            <w:r>
              <w:rPr>
                <w:rFonts w:ascii="Times New Roman" w:hAnsi="Times New Roman" w:cs="Times New Roman"/>
                <w:sz w:val="24"/>
                <w:szCs w:val="24"/>
              </w:rPr>
              <w:t>prvky položiek aktív a pasív sa musia oceňovať samostatne;</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numPr>
                <w:ilvl w:val="0"/>
                <w:numId w:val="32"/>
              </w:numPr>
              <w:tabs>
                <w:tab w:val="left" w:pos="360"/>
              </w:tabs>
              <w:rPr>
                <w:rFonts w:ascii="Times New Roman" w:hAnsi="Times New Roman" w:cs="Times New Roman"/>
                <w:sz w:val="24"/>
                <w:szCs w:val="24"/>
              </w:rPr>
            </w:pPr>
            <w:r>
              <w:rPr>
                <w:rFonts w:ascii="Times New Roman" w:hAnsi="Times New Roman" w:cs="Times New Roman"/>
                <w:sz w:val="24"/>
                <w:szCs w:val="24"/>
              </w:rPr>
              <w:t>súvaha, s ktorou sa začína účtovné obdobie, musí odpovedať súvahe, ktorou sa predchádzajúce účtovné obdobie uzavrelo.</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rPr>
                <w:rFonts w:ascii="Times New Roman" w:hAnsi="Times New Roman" w:cs="Times New Roman"/>
                <w:szCs w:val="24"/>
                <w:lang w:val="sk-SK"/>
              </w:rPr>
            </w:pPr>
            <w:r>
              <w:rPr>
                <w:rFonts w:ascii="Times New Roman" w:hAnsi="Times New Roman" w:cs="Times New Roman"/>
                <w:szCs w:val="24"/>
                <w:lang w:val="sk-SK"/>
              </w:rPr>
              <w:t>2. Odchýlky od týchto všeobecných zásad sa povoľujú iba vo výnimočných prípadoch. Každá takáto odchýlka sa musí vysvetliť v prílohe s udaním dôvodu, s uvedením vplyvu na stav aktív, pasív, finančnej pozície a zisku a straty.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7 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7 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pStyle w:val="FootnoteText"/>
              <w:rPr>
                <w:rFonts w:ascii="Times New Roman" w:hAnsi="Times New Roman" w:cs="Times New Roman"/>
                <w:sz w:val="24"/>
                <w:szCs w:val="24"/>
              </w:rPr>
            </w:pPr>
            <w:r>
              <w:rPr>
                <w:rFonts w:ascii="Times New Roman" w:hAnsi="Times New Roman" w:cs="Times New Roman"/>
                <w:sz w:val="24"/>
                <w:szCs w:val="24"/>
              </w:rPr>
              <w:t>§ 25 ods.2</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18 ods. 5</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xml:space="preserve">§ 28 ods.1 </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xml:space="preserve">ods.2 </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xml:space="preserve">ods.3 </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ods.4</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3 ods.1</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7 ods.6</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16 ods. 11</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r>
              <w:rPr>
                <w:rFonts w:ascii="Times New Roman" w:hAnsi="Times New Roman" w:cs="Times New Roman"/>
                <w:sz w:val="24"/>
                <w:szCs w:val="24"/>
              </w:rPr>
              <w:t>§ 7 ods.3</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w:t>
            </w:r>
          </w:p>
          <w:p>
            <w:pPr>
              <w:rPr>
                <w:rFonts w:ascii="Times New Roman" w:hAnsi="Times New Roman" w:cs="Times New Roman"/>
                <w:lang w:val="sk-SK"/>
              </w:rPr>
            </w:pPr>
            <w:r>
              <w:rPr>
                <w:rFonts w:ascii="Times New Roman" w:hAnsi="Times New Roman" w:cs="Times New Roman"/>
                <w:lang w:val="sk-SK"/>
              </w:rPr>
              <w:t>poskytla  verný a  pravdivý obraz  skutočností. O  tom je  účtovná jednotka povinná informovať v účtovnej závierke v poznámkach.</w:t>
            </w:r>
          </w:p>
          <w:p>
            <w:pPr>
              <w:rPr>
                <w:rFonts w:ascii="Times New Roman" w:hAnsi="Times New Roman" w:cs="Times New Roman"/>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Rozdiely zo zmien použitých účtovných zásad a účtovných metód v účtovníctve a v účtovnej závierke sú účtovnými prípadmi bezprostredne nasledujúceho účtovného obdobia.</w:t>
            </w: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ku dňu, ku ktorému sa zostavuje účtovná závierka, zohľadňuje predpokladané riziká a straty, ktoré sa týkajú majetku a záväzkov a ktoré sú známe ku dňu zostavenia účtovnej závierky. Zníženie hodnoty sa musí zohľadniť vždy, bez ohľadu na to, či výsledkom hospodárenia za účtovné obdobie je zisk alebo strata.</w:t>
            </w:r>
          </w:p>
          <w:p>
            <w:pPr>
              <w:rPr>
                <w:rFonts w:ascii="Times New Roman" w:hAnsi="Times New Roman" w:cs="Times New Roman"/>
                <w:lang w:val="sk-SK"/>
              </w:rPr>
            </w:pPr>
            <w:r>
              <w:rPr>
                <w:rFonts w:ascii="Times New Roman" w:hAnsi="Times New Roman" w:cs="Times New Roman"/>
                <w:lang w:val="sk-SK"/>
              </w:rPr>
              <w:t>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p>
            <w:pPr>
              <w:rPr>
                <w:rFonts w:ascii="Times New Roman" w:hAnsi="Times New Roman" w:cs="Times New Roman"/>
                <w:lang w:val="sk-SK"/>
              </w:rPr>
            </w:pPr>
          </w:p>
          <w:p>
            <w:pPr>
              <w:rPr>
                <w:rFonts w:ascii="Times New Roman" w:hAnsi="Times New Roman" w:cs="Times New Roman"/>
                <w:i/>
                <w:color w:val="000000"/>
                <w:szCs w:val="24"/>
                <w:lang w:val="sk-SK"/>
              </w:rPr>
            </w:pPr>
            <w:r>
              <w:rPr>
                <w:rFonts w:ascii="Times New Roman" w:hAnsi="Times New Roman" w:cs="Times New Roman"/>
                <w:b/>
                <w:i/>
                <w:color w:val="000000"/>
                <w:szCs w:val="24"/>
                <w:lang w:val="sk-SK"/>
              </w:rPr>
              <w:t xml:space="preserve">Účtovná jednotka, ak nie je ďalej ustanovené inak, odpisuje hmotný majetok okrem zásob a nehmotný majetok okrem pohľadávok v súlade s účtovnými zásadami a účtovnými metódami, ak osobitný predpis neustanovuje inak. </w:t>
            </w:r>
            <w:r>
              <w:rPr>
                <w:rFonts w:ascii="Times New Roman" w:hAnsi="Times New Roman" w:cs="Times New Roman"/>
                <w:b/>
                <w:color w:val="000000"/>
                <w:szCs w:val="24"/>
                <w:lang w:val="sk-SK"/>
              </w:rPr>
              <w:t>Ak ide o zmluvu o výpožičke  počas doby zabezpečenia záväzku prevodom práva  alebo ak sa vlastnícke právo k veciam nadobúda  iným spôsobom ako prevzatím veci, ako aj v ďalších prípadoch ustanovených osobitnými predpismi, o majetku účtuje a odpisuje ho účtovná jednotka, ktorá ho používa.</w:t>
              <w:br/>
            </w:r>
            <w:r>
              <w:rPr>
                <w:rFonts w:ascii="Times New Roman" w:hAnsi="Times New Roman" w:cs="Times New Roman"/>
                <w:i/>
                <w:color w:val="000000"/>
                <w:szCs w:val="24"/>
                <w:lang w:val="sk-SK"/>
              </w:rPr>
              <w:t>Pozemky, predmety z drahých kovov a iný majetok vymedzený osobitnými predpismi sa neodpisujú.</w:t>
              <w:br/>
              <w:t xml:space="preserve"> Účtovná jednotka uvedená v odseku 1 je povinná zostaviť si odpisový plán, na základe ktorého vykonáva odpisovanie majetku. Uvedený majetok sa odpisuje len do výšky jeho ocenenia v účtovníctve.</w:t>
            </w:r>
          </w:p>
          <w:p>
            <w:pPr>
              <w:rPr>
                <w:rFonts w:ascii="Times New Roman" w:hAnsi="Times New Roman" w:cs="Times New Roman"/>
                <w:b/>
                <w:lang w:val="sk-SK"/>
              </w:rPr>
            </w:pPr>
            <w:r>
              <w:rPr>
                <w:rFonts w:ascii="Times New Roman" w:hAnsi="Times New Roman" w:cs="Times New Roman"/>
                <w:b/>
                <w:lang w:val="sk-SK"/>
              </w:rPr>
              <w:t>Hmotný majetok okrem zásob odpisuje účtovná jednotka s ohľadom na opotrebovanie zodpovedajúce bežným podmienkam jeho používania. Nehmotný majetok, ktorým sú goodwill, aktivované zriaďovacie náklady a  náklady na vývoj  musí účtovná jednotka odpísať najneskôr do piatich rokov od jeho obstarania. Ak neboli zriaďovacie náklady a náklady na vývoj úplne odpísané, môže účtovná jednotka vyplácať dividendy, podiely a tantiémy iba vtedy, ak úhrnná výška výsledku hospodárenia a  fondov tvorených zo  zisku    určeného na vyplácanie je vyššia ako celková výška neodpísaných zriaďovacích nákladov a nákladov na vývoj. Nehmotný majetok vytvorený vlastnou činnosťou sa neaktivuje okrem zriaďovacích nákladov, softvéru a nákladov na vývoj, ktoré sa aktivujú v súlade s opatrením vydaným podľa § 4 ods. 2.</w:t>
            </w:r>
          </w:p>
          <w:p>
            <w:pPr>
              <w:rPr>
                <w:rFonts w:ascii="Times New Roman" w:hAnsi="Times New Roman" w:cs="Times New Roman"/>
                <w:b/>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účtuje a vykazuje účtovné prípady v období, s ktorým časovo a vecne súvisia (ďalej len "účtovné obdobie"). Ak túto zásadu nemožno dodržať, účtovná jednotka ich zaúčtuje a vykáže v období, keď sa tieto skutočnosti zistili.</w:t>
            </w: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w:t>
            </w:r>
            <w:r>
              <w:rPr>
                <w:rFonts w:ascii="Times New Roman" w:hAnsi="Times New Roman" w:cs="Times New Roman"/>
                <w:i/>
                <w:color w:val="000000"/>
                <w:szCs w:val="24"/>
                <w:lang w:val="sk-SK"/>
              </w:rPr>
              <w:t>isov.</w:t>
            </w: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V účtovnej jednotke účtujúcej v sústave podvojného účtovníctva sa musí dodržať zásada, že konečné zostatky účtov, ktoré sa vykazujú v súvahe k poslednému dňu účtovného obdobia, musia byť zhodné so začiatočnými stavmi týchto účtov k prvému dňu bezprostredne nasledujúceho účtovného obdobia. To platí aj pre účty vedené v knihe podsúvahových účtov.</w:t>
            </w:r>
          </w:p>
          <w:p>
            <w:pPr>
              <w:rPr>
                <w:rFonts w:ascii="Times New Roman" w:hAnsi="Times New Roman" w:cs="Times New Roman"/>
                <w:i/>
                <w:color w:val="000000"/>
                <w:szCs w:val="24"/>
                <w:lang w:val="sk-SK"/>
              </w:rPr>
            </w:pPr>
          </w:p>
          <w:p>
            <w:pPr>
              <w:rPr>
                <w:rFonts w:ascii="Times New Roman" w:hAnsi="Times New Roman" w:cs="Times New Roman"/>
                <w:lang w:val="sk-SK"/>
              </w:rPr>
            </w:pPr>
            <w:r>
              <w:rPr>
                <w:rFonts w:ascii="Times New Roman" w:hAnsi="Times New Roman" w:cs="Times New Roman"/>
                <w:lang w:val="sk-SK"/>
              </w:rPr>
              <w:t>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w:t>
            </w:r>
          </w:p>
          <w:p>
            <w:pPr>
              <w:rPr>
                <w:rFonts w:ascii="Times New Roman" w:hAnsi="Times New Roman" w:cs="Times New Roman"/>
                <w:b/>
                <w:i/>
                <w:szCs w:val="24"/>
                <w:lang w:val="sk-SK"/>
              </w:rPr>
            </w:pPr>
            <w:r>
              <w:rPr>
                <w:rFonts w:ascii="Times New Roman" w:hAnsi="Times New Roman" w:cs="Times New Roman"/>
                <w:lang w:val="sk-SK"/>
              </w:rPr>
              <w:t>poskytla  verný a  pravdivý obraz  skutočností. O  tom je  účtovná jednotka povinná informovať v účtovnej závierke v poznámkach.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szCs w:val="24"/>
                <w:lang w:val="sk-SK"/>
              </w:rPr>
              <w:t>Návrh zákona</w:t>
            </w:r>
          </w:p>
          <w:p>
            <w:pPr>
              <w:rPr>
                <w:rFonts w:ascii="Times New Roman" w:hAnsi="Times New Roman" w:cs="Times New Roman"/>
                <w:b/>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Položky vykázané v účtovnej závierky budú oceňované v súlade s  článkami 34 až 42, na princípe nákupnej ceny alebo vlastných nákladov.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 2002 Z.z.</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25 ods.1 pís.a)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pís.b)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pís.c)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pís.d)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pís.e)</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ods.2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ods.4 pís.a)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pís.b)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pís.d)</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i/>
                <w:color w:val="000000"/>
                <w:szCs w:val="24"/>
                <w:lang w:val="sk-SK"/>
              </w:rPr>
            </w:pPr>
            <w:r>
              <w:rPr>
                <w:rFonts w:ascii="Times New Roman" w:hAnsi="Times New Roman" w:cs="Times New Roman"/>
                <w:szCs w:val="24"/>
                <w:lang w:val="sk-SK"/>
              </w:rPr>
              <w:t xml:space="preserve"> </w:t>
            </w:r>
            <w:r>
              <w:rPr>
                <w:rFonts w:ascii="Times New Roman" w:hAnsi="Times New Roman" w:cs="Times New Roman"/>
                <w:i/>
                <w:color w:val="000000"/>
                <w:szCs w:val="24"/>
                <w:lang w:val="sk-SK"/>
              </w:rPr>
              <w:t>Z jednotlivých zložiek majetku a záväzkov sa oceňuje</w:t>
              <w:br/>
              <w:t xml:space="preserve"> obstarávacou cenou</w:t>
              <w:br/>
              <w:t>1. hmotný majetok s výnimkou hmotného majetku vytvoreného vlastnou činnosťou,</w:t>
              <w:br/>
              <w:t>2. zásoby s výnimkou zásob vytvorených vlastnou činnosťou,</w:t>
              <w:br/>
              <w:t>3. podiely na základnom imaní obchodných spoločností, cenné papiere a deriváty,</w:t>
              <w:br/>
              <w:t>4. pohľadávky pri odplatnom nadobudnutí alebo pohľadávky nadobudnuté vkladom35) do základného imania,</w:t>
              <w:br/>
              <w:t>5. nehmotný majetok s výnimkou nehmotného majetku vytvoreného vlastnou činnosťou,</w:t>
              <w:br/>
              <w:t>6. záväzky pri ich prevzatí,</w:t>
              <w:br/>
              <w:t>vlastnými nákladmi</w:t>
              <w:br/>
              <w:t>1. hmotný majetok vytvorený vlastnou činnosťou,</w:t>
              <w:br/>
              <w:t>2. zásoby vytvorené vlastnou činnosťou,</w:t>
              <w:br/>
              <w:t>3. nehmotný majetok vytvorený vlastnou činnosťou,</w:t>
              <w:br/>
              <w:t>4. príchovky a prírastky zvierat,</w:t>
              <w:br/>
              <w:t>menovitou hodnotou</w:t>
              <w:br/>
              <w:t>1. peňažné prostriedky a ceniny,</w:t>
              <w:br/>
              <w:t>2. pohľadávky pri ich vzniku,</w:t>
              <w:br/>
              <w:t>3. záväzky pri ich vzniku,</w:t>
              <w:br/>
              <w:t>reprodukčnou obstarávacou cenou</w:t>
              <w:br/>
              <w:t>1. majetok v prípade bezodplatného nadobudnutia s výnimkou peňažných prostriedkov a cenín a pohľadávok ocenených menovitými hodnotami,</w:t>
              <w:br/>
              <w:t>2. nehmotný majetok vytvorený vlastnou činnosťou, ak sú vlastné náklady vyššie ako reprodukčná obstarávacia cena tohto majetku,</w:t>
              <w:br/>
              <w:t>3. príchovky a prírastky zvierat, ak nie je možné zistiť vlastné náklady,</w:t>
              <w:br/>
              <w:t>4. majetok preradený z osobného vlastníctva do podnikania s výnimkou peňažných prostriedkov a cenín a pohľadávok ocenených menovitými hodnotami,</w:t>
              <w:br/>
              <w:t>5. nehmotný a hmotný majetok novozistený pri inventarizácii a v účtovníctve doteraz nezachy</w:t>
            </w:r>
            <w:r>
              <w:rPr>
                <w:rFonts w:ascii="Times New Roman" w:hAnsi="Times New Roman" w:cs="Times New Roman"/>
                <w:i/>
                <w:color w:val="000000"/>
                <w:szCs w:val="24"/>
                <w:lang w:val="sk-SK"/>
              </w:rPr>
              <w:t>tený.</w:t>
            </w:r>
          </w:p>
          <w:p>
            <w:pPr>
              <w:rPr>
                <w:rFonts w:ascii="Times New Roman" w:hAnsi="Times New Roman" w:cs="Times New Roman"/>
                <w:lang w:val="sk-SK"/>
              </w:rPr>
            </w:pPr>
            <w:r>
              <w:rPr>
                <w:rFonts w:ascii="Times New Roman" w:hAnsi="Times New Roman" w:cs="Times New Roman"/>
                <w:lang w:val="sk-SK"/>
              </w:rPr>
              <w:t xml:space="preserve"> </w:t>
            </w:r>
            <w:r>
              <w:rPr>
                <w:rFonts w:ascii="Times New Roman" w:hAnsi="Times New Roman" w:cs="Times New Roman"/>
                <w:b/>
                <w:lang w:val="sk-SK"/>
              </w:rPr>
              <w:t>reálnou hodnotou podľa § 27 ods. 2 majetok a záväzky nadobudnuté vkladom alebo kúpou podniku  alebo jeho časti</w:t>
            </w:r>
            <w:r>
              <w:rPr>
                <w:rFonts w:ascii="Times New Roman" w:hAnsi="Times New Roman" w:cs="Times New Roman"/>
                <w:lang w:val="sk-SK"/>
              </w:rPr>
              <w:t>.</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ku dňu, ku ktorému sa zostavuje účtovná závierka, zohľadňuje predpokladané riziká a straty, ktoré sa týkajú majetku a záväzkov a ktoré sú známe ku dňu zostavenia účtovnej závierky. Zníženie hodnoty sa musí zohľadniť vždy, bez ohľadu na to, či výsledkom hospodárenia za účtovné obdobie je zisk alebo strata.</w:t>
            </w:r>
          </w:p>
          <w:p>
            <w:pPr>
              <w:rPr>
                <w:rFonts w:ascii="Times New Roman" w:hAnsi="Times New Roman" w:cs="Times New Roman"/>
                <w:i/>
                <w:color w:val="000000"/>
                <w:szCs w:val="24"/>
                <w:lang w:val="sk-SK"/>
              </w:rPr>
            </w:pPr>
            <w:r>
              <w:rPr>
                <w:rFonts w:ascii="Times New Roman" w:hAnsi="Times New Roman" w:cs="Times New Roman"/>
                <w:b/>
                <w:lang w:val="sk-SK"/>
              </w:rPr>
              <w:t>Ak je to v súlade s požiadavkou verného a pravdivého zobrazenia podľa § 7 ods. 1 pri majetku, ktorým je rovnaký druh zásob vedený na sklade, rovnaký  druh cenných papierov  vedený v portfóliu  účtovnej jednotky a pri  peňažných prostriedkoch v  rovnakej cudzej mene v pokladnici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w:t>
            </w:r>
            <w:r>
              <w:rPr>
                <w:rFonts w:ascii="MS Sans Serif" w:hAnsi="MS Sans Serif" w:cs="Times New Roman"/>
                <w:color w:val="000000"/>
                <w:sz w:val="20"/>
                <w:lang w:val="sk-SK"/>
              </w:rPr>
              <w:t xml:space="preserve"> </w:t>
            </w:r>
            <w:r>
              <w:rPr>
                <w:rFonts w:ascii="Times New Roman" w:hAnsi="Times New Roman" w:cs="Times New Roman"/>
                <w:i/>
                <w:color w:val="000000"/>
                <w:szCs w:val="24"/>
                <w:lang w:val="sk-SK"/>
              </w:rPr>
              <w:t>Pri majetku, ktorým je rovnaký druh zásob vedený na sklade alebo rovnaký druh cenných papierov vedený v portfóliu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Rovnaký druh cenného papiera možno uvedeným spôsobom oceniť len v prípade, ak sú od rovnakého emitenta a znejú na rovnakú menu.</w:t>
            </w: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Na účely tohto</w:t>
            </w:r>
            <w:r>
              <w:rPr>
                <w:rFonts w:ascii="Times New Roman" w:hAnsi="Times New Roman" w:cs="Times New Roman"/>
                <w:i/>
                <w:color w:val="000000"/>
                <w:szCs w:val="24"/>
                <w:lang w:val="sk-SK"/>
              </w:rPr>
              <w:t xml:space="preserve"> zákona sa rozumie</w:t>
              <w:br/>
              <w:t xml:space="preserve"> obstarávacou cenou cena, za ktorú sa majetok obstaral, a náklady súvisiace s jeho obstaraním,</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 reprodukčnou obstarávacou cenou cena, za ktorú by sa majetok obstaral v čase, keď sa o ňom účtuje,</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 vlastnými nákladmi</w:t>
            </w:r>
          </w:p>
          <w:p>
            <w:pPr>
              <w:jc w:val="both"/>
              <w:rPr>
                <w:rFonts w:ascii="Times New Roman" w:hAnsi="Times New Roman" w:cs="Times New Roman"/>
                <w:szCs w:val="24"/>
                <w:lang w:val="sk-SK"/>
              </w:rPr>
            </w:pPr>
            <w:r>
              <w:rPr>
                <w:rFonts w:ascii="Times New Roman" w:hAnsi="Times New Roman" w:cs="Times New Roman"/>
                <w:i/>
                <w:color w:val="000000"/>
                <w:szCs w:val="24"/>
                <w:lang w:val="sk-SK"/>
              </w:rPr>
              <w:t>1. pri zásobách vytvorených vlastnou činnosťou priame náklady vynaložené na výrobu alebo inú činnosť, prípadne aj časť nepriamych nákladov, ktorá sa vzťahuje na výrobu alebo na inú činnosť,</w:t>
              <w:br/>
              <w:t>2. pri hmotnom majetku okrem zásob a nehmotnom majetku okrem pohľadávok vytvorenom vlastnou činnosťou priame náklady vynaložené na výrobu alebo inú činnosť a nepriame náklady, ktoré sa vzťahujú na výrobu alebo inú činnosť,</w:t>
              <w:br/>
              <w:t xml:space="preserve"> menovitou hodnotou cena, ktorá je uvedená na peňažných prostriedkoch a ceninách, alebo suma, na ktorú pohľadávka alebo z</w:t>
            </w:r>
            <w:r>
              <w:rPr>
                <w:rFonts w:ascii="Times New Roman" w:hAnsi="Times New Roman" w:cs="Times New Roman"/>
                <w:i/>
                <w:color w:val="000000"/>
                <w:szCs w:val="24"/>
                <w:lang w:val="sk-SK"/>
              </w:rPr>
              <w:t>áväzok znie.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34</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1.(a) V prípade, že národná legislatívapovoľuje vedenie zriaďovacích nákladov v aktívach, musia sa tieto výdaje odpísať najneskôr v priebehu piatich rokov.</w:t>
            </w:r>
          </w:p>
          <w:p>
            <w:pPr>
              <w:pStyle w:val="PlainText"/>
              <w:rPr>
                <w:rFonts w:ascii="Times New Roman" w:hAnsi="Times New Roman" w:cs="Times New Roman"/>
                <w:sz w:val="24"/>
                <w:szCs w:val="24"/>
              </w:rPr>
            </w:pPr>
            <w:r>
              <w:rPr>
                <w:rFonts w:ascii="Times New Roman" w:hAnsi="Times New Roman" w:cs="Times New Roman"/>
                <w:sz w:val="24"/>
                <w:szCs w:val="24"/>
              </w:rPr>
              <w:t>(b) V prípade, že  tieto náklady neboli úplne odpísané, je zakázané akékoľvek rozdeľovanie zisku, pokiaľ výška disponibilných rezervných fondov na tento účel a  zisku z minulých rokov, sa minimálne nerovná výške neamortizovaných nákladov.</w:t>
            </w:r>
          </w:p>
          <w:p>
            <w:pPr>
              <w:pStyle w:val="PlainText"/>
              <w:rPr>
                <w:rFonts w:ascii="Times New Roman" w:hAnsi="Times New Roman" w:cs="Times New Roman"/>
                <w:sz w:val="24"/>
                <w:szCs w:val="24"/>
              </w:rPr>
            </w:pPr>
            <w:r>
              <w:rPr>
                <w:rFonts w:ascii="Times New Roman" w:hAnsi="Times New Roman" w:cs="Times New Roman"/>
                <w:sz w:val="24"/>
                <w:szCs w:val="24"/>
              </w:rPr>
              <w:t>2. Obsah položky 'zriaďovacie náklady' sa musí vysvetliť v prílohe.</w:t>
            </w: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28 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lang w:val="sk-SK"/>
              </w:rPr>
              <w:t>Hmotný majetok okrem zásob odpisuje účtovná jednotka s ohľadom na opotrebovanie zodpovedajúce bežným podmienkam jeho používania. Nehmotný majetok, ktorým sú goodwill, aktivované zriaďovacie náklady a  náklady na vývoj  musí účtovná jednotka odpísať najneskôr do piatich rokov od jeho obstarania. Ak neboli zriaďovacie náklady a náklady na vývoj úplne odpísané, môže účtovná jednotka vyplácať dividendy, podiely a tantiémy iba vtedy, ak úhrnná výška výsledku hospodárenia a  fondov tvorených zo  zisku    určeného na vyplácanie je vyššia ako celková výška neodpísaných zriaďovacích nákladov a nákladov na vývoj. Nehmotný majetok vytvorený vlastnou činnosťou sa neaktivuje okrem zriaďovacích nákladov, softvéru a nákladov na vývoj, ktoré sa aktivujú v súlade s opatrením vydaným podľa § 4 ods. 2.</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zo 31.3. 2003 č. 4455/2003-92, ktorou sa ustanovujú  podrobnos ti o usporiadaní, označovaní a obsahovom vymedzení položiek individuálnej účtovnej závierky a rozsahu údajov určených z individuálnej účtovnej závierky na zverejnenie  pre podnikateľov účtujúcich v sústave podvojného účtovníctva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 xml:space="preserve">.(a) Fixné aktíva sa musia oceniť nákupnými cenami alebo výrobnými nákladmi, bez toho aby to bolo </w:t>
            </w:r>
            <w:r>
              <w:rPr>
                <w:rFonts w:ascii="Times New Roman" w:hAnsi="Times New Roman" w:cs="Times New Roman"/>
                <w:sz w:val="24"/>
                <w:szCs w:val="24"/>
              </w:rPr>
              <w:t>v rozpore s bodmi (b) a (c).</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(b) Nadobúdacie a výrobné náklady fixných aktív  ktorých doba životnosti  je  obmedzená, sa musia znížiť o oprávky, ktoré sa vypočítajú podľa plánovaného odpisu hodnôt takýchto aktív v priebehu ich životnosti .</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(c)(aa) Finančné fixné aktíva môžu byť predmetom opravných položiek</w:t>
            </w:r>
          </w:p>
          <w:p>
            <w:pPr>
              <w:pStyle w:val="PlainText"/>
              <w:rPr>
                <w:rFonts w:ascii="Times New Roman" w:hAnsi="Times New Roman" w:cs="Times New Roman"/>
                <w:sz w:val="24"/>
                <w:szCs w:val="24"/>
              </w:rPr>
            </w:pPr>
            <w:r>
              <w:rPr>
                <w:rFonts w:ascii="Times New Roman" w:hAnsi="Times New Roman" w:cs="Times New Roman"/>
                <w:sz w:val="24"/>
                <w:szCs w:val="24"/>
              </w:rPr>
              <w:t xml:space="preserve"> za  účelom dať týmto prvkom nižšiu hodnotu, ktorá im patrí ku dňu závierky. </w:t>
            </w:r>
          </w:p>
          <w:p>
            <w:pPr>
              <w:pStyle w:val="PlainText"/>
              <w:rPr>
                <w:rFonts w:ascii="Times New Roman" w:hAnsi="Times New Roman" w:cs="Times New Roman"/>
                <w:sz w:val="24"/>
                <w:szCs w:val="24"/>
              </w:rPr>
            </w:pPr>
            <w:r>
              <w:rPr>
                <w:rFonts w:ascii="Times New Roman" w:hAnsi="Times New Roman" w:cs="Times New Roman"/>
                <w:sz w:val="24"/>
                <w:szCs w:val="24"/>
              </w:rPr>
              <w:t>(bb) Či už je  životnosť  fixných aktív časovo obmedzená alebo nie tieto aktíva  musia byť predmetom  opravných položiek s cieľom dať im nižšiu hodnotu ktorá im patrí ku dňu závierky, pokiaľ sa predpokladá, že zníženie ich hodnôt bude trvalé.</w:t>
            </w:r>
          </w:p>
          <w:p>
            <w:pPr>
              <w:pStyle w:val="PlainText"/>
              <w:rPr>
                <w:rFonts w:ascii="Times New Roman" w:hAnsi="Times New Roman" w:cs="Times New Roman"/>
                <w:sz w:val="24"/>
                <w:szCs w:val="24"/>
              </w:rPr>
            </w:pPr>
            <w:r>
              <w:rPr>
                <w:rFonts w:ascii="Times New Roman" w:hAnsi="Times New Roman" w:cs="Times New Roman"/>
                <w:sz w:val="24"/>
                <w:szCs w:val="24"/>
              </w:rPr>
              <w:t xml:space="preserve"> (cc) Oprávky uvedené pod (aa) a (bb)  musia byť vykázané vo výkaze ziskov a strát a samostatne uvedené v prílohe, pokiaľ nie sú samostatne vykázané v účte ziskov a strát.</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(dd) Ocenenie na nižšiu hodnotu, uvedené pod  (aa) a (bb) nemôže byť zachované  ak dôvody na ich precenenie  pominuli.</w:t>
            </w:r>
          </w:p>
          <w:p>
            <w:pPr>
              <w:pStyle w:val="PlainText"/>
              <w:rPr>
                <w:rFonts w:ascii="Times New Roman" w:hAnsi="Times New Roman" w:cs="Times New Roman"/>
                <w:sz w:val="24"/>
                <w:szCs w:val="24"/>
              </w:rPr>
            </w:pPr>
            <w:r>
              <w:rPr>
                <w:rFonts w:ascii="Times New Roman" w:hAnsi="Times New Roman" w:cs="Times New Roman"/>
                <w:sz w:val="24"/>
                <w:szCs w:val="24"/>
              </w:rPr>
              <w:t>(d) Ak boli fixné aktíva predmetom mimoriadnych oprávok iba pre to,že to umožňujú daňové predpisy, musí sa výška oprávok a dôvody uviesť  v prílohe.</w:t>
            </w:r>
          </w:p>
          <w:p>
            <w:pPr>
              <w:pStyle w:val="PlainText"/>
              <w:rPr>
                <w:rFonts w:ascii="Times New Roman" w:hAnsi="Times New Roman" w:cs="Times New Roman"/>
                <w:sz w:val="24"/>
                <w:szCs w:val="24"/>
              </w:rPr>
            </w:pPr>
            <w:r>
              <w:rPr>
                <w:rFonts w:ascii="Times New Roman" w:hAnsi="Times New Roman" w:cs="Times New Roman"/>
                <w:sz w:val="24"/>
                <w:szCs w:val="24"/>
              </w:rPr>
              <w:t>2. Nákupná cena sa vypočíta, keď ku kúpnej cene pridáme aj vedlajšie výdaje.</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 xml:space="preserve">3.(a) Vlastné náklady sa vypočítajú, keď k nákupnej cene surovín a spotrieb pridáme náklady priamo pripočitateľné k príslušnému výrobku. </w:t>
            </w:r>
          </w:p>
          <w:p>
            <w:pPr>
              <w:pStyle w:val="PlainText"/>
              <w:rPr>
                <w:rFonts w:ascii="Times New Roman" w:hAnsi="Times New Roman" w:cs="Times New Roman"/>
                <w:sz w:val="24"/>
                <w:szCs w:val="24"/>
              </w:rPr>
            </w:pPr>
            <w:r>
              <w:rPr>
                <w:rFonts w:ascii="Times New Roman" w:hAnsi="Times New Roman" w:cs="Times New Roman"/>
                <w:sz w:val="24"/>
                <w:szCs w:val="24"/>
              </w:rPr>
              <w:t>(b) Do výrobných nákladov sa môže zahrnúť aj primeraná časť tých nákladov, ktoré sa dajú k jednotlivému výrobku priradiť len nepriamo; tieto náklady musia pripadať na obobie výroby.</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rPr>
                <w:rFonts w:ascii="Times New Roman" w:hAnsi="Times New Roman" w:cs="Times New Roman"/>
                <w:szCs w:val="24"/>
                <w:lang w:val="sk-SK"/>
              </w:rPr>
            </w:pPr>
            <w:r>
              <w:rPr>
                <w:rFonts w:ascii="Times New Roman" w:hAnsi="Times New Roman" w:cs="Times New Roman"/>
                <w:szCs w:val="24"/>
                <w:lang w:val="sk-SK"/>
              </w:rPr>
              <w:t>4. Zahrnutie úrokov z požičaného kapitálu na financovanie výroby fixných aktív sa do vlastných nákladov pripúšťa len vtedy, keď tieto úroky spadajú do obdobia výroby. V tomto prípade musí byť ich zapísanie do aktív uvedené v prílohe.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25 ods.1 pís.a)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pís.b)</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 28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26 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28 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§25 ods.4 pís.c)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Z jednotlivých zložiek majetku a záväzkov sa oceňuje</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 obstarávacou cenou</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1. hmotný majetok s výnimkou hmotného majetku vytvoreného vlastnou činnosťou,</w:t>
              <w:br/>
              <w:t>2. zásoby s výnimkou zásob vytvorených vlastnou činnosťou,</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3. podiely na základnom imaní obchodných spoločností, cenné papiere a deriváty,</w:t>
              <w:br/>
              <w:t>4. pohľadávky pri odplatnom nadobudnutí alebo pohľadávky nadobudnuté vkladom35) do základného imania,</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5. nehmotný majetok s výnimkou nehmotného majetku vytvoreného vlastnou činnosťou,</w:t>
              <w:br/>
              <w:t>6. záväzky pri ich prevzatí,</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vlastnými nákladmi</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1. hmotný majetok vytvorený vlastnou činnosťou,</w:t>
              <w:br/>
              <w:t>2. zásoby vytvorené vlastnou činnosťou,</w:t>
              <w:br/>
              <w:t>3. nehmotný majetok vytvorený vlastnou činnosťou,</w:t>
              <w:br/>
              <w:t>4. príchovky a prírastky zvierat,</w:t>
            </w:r>
          </w:p>
          <w:p>
            <w:pPr>
              <w:jc w:val="both"/>
              <w:rPr>
                <w:rFonts w:ascii="Times New Roman" w:hAnsi="Times New Roman" w:cs="Times New Roman"/>
                <w:szCs w:val="24"/>
                <w:lang w:val="sk-SK"/>
              </w:rPr>
            </w:pP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ak nie je ďalej ustanovené inak, odpisuje hmotný majetok okrem zásob a nehmotný majetok okrem pohľadávok v súlade s účtovnými zásadami a účtovnými metódami, ak osobitný predpis neustanovuje inak.40) Ak ide o zmluvu o výpožičke41) počas doby zabezpečenia záväzku prevodom práva42) alebo ak sa vlastnícke právo k hnuteľným veciam nadobúda na základe prejavu vôle iným spôsobom ako prevzatím veci,43) ako aj v ďalších prípadoch ustanovených osobitnými predpismi, o majetku účtuje a odpisuje ho účtovná jednotka, ktorá ho používa.</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uvedená v odseku 1 je povinná zostaviť si odpisový plán, na základe ktorého vykonáva odpisovanie majetku. Uvedený majetok sa odpisuje len do výšky jeho ocenenia v účtovníctve.</w:t>
            </w:r>
          </w:p>
          <w:p>
            <w:pPr>
              <w:jc w:val="both"/>
              <w:rPr>
                <w:rFonts w:ascii="Times New Roman" w:hAnsi="Times New Roman" w:cs="Times New Roman"/>
                <w:i/>
                <w:color w:val="000000"/>
                <w:szCs w:val="24"/>
                <w:lang w:val="sk-SK"/>
              </w:rPr>
            </w:pP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Predpokladané riziká, straty a zníženia hodnoty (§ 25 ods. 2), ktoré sa týkajú majetku a záväzkov, sa vyjadrujú prostredníctvom rezerv, opravných položiek a odpisov. Rezervy sú záväzky s neurčitým časovým vymedzením alebo výškou. Opravné položky sa vytvárajú pri prechodnom znížení hodnoty majetku; tieto opravné položky sa zrušia, ak zanikne riziko, na ktoré boli vytvorené. Odpisy majetku vyjadrujú trvalé zníženie hodnoty majetku.</w:t>
            </w:r>
          </w:p>
          <w:p>
            <w:pPr>
              <w:jc w:val="both"/>
              <w:rPr>
                <w:rFonts w:ascii="Times New Roman" w:hAnsi="Times New Roman" w:cs="Times New Roman"/>
                <w:i/>
                <w:color w:val="000000"/>
                <w:szCs w:val="24"/>
                <w:lang w:val="sk-SK"/>
              </w:rPr>
            </w:pPr>
          </w:p>
          <w:p>
            <w:pPr>
              <w:jc w:val="both"/>
              <w:rPr>
                <w:rFonts w:ascii="Times New Roman" w:hAnsi="Times New Roman" w:cs="Times New Roman"/>
                <w:i/>
                <w:color w:val="000000"/>
                <w:szCs w:val="24"/>
                <w:lang w:val="sk-SK"/>
              </w:rPr>
            </w:pPr>
          </w:p>
          <w:p>
            <w:pPr>
              <w:jc w:val="both"/>
              <w:rPr>
                <w:rFonts w:ascii="Times New Roman" w:hAnsi="Times New Roman" w:cs="Times New Roman"/>
                <w:b/>
                <w:color w:val="000000"/>
                <w:szCs w:val="24"/>
                <w:lang w:val="sk-SK"/>
              </w:rPr>
            </w:pPr>
            <w:r>
              <w:rPr>
                <w:rFonts w:ascii="Times New Roman" w:hAnsi="Times New Roman" w:cs="Times New Roman"/>
                <w:b/>
                <w:i/>
                <w:color w:val="000000"/>
                <w:szCs w:val="24"/>
                <w:lang w:val="sk-SK"/>
              </w:rPr>
              <w:t>Účtovná jednotka, ak nie je ďalej ustanovené inak, odpisuje hmotný majetok okrem zásob a nehmotný majetok okrem pohľadávok v súlade s účtovnými zásadami a účtovnými metódami, ak osobitný pr</w:t>
            </w:r>
            <w:r>
              <w:rPr>
                <w:rFonts w:ascii="Times New Roman" w:hAnsi="Times New Roman" w:cs="Times New Roman"/>
                <w:b/>
                <w:i/>
                <w:color w:val="000000"/>
                <w:szCs w:val="24"/>
                <w:lang w:val="sk-SK"/>
              </w:rPr>
              <w:t xml:space="preserve">edpis neustanovuje inak. </w:t>
            </w:r>
            <w:r>
              <w:rPr>
                <w:rFonts w:ascii="Times New Roman" w:hAnsi="Times New Roman" w:cs="Times New Roman"/>
                <w:b/>
                <w:color w:val="000000"/>
                <w:szCs w:val="24"/>
                <w:lang w:val="sk-SK"/>
              </w:rPr>
              <w:t>Ak ide o zmluvu o výpožičke  počas doby zabezpečenia záväzku prevodom práva  alebo ak sa vlastnícke právo k veciam nadobúda  iným spôsobom ako prevzatím veci, ako aj v ďalších prípadoch ustanovených osobitnými predpismi, o majetku účtuje a odpisuje ho účtovná jednotka, ktorá ho používa.</w:t>
            </w: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b/>
                <w:color w:val="000000"/>
                <w:szCs w:val="24"/>
                <w:lang w:val="sk-SK"/>
              </w:rPr>
            </w:pP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Na účely tohto zákona sa rozumie </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vlastnými nákladmi</w:t>
            </w:r>
          </w:p>
          <w:p>
            <w:pPr>
              <w:jc w:val="both"/>
              <w:rPr>
                <w:rFonts w:ascii="Times New Roman" w:hAnsi="Times New Roman" w:cs="Times New Roman"/>
                <w:i/>
                <w:color w:val="000000"/>
                <w:szCs w:val="24"/>
                <w:lang w:val="sk-SK"/>
              </w:rPr>
            </w:pPr>
            <w:r>
              <w:rPr>
                <w:rFonts w:ascii="Times New Roman" w:hAnsi="Times New Roman" w:cs="Times New Roman"/>
                <w:i/>
                <w:color w:val="000000"/>
                <w:szCs w:val="24"/>
                <w:lang w:val="sk-SK"/>
              </w:rPr>
              <w:t>1. pri zásobách vytvorených vlastnou činnosťou priame náklady vynaložené na výrobu alebo inú činnosť, prípadne aj časť nepriamych nákladov, ktorá sa vzťahuje na výrobu alebo na inú činnosť,</w:t>
            </w:r>
          </w:p>
          <w:p>
            <w:pPr>
              <w:jc w:val="both"/>
              <w:rPr>
                <w:rFonts w:ascii="Times New Roman" w:hAnsi="Times New Roman" w:cs="Times New Roman"/>
                <w:i/>
                <w:szCs w:val="24"/>
                <w:lang w:val="sk-SK"/>
              </w:rPr>
            </w:pPr>
            <w:r>
              <w:rPr>
                <w:rFonts w:ascii="Times New Roman" w:hAnsi="Times New Roman" w:cs="Times New Roman"/>
                <w:i/>
                <w:color w:val="000000"/>
                <w:szCs w:val="24"/>
                <w:lang w:val="sk-SK"/>
              </w:rPr>
              <w:t>2. pri hmotnom majetku okrem zásob a nehmotnom majetku okrem pohľadávok vytvorenom vlastnou činnosťou priame náklady vynaložené na výrobu alebo inú činnosť a nepriame náklady, ktoré sa vzťahujú na výrobu alebo inú činnosť,</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č. 4455/ 2003-92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4455/2003-92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SR neaplikuje</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37</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1. Článok 34 platí analogicky aj pre položku 'náklady na výskum a vývoj'. Vo výnimočných prípadoch ale môžu členské štáty  môžu povoliť výnimku z článku 34 (l)(a). V tom prípade môžu povoliť aj výnimky z článku 34 (l)(b). Tieto výnimky sa musia uviesť a primerane zdôvodniť v prílohe.</w:t>
            </w:r>
          </w:p>
          <w:p>
            <w:pPr>
              <w:pStyle w:val="PlainText"/>
              <w:rPr>
                <w:rFonts w:ascii="Times New Roman" w:hAnsi="Times New Roman" w:cs="Times New Roman"/>
                <w:sz w:val="24"/>
                <w:szCs w:val="24"/>
              </w:rPr>
            </w:pPr>
            <w:r>
              <w:rPr>
                <w:rFonts w:ascii="Times New Roman" w:hAnsi="Times New Roman" w:cs="Times New Roman"/>
                <w:sz w:val="24"/>
                <w:szCs w:val="24"/>
              </w:rPr>
              <w:t>2. Článok 34 (l)(a) sa aplikuje pri položke „Goodwill" (dobré meno firmy). Členské štáty však môžu spoločnostiam povoliť, aby  odpisovali goodwill na obmedzené obdobie piatich rokov s podmienkou, že toto obdobie nepresiahne dobu životnosti týchto aktív a používania tejto hodno</w:t>
            </w:r>
            <w:r>
              <w:rPr>
                <w:rFonts w:ascii="Times New Roman" w:hAnsi="Times New Roman" w:cs="Times New Roman"/>
                <w:sz w:val="24"/>
                <w:szCs w:val="24"/>
              </w:rPr>
              <w:t>ty bude uvedené a a zdôvodnené v prílohe.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28 ods.4</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lang w:val="sk-SK"/>
              </w:rPr>
              <w:t>Hmotný majetok okrem zásob odpisuje účtovná jednotka s ohľadom na opotrebovanie zodpovedajúce bežným podmienkam jeho používania. Nehmotný majetok, ktorým sú goodwill, aktivované zriaďovacie náklady a  náklady na vývoj  musí účtovná jednotka odpísať najneskôr do piatich rokov od jeho obstarania. Ak neboli zriaďovacie náklady a náklady na vývoj úplne odpísané, môže účtovná jednotka vyplácať dividendy, podiely a tantiémy iba vtedy, ak úhrnná výška výsledku hospodárenia a  fondov tvorených zo  zisku    určeného na vyplácanie je vyššia ako celková výška neodpísaných zriaďovacích nákladov a nákladov na vývoj. Nehmotný majetok vytvorený vlastnou činnosťou sa neaktivuje okrem zriaďovacích nákladov, softvéru a nákladov na vývoj, ktoré sa aktivujú v súlade s opatrením vydaným podľa § 4 ods. 2.</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40</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numPr>
                <w:ilvl w:val="0"/>
                <w:numId w:val="22"/>
              </w:numPr>
              <w:tabs>
                <w:tab w:val="left" w:pos="360"/>
              </w:tabs>
              <w:rPr>
                <w:rFonts w:ascii="Times New Roman" w:hAnsi="Times New Roman" w:cs="Times New Roman"/>
                <w:sz w:val="24"/>
                <w:szCs w:val="24"/>
              </w:rPr>
            </w:pPr>
            <w:r>
              <w:rPr>
                <w:rFonts w:ascii="Times New Roman" w:hAnsi="Times New Roman" w:cs="Times New Roman"/>
                <w:sz w:val="24"/>
                <w:szCs w:val="24"/>
              </w:rPr>
              <w:t>Členské štáty môžu povoliť, aby sa nákupná cena alebo výrobné náklady  zásob a tovaru rovnakej kategórie ako aj všetkých zameniteľných položiek vrátane finančných investícií vypočítavali buď na základe váženého priemeru cien alebo metódou 'First in-First out (Fifo)" alebo 'Last in-last out (Lifo)', alebo inou analogickou metódou.</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2. Pokiaľ sa súvahové ocenenie vykonané na základe niektorej z metód uvedených v odseku (1) ku dňu závierky významne líši od ocenenia na základe poslednej známej trhovej ceny pred súvahovým dňom, musí sa výška tohto rozdielu uviesť v poznámke k účtom  celkovo po  skupinách.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25 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b/>
                <w:szCs w:val="24"/>
                <w:lang w:val="sk-SK"/>
              </w:rPr>
            </w:pPr>
            <w:r>
              <w:rPr>
                <w:rFonts w:ascii="Times New Roman" w:hAnsi="Times New Roman" w:cs="Times New Roman"/>
                <w:b/>
                <w:lang w:val="sk-SK"/>
              </w:rPr>
              <w:t xml:space="preserve">Ak je to v súlade s požiadavkou verného a pravdivého zobrazenia podľa § 7 ods. 1 pri majetku, ktorým je rovnaký druh zásob vedený na sklade, rovnaký  druh cenných papierov  vedený v portfóliu  účtovnej jednotky a pri  peňažných prostriedkoch v  rovnakej cudzej mene v pokladnici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w:t>
            </w:r>
            <w:r>
              <w:rPr>
                <w:rFonts w:ascii="Times New Roman" w:hAnsi="Times New Roman" w:cs="Times New Roman"/>
                <w:i/>
                <w:color w:val="000000"/>
                <w:szCs w:val="24"/>
                <w:lang w:val="sk-SK"/>
              </w:rPr>
              <w:t>Pri majetku, ktorým je rovnaký druh zásob vedený na sklade alebo rovnaký druh cenných papierov vedený v portfóliu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Rovnaký druh cenného papiera možno uvedeným spôsobom oceniť len v prípade, ak sú od rovnakého emitenta a znejú na rovnakú menu.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b/>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4455/2003-92</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1. V prílohe sa okrem údajov vyplývajúcich z ostatný</w:t>
            </w:r>
            <w:r>
              <w:rPr>
                <w:rFonts w:ascii="Times New Roman" w:hAnsi="Times New Roman" w:cs="Times New Roman"/>
                <w:sz w:val="24"/>
                <w:szCs w:val="24"/>
              </w:rPr>
              <w:t>ch ustanovení tejto smernice uvádzajú údaje o:</w:t>
            </w:r>
          </w:p>
          <w:p>
            <w:pPr>
              <w:pStyle w:val="PlainText"/>
              <w:rPr>
                <w:rFonts w:ascii="Times New Roman" w:hAnsi="Times New Roman" w:cs="Times New Roman"/>
                <w:sz w:val="24"/>
                <w:szCs w:val="24"/>
              </w:rPr>
            </w:pPr>
            <w:r>
              <w:rPr>
                <w:rFonts w:ascii="Times New Roman" w:hAnsi="Times New Roman" w:cs="Times New Roman"/>
                <w:sz w:val="24"/>
                <w:szCs w:val="24"/>
              </w:rPr>
              <w:t>(l) metódach oceňovania použitých pre rôzne položky účtovnej závierky a o metóde výpočtu oprávok. Pri tých položkách účtovnej závierky, ktoré sú alebo pôvodne boli vyjadrené v cudzej mene sa musí  uviesť, na akom základe sa prepočítali na domácu menu;</w:t>
            </w:r>
          </w:p>
          <w:p>
            <w:pPr>
              <w:pStyle w:val="PlainText"/>
              <w:rPr>
                <w:rFonts w:ascii="Times New Roman" w:hAnsi="Times New Roman" w:cs="Times New Roman"/>
                <w:sz w:val="24"/>
                <w:szCs w:val="24"/>
              </w:rPr>
            </w:pPr>
            <w:r>
              <w:rPr>
                <w:rFonts w:ascii="Times New Roman" w:hAnsi="Times New Roman" w:cs="Times New Roman"/>
                <w:sz w:val="24"/>
                <w:szCs w:val="24"/>
              </w:rPr>
              <w:t xml:space="preserve">(2) názve a sídle podnikov, v ktorých spoločnosť sama alebo  prostredníctvom inej osoby vystupujúcej v jej mene v prospech tejto spoločnosti drží prinajmenšom  určité percento kapitálu, ktoré môžu členské štáty stanoviť do výšky maximálne 20 %, o časti tohto podielu  kapitálu ako aj o  výške  kapitálu a rezervných fondov a výške zisku alebo straty za posledné účtovné obdobie, za ktoré príslušný podnik zriadil tieto účty. Tieto údaje sa nemusia uviesť vtedy, ak sú z hľadiska cieľov článku 2 odseku (3) zanedbateľné. Udaje o kapitáli a rezervných fondov a zisku alebo strate  sa nemusia uviesť tiež vtedy, ak príslušný podnik svoju súvahu nezverejňuje a ak  menej ako  50 percent svojho kapitálu (priamo  alebo nepriamo) má v držbe spoločnosti;  </w:t>
            </w:r>
          </w:p>
          <w:p>
            <w:pPr>
              <w:pStyle w:val="PlainText"/>
              <w:rPr>
                <w:rFonts w:ascii="Times New Roman" w:hAnsi="Times New Roman" w:cs="Times New Roman"/>
                <w:sz w:val="24"/>
                <w:szCs w:val="24"/>
              </w:rPr>
            </w:pPr>
            <w:r>
              <w:rPr>
                <w:rFonts w:ascii="Times New Roman" w:hAnsi="Times New Roman" w:cs="Times New Roman"/>
                <w:sz w:val="24"/>
                <w:szCs w:val="24"/>
              </w:rPr>
              <w:t>(3) počte a nominálnej hodnote, prípadne ak nominálna hodnota nie je známa, paritnej zúčtovacej hodnote upísaných akcií  počas účtovného obdobia v rámci autorizovaného  kapitálu bez toho, aby boli dotknuté ustanovenia o výške tohto kapitálu včlánku 2 odseku (l)(e) smernice 68/151/EHS a článku 2 (c) smernice 77/91/EHS;</w:t>
            </w:r>
          </w:p>
          <w:p>
            <w:pPr>
              <w:pStyle w:val="PlainText"/>
              <w:rPr>
                <w:rFonts w:ascii="Times New Roman" w:hAnsi="Times New Roman" w:cs="Times New Roman"/>
                <w:sz w:val="24"/>
                <w:szCs w:val="24"/>
              </w:rPr>
            </w:pPr>
            <w:r>
              <w:rPr>
                <w:rFonts w:ascii="Times New Roman" w:hAnsi="Times New Roman" w:cs="Times New Roman"/>
                <w:sz w:val="24"/>
                <w:szCs w:val="24"/>
              </w:rPr>
              <w:t>(4) počte a nominálnej hodnote, alebo paritnej zúčtovacej hodnote, ak nominálna hodnota nie je známa, každej kategórie ak je  takých kategórií viac;</w:t>
            </w:r>
          </w:p>
          <w:p>
            <w:pPr>
              <w:pStyle w:val="PlainText"/>
              <w:rPr>
                <w:rFonts w:ascii="Times New Roman" w:hAnsi="Times New Roman" w:cs="Times New Roman"/>
                <w:sz w:val="24"/>
                <w:szCs w:val="24"/>
              </w:rPr>
            </w:pPr>
            <w:r>
              <w:rPr>
                <w:rFonts w:ascii="Times New Roman" w:hAnsi="Times New Roman" w:cs="Times New Roman"/>
                <w:sz w:val="24"/>
                <w:szCs w:val="24"/>
              </w:rPr>
              <w:t>(5) existencii podielových cenných papierov, konvertibilných dlhopisov alebo  podobných cenných papierov alebo práv,  s uvedením ich počtu a rozsahu práv, ktoré udeľujú;</w:t>
            </w:r>
          </w:p>
          <w:p>
            <w:pPr>
              <w:pStyle w:val="PlainText"/>
              <w:rPr>
                <w:rFonts w:ascii="Times New Roman" w:hAnsi="Times New Roman" w:cs="Times New Roman"/>
                <w:sz w:val="24"/>
                <w:szCs w:val="24"/>
              </w:rPr>
            </w:pPr>
            <w:r>
              <w:rPr>
                <w:rFonts w:ascii="Times New Roman" w:hAnsi="Times New Roman" w:cs="Times New Roman"/>
                <w:sz w:val="24"/>
                <w:szCs w:val="24"/>
              </w:rPr>
              <w:t>(6) výške záväzkov spoločnosti so zostatkovou dobou splatnosti presahujúcou 5 rokov, ako i o výške všetkých čistých záväzkov spoločnosti krytých plnohodnotnou zárukou danou touto spoločnosťou s uvedením povahy a a formy záruky. Tieto údaje sa musia uviesť osobitne pre položku každého veriteľa v súlade  so štruktúrou podľa článkov 9 a 10;</w:t>
            </w:r>
          </w:p>
          <w:p>
            <w:pPr>
              <w:pStyle w:val="PlainText"/>
              <w:rPr>
                <w:rFonts w:ascii="Times New Roman" w:hAnsi="Times New Roman" w:cs="Times New Roman"/>
                <w:sz w:val="24"/>
                <w:szCs w:val="24"/>
              </w:rPr>
            </w:pPr>
            <w:r>
              <w:rPr>
                <w:rFonts w:ascii="Times New Roman" w:hAnsi="Times New Roman" w:cs="Times New Roman"/>
                <w:sz w:val="24"/>
                <w:szCs w:val="24"/>
              </w:rPr>
              <w:t>(7) celkovej výške všetkých finančných záväzkov, ktoré nie sú uvedené v súvahe, ak je tento údaj významný pre posúdenie finančnej situácie. Osobitne sa pritom musia uviesť záväzky týkajúce sa dôchodkov ako aj záväzky voči afiliáciám;</w:t>
            </w:r>
          </w:p>
          <w:p>
            <w:pPr>
              <w:pStyle w:val="PlainText"/>
              <w:rPr>
                <w:rFonts w:ascii="Times New Roman" w:hAnsi="Times New Roman" w:cs="Times New Roman"/>
                <w:sz w:val="24"/>
                <w:szCs w:val="24"/>
              </w:rPr>
            </w:pPr>
            <w:r>
              <w:rPr>
                <w:rFonts w:ascii="Times New Roman" w:hAnsi="Times New Roman" w:cs="Times New Roman"/>
                <w:sz w:val="24"/>
                <w:szCs w:val="24"/>
              </w:rPr>
              <w:t xml:space="preserve"> (8) členení čistého obratu v zmysle  článku 28 podľa kategórie činnosti a podľa geografického umiestnenia trhu v prípade, že sa tieto kategórie a trhy z hľadiska organizácie predaja výrobkov a poskytovania služieb vyplývajúcich z bežnej činnosti poločnosti navzájom výrazne odlišujú;</w:t>
            </w:r>
          </w:p>
          <w:p>
            <w:pPr>
              <w:pStyle w:val="PlainText"/>
              <w:rPr>
                <w:rFonts w:ascii="Times New Roman" w:hAnsi="Times New Roman" w:cs="Times New Roman"/>
                <w:sz w:val="24"/>
                <w:szCs w:val="24"/>
              </w:rPr>
            </w:pPr>
            <w:r>
              <w:rPr>
                <w:rFonts w:ascii="Times New Roman" w:hAnsi="Times New Roman" w:cs="Times New Roman"/>
                <w:sz w:val="24"/>
                <w:szCs w:val="24"/>
              </w:rPr>
              <w:t xml:space="preserve">(9) priemernom počte pracovníkov počas účtovného obdobia  podľa jednotlivých kategórií ako aj personálnych nákladoch za účtovné obdobie v súlade s článkom 23 (6), ak sa neuvádzajú samostatne vo výkaze ziskov a strát; </w:t>
            </w:r>
          </w:p>
          <w:p>
            <w:pPr>
              <w:pStyle w:val="PlainText"/>
              <w:rPr>
                <w:rFonts w:ascii="Times New Roman" w:hAnsi="Times New Roman" w:cs="Times New Roman"/>
                <w:sz w:val="24"/>
                <w:szCs w:val="24"/>
              </w:rPr>
            </w:pPr>
            <w:r>
              <w:rPr>
                <w:rFonts w:ascii="Times New Roman" w:hAnsi="Times New Roman" w:cs="Times New Roman"/>
                <w:sz w:val="24"/>
                <w:szCs w:val="24"/>
              </w:rPr>
              <w:t xml:space="preserve">(10) o rozsahu, v ktorom bol výpočet zisku alebo straty za finančný rok ovplyvnený ocenením položiek, ktoré boli prevedené derogáciou zásad stanovených v článkoch 31 a </w:t>
            </w:r>
            <w:r>
              <w:rPr>
                <w:rFonts w:ascii="Times New Roman" w:hAnsi="Times New Roman" w:cs="Times New Roman"/>
                <w:b/>
                <w:sz w:val="24"/>
                <w:szCs w:val="24"/>
              </w:rPr>
              <w:t>34 až 42</w:t>
            </w:r>
            <w:r>
              <w:rPr>
                <w:rFonts w:ascii="Times New Roman" w:hAnsi="Times New Roman" w:cs="Times New Roman"/>
                <w:sz w:val="24"/>
                <w:szCs w:val="24"/>
              </w:rPr>
              <w:t xml:space="preserve"> v priebehu tohto účtovného obdobia alebo  predchádzajúceho účtovného obdobia s cieľom dosiahnuť daňové úľavy. Ak takéto ocenenie značne ovplyvní budúce daňové zaťaženie, musia sa o tej skutočnosti uviesť podrobnosti;</w:t>
            </w:r>
          </w:p>
          <w:p>
            <w:pPr>
              <w:pStyle w:val="PlainText"/>
              <w:rPr>
                <w:rFonts w:ascii="Times New Roman" w:hAnsi="Times New Roman" w:cs="Times New Roman"/>
                <w:sz w:val="24"/>
                <w:szCs w:val="24"/>
              </w:rPr>
            </w:pPr>
            <w:r>
              <w:rPr>
                <w:rFonts w:ascii="Times New Roman" w:hAnsi="Times New Roman" w:cs="Times New Roman"/>
                <w:sz w:val="24"/>
                <w:szCs w:val="24"/>
              </w:rPr>
              <w:t>(11) rozdiely medzi daňovým zaťažením pripadajúcim na tento finančný rok alebo predchádzajúce finančné roky a už zaplatenými daňami za tieto účtovné obdobia  v prípade, že je tento rozdiel pre budúce daňové zaťaženie významný. Táto suma sa môže uviesť aj v kumulovanej  čiastke v súvahe pod zvláštnou položkou s príslušným záhlavím;</w:t>
            </w:r>
          </w:p>
          <w:p>
            <w:pPr>
              <w:pStyle w:val="PlainText"/>
              <w:rPr>
                <w:rFonts w:ascii="Times New Roman" w:hAnsi="Times New Roman" w:cs="Times New Roman"/>
                <w:sz w:val="24"/>
                <w:szCs w:val="24"/>
              </w:rPr>
            </w:pPr>
            <w:r>
              <w:rPr>
                <w:rFonts w:ascii="Times New Roman" w:hAnsi="Times New Roman" w:cs="Times New Roman"/>
                <w:sz w:val="24"/>
                <w:szCs w:val="24"/>
              </w:rPr>
              <w:t xml:space="preserve"> (12) výške stanovených odmien za účtovné obdobie členom správnych, riadiacich a dozorných orgánov z titulu ich funkcie,  ako aj o výške vzniknutých  záväzkov týkajúcich sa dôchodkov bývalých členov uvedených orgánov. Tieto údaje sa musia uviesť za každú skupinu týchto osôb osobitne;</w:t>
            </w:r>
          </w:p>
          <w:p>
            <w:pPr>
              <w:pStyle w:val="PlainText"/>
              <w:rPr>
                <w:rFonts w:ascii="Times New Roman" w:hAnsi="Times New Roman" w:cs="Times New Roman"/>
                <w:sz w:val="24"/>
                <w:szCs w:val="24"/>
              </w:rPr>
            </w:pPr>
            <w:r>
              <w:rPr>
                <w:rFonts w:ascii="Times New Roman" w:hAnsi="Times New Roman" w:cs="Times New Roman"/>
                <w:sz w:val="24"/>
                <w:szCs w:val="24"/>
              </w:rPr>
              <w:t xml:space="preserve">(13) výške záloh a úverov poskytnutých členom správnych, riadiacich a dozorných orgánov, s uvedením úrokovej sadzby, podstatných podmienok a  výške zaplatených splátok, ako aj  o záväzkoch prijatých na ich účet ako určitých druhov záruk s uvedením celkových údajov pre každú kategóriu. </w:t>
            </w:r>
          </w:p>
          <w:p>
            <w:pPr>
              <w:pStyle w:val="PlainText"/>
              <w:rPr>
                <w:rFonts w:ascii="Times New Roman" w:hAnsi="Times New Roman" w:cs="Times New Roman"/>
                <w:sz w:val="24"/>
                <w:szCs w:val="24"/>
              </w:rPr>
            </w:pPr>
            <w:r>
              <w:rPr>
                <w:rFonts w:ascii="Times New Roman" w:hAnsi="Times New Roman" w:cs="Times New Roman"/>
                <w:sz w:val="24"/>
                <w:szCs w:val="24"/>
              </w:rPr>
              <w:t>2.  Členské štáty  nesmú používať odsek 1 bod (2) pri finančných holdingových spoločnostiach v zmysle článku 5 odseku 3 a to až do následnej koordinácie.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18 ods.5</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i/>
                <w:sz w:val="24"/>
                <w:szCs w:val="24"/>
              </w:rPr>
            </w:pPr>
            <w:r>
              <w:rPr>
                <w:rFonts w:ascii="Times New Roman" w:hAnsi="Times New Roman" w:cs="Times New Roman"/>
                <w:sz w:val="24"/>
                <w:szCs w:val="24"/>
              </w:rPr>
              <w:t>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4455/2003-92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Čl. 46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numPr>
                <w:ilvl w:val="0"/>
                <w:numId w:val="23"/>
              </w:numPr>
              <w:tabs>
                <w:tab w:val="left" w:pos="360"/>
              </w:tabs>
              <w:rPr>
                <w:rFonts w:ascii="Times New Roman" w:hAnsi="Times New Roman" w:cs="Times New Roman"/>
                <w:sz w:val="24"/>
                <w:szCs w:val="24"/>
              </w:rPr>
            </w:pPr>
            <w:r>
              <w:rPr>
                <w:rFonts w:ascii="Times New Roman" w:hAnsi="Times New Roman" w:cs="Times New Roman"/>
                <w:sz w:val="24"/>
                <w:szCs w:val="24"/>
              </w:rPr>
              <w:t>Výročná správa  musí obsahovať verný výklad o vývoji  činnosti spoločnosti  a  jej pozícii.</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numPr>
                <w:ilvl w:val="0"/>
                <w:numId w:val="23"/>
              </w:numPr>
              <w:tabs>
                <w:tab w:val="left" w:pos="360"/>
              </w:tabs>
              <w:rPr>
                <w:rFonts w:ascii="Times New Roman" w:hAnsi="Times New Roman" w:cs="Times New Roman"/>
                <w:sz w:val="24"/>
                <w:szCs w:val="24"/>
              </w:rPr>
            </w:pPr>
            <w:r>
              <w:rPr>
                <w:rFonts w:ascii="Times New Roman" w:hAnsi="Times New Roman" w:cs="Times New Roman"/>
                <w:sz w:val="24"/>
                <w:szCs w:val="24"/>
              </w:rPr>
              <w:t>Správa musí taktiež obsahovať údaje:</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r>
              <w:rPr>
                <w:rFonts w:ascii="Times New Roman" w:hAnsi="Times New Roman" w:cs="Times New Roman"/>
                <w:sz w:val="24"/>
                <w:szCs w:val="24"/>
              </w:rPr>
              <w:t>(a) o udalostiach osobitného významu, ktoré nastali po skončení účtovného obdobia,</w:t>
            </w:r>
          </w:p>
          <w:p>
            <w:pPr>
              <w:pStyle w:val="PlainText"/>
              <w:rPr>
                <w:rFonts w:ascii="Times New Roman" w:hAnsi="Times New Roman" w:cs="Times New Roman"/>
                <w:sz w:val="24"/>
                <w:szCs w:val="24"/>
              </w:rPr>
            </w:pPr>
            <w:r>
              <w:rPr>
                <w:rFonts w:ascii="Times New Roman" w:hAnsi="Times New Roman" w:cs="Times New Roman"/>
                <w:sz w:val="24"/>
                <w:szCs w:val="24"/>
              </w:rPr>
              <w:t>(b) o predpokladanom vývoji spoločnosti,</w:t>
            </w:r>
          </w:p>
          <w:p>
            <w:pPr>
              <w:pStyle w:val="PlainText"/>
              <w:rPr>
                <w:rFonts w:ascii="Times New Roman" w:hAnsi="Times New Roman" w:cs="Times New Roman"/>
                <w:sz w:val="24"/>
                <w:szCs w:val="24"/>
              </w:rPr>
            </w:pPr>
            <w:r>
              <w:rPr>
                <w:rFonts w:ascii="Times New Roman" w:hAnsi="Times New Roman" w:cs="Times New Roman"/>
                <w:sz w:val="24"/>
                <w:szCs w:val="24"/>
              </w:rPr>
              <w:t xml:space="preserve">(c) o činnosti v oblasti výskumu a vývoja, </w:t>
            </w:r>
          </w:p>
          <w:p>
            <w:pPr>
              <w:pStyle w:val="PlainText"/>
              <w:rPr>
                <w:rFonts w:ascii="Times New Roman" w:hAnsi="Times New Roman" w:cs="Times New Roman"/>
                <w:sz w:val="24"/>
                <w:szCs w:val="24"/>
              </w:rPr>
            </w:pPr>
            <w:r>
              <w:rPr>
                <w:rFonts w:ascii="Times New Roman" w:hAnsi="Times New Roman" w:cs="Times New Roman"/>
                <w:sz w:val="24"/>
                <w:szCs w:val="24"/>
              </w:rPr>
              <w:t>(d) o nadobudnutí vlastných akcií, uvedené v článku 22 ods. (2) smernice 77/91/EHS.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8 ods.</w:t>
            </w:r>
            <w:r>
              <w:rPr>
                <w:rFonts w:ascii="Times New Roman" w:hAnsi="Times New Roman" w:cs="Times New Roman"/>
                <w:szCs w:val="24"/>
                <w:lang w:val="sk-SK"/>
              </w:rPr>
              <w:t>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ind w:right="-70"/>
              <w:rPr>
                <w:rFonts w:ascii="Times New Roman" w:hAnsi="Times New Roman" w:cs="Times New Roman"/>
                <w:lang w:val="sk-SK"/>
              </w:rPr>
            </w:pPr>
            <w:r>
              <w:rPr>
                <w:rFonts w:ascii="Times New Roman" w:hAnsi="Times New Roman" w:cs="Times New Roman"/>
                <w:szCs w:val="24"/>
                <w:lang w:val="sk-SK"/>
              </w:rPr>
              <w:t xml:space="preserve">§ 20 </w:t>
            </w:r>
            <w:r>
              <w:rPr>
                <w:rFonts w:ascii="Times New Roman" w:hAnsi="Times New Roman" w:cs="Times New Roman"/>
                <w:lang w:val="sk-SK"/>
              </w:rPr>
              <w:t xml:space="preserve">ods.1 </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 xml:space="preserve">ods.2 </w:t>
            </w:r>
          </w:p>
          <w:p>
            <w:pPr>
              <w:ind w:right="-70"/>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 xml:space="preserve">ods.3 </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 xml:space="preserve">ods.4 </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 xml:space="preserve">ods.5 </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rPr>
                <w:rFonts w:ascii="Times New Roman" w:hAnsi="Times New Roman" w:cs="Times New Roman"/>
                <w:szCs w:val="24"/>
                <w:lang w:val="sk-SK"/>
              </w:rPr>
            </w:pP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Účtovníctvo účtovnej jednotky je úplné, ak účtovná jednotka zaúčtovala v účtovnom období v účtovných knihách všetky účtovné prípady podľa § 3 a za toto účtovné obdobie zostavila individuálnu účtovnú závierku, prípadne konsolidovanú účtovnú závierku, vyhotovila výročnú správu podľa § 20, prípadne konsolidovanú výročnú správu, zverejnila údaje podľa § 21 a má o týchto skutočnostiach všetky účtovné </w:t>
            </w:r>
            <w:r>
              <w:rPr>
                <w:rFonts w:ascii="Times New Roman" w:hAnsi="Times New Roman" w:cs="Times New Roman"/>
                <w:i/>
                <w:color w:val="000000"/>
                <w:sz w:val="24"/>
                <w:szCs w:val="24"/>
              </w:rPr>
              <w:t>záznamy.</w:t>
            </w:r>
          </w:p>
          <w:p>
            <w:pPr>
              <w:pStyle w:val="FootnoteText"/>
              <w:rPr>
                <w:rFonts w:ascii="Times New Roman" w:hAnsi="Times New Roman" w:cs="Times New Roman"/>
                <w:i/>
                <w:color w:val="000000"/>
                <w:sz w:val="24"/>
                <w:szCs w:val="24"/>
              </w:rPr>
            </w:pPr>
          </w:p>
          <w:p>
            <w:pPr>
              <w:rPr>
                <w:rFonts w:ascii="Times New Roman" w:hAnsi="Times New Roman" w:cs="Times New Roman"/>
                <w:i/>
                <w:szCs w:val="24"/>
                <w:lang w:val="sk-SK"/>
              </w:rPr>
            </w:pPr>
            <w:r>
              <w:rPr>
                <w:rFonts w:ascii="Times New Roman" w:hAnsi="Times New Roman" w:cs="Times New Roman"/>
                <w:i/>
                <w:color w:val="000000"/>
                <w:szCs w:val="24"/>
                <w:lang w:val="sk-SK"/>
              </w:rPr>
              <w:t xml:space="preserve">Účtovná jednotka, ktorá musí mať účtovnú závierku overenú audítorom podľa § 19, je povinná vyhotovovať výročnú správu, </w:t>
            </w:r>
            <w:r>
              <w:rPr>
                <w:rFonts w:ascii="Times New Roman" w:hAnsi="Times New Roman" w:cs="Times New Roman"/>
                <w:b/>
                <w:lang w:val="sk-SK"/>
              </w:rPr>
              <w:t>ktorej  súlad s účtovnou závierkou zostavenou za to isté účtovné obdobie musí byť overený</w:t>
            </w:r>
            <w:r>
              <w:rPr>
                <w:rFonts w:ascii="Times New Roman" w:hAnsi="Times New Roman" w:cs="Times New Roman"/>
                <w:i/>
                <w:color w:val="000000"/>
                <w:szCs w:val="24"/>
                <w:lang w:val="sk-SK"/>
              </w:rPr>
              <w:t xml:space="preserve"> audítorom, s výnimkou výročnej správy podľa osobitného predpisu. Výročná správa obsahuje účtovnú závierku za účtovné obdobie, za ktoré sa vyhotovuje výročná správa, a správu audítora k tejto účtovnej závierke, ak osobitný predpis neustanovuje inak, a najmä informácie o</w:t>
            </w:r>
          </w:p>
          <w:p>
            <w:pPr>
              <w:rPr>
                <w:rFonts w:ascii="Times New Roman" w:hAnsi="Times New Roman" w:cs="Times New Roman"/>
                <w:b/>
                <w:lang w:val="sk-SK"/>
              </w:rPr>
            </w:pPr>
            <w:r>
              <w:rPr>
                <w:rFonts w:ascii="Times New Roman" w:hAnsi="Times New Roman" w:cs="Times New Roman"/>
                <w:b/>
                <w:lang w:val="sk-SK"/>
              </w:rPr>
              <w:t>a) 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pPr>
              <w:rPr>
                <w:rFonts w:ascii="Times New Roman" w:hAnsi="Times New Roman" w:cs="Times New Roman"/>
                <w:b/>
                <w:i/>
                <w:szCs w:val="24"/>
                <w:lang w:val="sk-SK"/>
              </w:rPr>
            </w:pPr>
            <w:r>
              <w:rPr>
                <w:rFonts w:ascii="Times New Roman" w:hAnsi="Times New Roman" w:cs="Times New Roman"/>
                <w:i/>
                <w:color w:val="000000"/>
                <w:szCs w:val="24"/>
                <w:lang w:val="sk-SK"/>
              </w:rPr>
              <w:t>b)udalostiach osobitného významu, ktoré nastali po skončení účtovného obdobia, za ktoré sa vyhotovuje výročná správa,</w:t>
              <w:br/>
              <w:t>c) predpokladanom budúcom vývoji činnosti účtovnej jednotky,</w:t>
              <w:br/>
              <w:t xml:space="preserve">d) </w:t>
            </w:r>
            <w:r>
              <w:rPr>
                <w:rFonts w:ascii="Times New Roman" w:hAnsi="Times New Roman" w:cs="Times New Roman"/>
                <w:b/>
                <w:color w:val="000000"/>
                <w:szCs w:val="24"/>
                <w:lang w:val="sk-SK"/>
              </w:rPr>
              <w:t xml:space="preserve">nákladoch </w:t>
            </w:r>
            <w:r>
              <w:rPr>
                <w:rFonts w:ascii="Times New Roman" w:hAnsi="Times New Roman" w:cs="Times New Roman"/>
                <w:i/>
                <w:color w:val="000000"/>
                <w:szCs w:val="24"/>
                <w:lang w:val="sk-SK"/>
              </w:rPr>
              <w:t>na činnosť v oblasti výskumu a vývoja,</w:t>
              <w:br/>
              <w:t xml:space="preserve">e) </w:t>
            </w:r>
            <w:r>
              <w:rPr>
                <w:rFonts w:ascii="Times New Roman" w:hAnsi="Times New Roman" w:cs="Times New Roman"/>
                <w:b/>
                <w:lang w:val="sk-SK"/>
              </w:rPr>
              <w:t>nadobúdaní</w:t>
            </w:r>
            <w:r>
              <w:rPr>
                <w:rFonts w:ascii="Times New Roman" w:hAnsi="Times New Roman" w:cs="Times New Roman"/>
                <w:b/>
                <w:i/>
                <w:color w:val="000000"/>
                <w:szCs w:val="24"/>
                <w:lang w:val="sk-SK"/>
              </w:rPr>
              <w:t xml:space="preserve">  vlastných akcií</w:t>
            </w:r>
            <w:r>
              <w:rPr>
                <w:rFonts w:ascii="Times New Roman" w:hAnsi="Times New Roman" w:cs="Times New Roman"/>
                <w:i/>
                <w:color w:val="000000"/>
                <w:szCs w:val="24"/>
                <w:lang w:val="sk-SK"/>
              </w:rPr>
              <w:t xml:space="preserve">, dočasných listov, obchodných podielov a akcií, dočasných listov a obchodných podielov </w:t>
            </w:r>
            <w:r>
              <w:rPr>
                <w:rFonts w:ascii="Times New Roman" w:hAnsi="Times New Roman" w:cs="Times New Roman"/>
                <w:b/>
                <w:lang w:val="sk-SK"/>
              </w:rPr>
              <w:t>materskej účtovnej jednotky podľa § 22</w:t>
            </w:r>
            <w:r>
              <w:rPr>
                <w:rFonts w:ascii="Times New Roman" w:hAnsi="Times New Roman" w:cs="Times New Roman"/>
                <w:b/>
                <w:i/>
                <w:color w:val="000000"/>
                <w:szCs w:val="24"/>
                <w:lang w:val="sk-SK"/>
              </w:rPr>
              <w:br/>
            </w:r>
            <w:r>
              <w:rPr>
                <w:rFonts w:ascii="Times New Roman" w:hAnsi="Times New Roman" w:cs="Times New Roman"/>
                <w:i/>
                <w:color w:val="000000"/>
                <w:szCs w:val="24"/>
                <w:lang w:val="sk-SK"/>
              </w:rPr>
              <w:t>f) návrhu na rozdelenie zisku alebo vyrovnanie straty,</w:t>
              <w:br/>
              <w:t>g) údajoch požadovaných podľa osobitných predpisov,</w:t>
              <w:br/>
              <w:t>h) tom, či účtovná jednotka má organizačnú zložku v zahraničí.</w:t>
            </w:r>
          </w:p>
          <w:p>
            <w:pPr>
              <w:pStyle w:val="FootnoteText"/>
              <w:rPr>
                <w:rFonts w:ascii="Times New Roman" w:hAnsi="Times New Roman" w:cs="Times New Roman"/>
                <w:i/>
                <w:color w:val="000000"/>
                <w:sz w:val="24"/>
                <w:szCs w:val="24"/>
              </w:rPr>
            </w:pPr>
            <w:r>
              <w:rPr>
                <w:rFonts w:ascii="Times New Roman" w:hAnsi="Times New Roman" w:cs="Times New Roman"/>
                <w:i/>
                <w:color w:val="000000"/>
                <w:sz w:val="24"/>
                <w:szCs w:val="24"/>
              </w:rPr>
              <w:t>Obsah výročnej správy inak ako v odseku 1 môže určiť osobitný predpis.</w:t>
            </w:r>
          </w:p>
          <w:p>
            <w:pPr>
              <w:pStyle w:val="FootnoteText"/>
              <w:rPr>
                <w:rFonts w:ascii="Times New Roman" w:hAnsi="Times New Roman" w:cs="Times New Roman"/>
                <w:b/>
                <w:i/>
                <w:sz w:val="24"/>
                <w:szCs w:val="24"/>
              </w:rPr>
            </w:pPr>
            <w:r>
              <w:rPr>
                <w:rFonts w:ascii="Times New Roman" w:hAnsi="Times New Roman" w:cs="Times New Roman"/>
                <w:b/>
                <w:sz w:val="24"/>
                <w:szCs w:val="24"/>
              </w:rPr>
              <w:t>Výročná správa účtovnej jednotky podľa odseku 1 musí poskytovať verný a pravdivý obraz  a súlad výročnej správy s účtovnou závierkou účtovnej jednotky musí byť overený audítorom do jedného roka od skončenia účtovného obdobia.</w:t>
            </w:r>
          </w:p>
          <w:p>
            <w:pPr>
              <w:pStyle w:val="FootnoteText"/>
              <w:rPr>
                <w:rFonts w:ascii="Times New Roman" w:hAnsi="Times New Roman" w:cs="Times New Roman"/>
                <w:i/>
                <w:color w:val="000000"/>
                <w:sz w:val="24"/>
                <w:szCs w:val="24"/>
              </w:rPr>
            </w:pPr>
            <w:r>
              <w:rPr>
                <w:rFonts w:ascii="Times New Roman" w:hAnsi="Times New Roman" w:cs="Times New Roman"/>
                <w:i/>
                <w:color w:val="000000"/>
                <w:sz w:val="24"/>
                <w:szCs w:val="24"/>
              </w:rPr>
              <w:t>K priebežnej účtovnej závierke sa vyhotovuje priebežná správa, ak tak ustanoví osobitný predpis.</w:t>
            </w:r>
          </w:p>
          <w:p>
            <w:pPr>
              <w:rPr>
                <w:rFonts w:ascii="Times New Roman" w:hAnsi="Times New Roman" w:cs="Times New Roman"/>
                <w:b/>
                <w:szCs w:val="24"/>
                <w:lang w:val="sk-SK"/>
              </w:rPr>
            </w:pPr>
            <w:r>
              <w:rPr>
                <w:rFonts w:ascii="Times New Roman" w:hAnsi="Times New Roman" w:cs="Times New Roman"/>
                <w:b/>
                <w:szCs w:val="24"/>
                <w:lang w:val="sk-SK"/>
              </w:rPr>
              <w:t>Ak je to pre posúdenie aktív, pasív a finančnej situácie účtovnej jednotky, ktorá používa nástroje podľa osobitného predpisu významné, účtovná jednotka je povinná uviesť vo výročnej správe tiež informácie o</w:t>
            </w:r>
          </w:p>
          <w:p>
            <w:pPr>
              <w:numPr>
                <w:ilvl w:val="0"/>
                <w:numId w:val="34"/>
              </w:numPr>
              <w:tabs>
                <w:tab w:val="left" w:pos="0"/>
                <w:tab w:val="left" w:pos="356"/>
                <w:tab w:val="clear" w:pos="720"/>
              </w:tabs>
              <w:ind w:left="72" w:firstLine="0"/>
              <w:rPr>
                <w:rFonts w:ascii="Times New Roman" w:hAnsi="Times New Roman" w:cs="Times New Roman"/>
                <w:b/>
                <w:szCs w:val="24"/>
                <w:lang w:val="sk-SK"/>
              </w:rPr>
            </w:pPr>
            <w:r>
              <w:rPr>
                <w:rFonts w:ascii="Times New Roman" w:hAnsi="Times New Roman" w:cs="Times New Roman"/>
                <w:b/>
                <w:szCs w:val="24"/>
                <w:lang w:val="sk-SK"/>
              </w:rPr>
              <w:t>cieľoch a metódach riadenia rizík v účtovnej jednotke, vrátane jej politiky pre zabezpečenie hlavných typov plánovaných obchodov, pri ktorých sa použijú zabezpečovacie deriváty,</w:t>
            </w:r>
          </w:p>
          <w:p>
            <w:pPr>
              <w:pStyle w:val="FootnoteText"/>
              <w:rPr>
                <w:rFonts w:ascii="Times New Roman" w:hAnsi="Times New Roman" w:cs="Times New Roman"/>
                <w:i/>
                <w:sz w:val="24"/>
                <w:szCs w:val="24"/>
              </w:rPr>
            </w:pPr>
            <w:r>
              <w:rPr>
                <w:rFonts w:ascii="Times New Roman" w:hAnsi="Times New Roman" w:cs="Times New Roman"/>
                <w:b/>
                <w:sz w:val="24"/>
                <w:szCs w:val="24"/>
              </w:rPr>
              <w:t>b) cenových rizikách, úverových rizikách, rizikách likvidity a rizikách súvisiacich s tokom hotovosti, ktorým je účtovná jednotka vystavená.</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47</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1. Riadne overená účtovná závierka a výročná správa spolu s posudkom predloženým osobou zodpovednou za audit účtu sa zverejní tak ako to upravujú zákony každého členského štátu v súlade s článkom 3 smernice 68/151/EHS.</w:t>
            </w:r>
          </w:p>
          <w:p>
            <w:pPr>
              <w:pStyle w:val="PlainText"/>
              <w:rPr>
                <w:rFonts w:ascii="Times New Roman" w:hAnsi="Times New Roman" w:cs="Times New Roman"/>
                <w:b/>
                <w:sz w:val="24"/>
                <w:szCs w:val="24"/>
              </w:rPr>
            </w:pPr>
            <w:r>
              <w:rPr>
                <w:rFonts w:ascii="Times New Roman" w:hAnsi="Times New Roman" w:cs="Times New Roman"/>
                <w:sz w:val="24"/>
                <w:szCs w:val="24"/>
              </w:rPr>
              <w:t xml:space="preserve">Legislatíva niektorého členského štátu  však môže povoliť,aby sa výročná správa nezverejnila tak ako bolo vyššie uvedené. V takom prípade musí byť výročná spáva k dispozícii verejnosti v sídle spoločnosti príslušného členského štátu. </w:t>
            </w:r>
            <w:r>
              <w:rPr>
                <w:rFonts w:ascii="Times New Roman" w:hAnsi="Times New Roman" w:cs="Times New Roman"/>
                <w:b/>
                <w:sz w:val="24"/>
                <w:szCs w:val="24"/>
              </w:rPr>
              <w:t xml:space="preserve">Úplná alebo čiastočná kópia tejto správy musí byť daná k dispozícii bezplatne a  na požiadanie. </w:t>
            </w:r>
          </w:p>
          <w:p>
            <w:pPr>
              <w:pStyle w:val="PlainText"/>
              <w:rPr>
                <w:rFonts w:ascii="Times New Roman" w:hAnsi="Times New Roman" w:cs="Times New Roman"/>
                <w:sz w:val="24"/>
                <w:szCs w:val="24"/>
              </w:rPr>
            </w:pPr>
            <w:r>
              <w:rPr>
                <w:rFonts w:ascii="Times New Roman" w:hAnsi="Times New Roman" w:cs="Times New Roman"/>
                <w:sz w:val="24"/>
                <w:szCs w:val="24"/>
              </w:rPr>
              <w:t>2. Členské štáty môžu umožniť výnimkou z odseku 1, aby spoločnosti uvedené v článku 11  zverejňovali:</w:t>
            </w:r>
          </w:p>
          <w:p>
            <w:pPr>
              <w:pStyle w:val="PlainText"/>
              <w:rPr>
                <w:rFonts w:ascii="Times New Roman" w:hAnsi="Times New Roman" w:cs="Times New Roman"/>
                <w:sz w:val="24"/>
                <w:szCs w:val="24"/>
              </w:rPr>
            </w:pPr>
            <w:r>
              <w:rPr>
                <w:rFonts w:ascii="Times New Roman" w:hAnsi="Times New Roman" w:cs="Times New Roman"/>
                <w:sz w:val="24"/>
                <w:szCs w:val="24"/>
              </w:rPr>
              <w:t>(a) súvahu v skrátenom rozsahu vykazujúcu iba tie položky označené písmenami a rímskymi číslicami uvedenými v článkoch 9 a 10 so zvláštnou poznámkou o informáciách  požadovaných  v zátvorkách pod D (II) aktív a C pasív v článku 9  ako aj D(II) článku 10, ale globálnym spôsobom pre všetky  položky, ktorých sa to týka;</w:t>
            </w:r>
          </w:p>
          <w:p>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b/>
                <w:sz w:val="24"/>
                <w:szCs w:val="24"/>
              </w:rPr>
              <w:t xml:space="preserve">skrátenú prílohu bez údajov </w:t>
            </w:r>
          </w:p>
          <w:p>
            <w:pPr>
              <w:pStyle w:val="PlainText"/>
              <w:rPr>
                <w:rFonts w:ascii="Times New Roman" w:hAnsi="Times New Roman" w:cs="Times New Roman"/>
                <w:b/>
                <w:sz w:val="24"/>
                <w:szCs w:val="24"/>
              </w:rPr>
            </w:pPr>
            <w:r>
              <w:rPr>
                <w:rFonts w:ascii="Times New Roman" w:hAnsi="Times New Roman" w:cs="Times New Roman"/>
                <w:b/>
                <w:sz w:val="24"/>
                <w:szCs w:val="24"/>
              </w:rPr>
              <w:t>požadovanú v článku 43 ods. 1(5) až (12). Musia sa však uviesť údaje požadované v článku 43 ods. 1(6)  globálnym spôsobom pre všetky  položky, ktorých sa to týka.</w:t>
            </w:r>
          </w:p>
          <w:p>
            <w:pPr>
              <w:pStyle w:val="PlainText"/>
              <w:rPr>
                <w:rFonts w:ascii="Times New Roman" w:hAnsi="Times New Roman" w:cs="Times New Roman"/>
                <w:sz w:val="24"/>
                <w:szCs w:val="24"/>
              </w:rPr>
            </w:pPr>
            <w:r>
              <w:rPr>
                <w:rFonts w:ascii="Times New Roman" w:hAnsi="Times New Roman" w:cs="Times New Roman"/>
                <w:sz w:val="24"/>
                <w:szCs w:val="24"/>
              </w:rPr>
              <w:t>Článok 12 zostáva v platnosti.</w:t>
            </w:r>
          </w:p>
          <w:p>
            <w:pPr>
              <w:pStyle w:val="PlainText"/>
              <w:rPr>
                <w:rFonts w:ascii="Times New Roman" w:hAnsi="Times New Roman" w:cs="Times New Roman"/>
                <w:sz w:val="24"/>
                <w:szCs w:val="24"/>
              </w:rPr>
            </w:pPr>
            <w:r>
              <w:rPr>
                <w:rFonts w:ascii="Times New Roman" w:hAnsi="Times New Roman" w:cs="Times New Roman"/>
                <w:sz w:val="24"/>
                <w:szCs w:val="24"/>
              </w:rPr>
              <w:t>Týmto spoločnostiam môžu členské štáty ďalej dovoliť, aby nemuseli zverejňovať svoje účty  ziskov a strát, výročnú správu  a názor osoby zodpovednej za audit účtu.</w:t>
            </w:r>
          </w:p>
          <w:p>
            <w:pPr>
              <w:pStyle w:val="PlainText"/>
              <w:rPr>
                <w:rFonts w:ascii="Times New Roman" w:hAnsi="Times New Roman" w:cs="Times New Roman"/>
                <w:sz w:val="24"/>
                <w:szCs w:val="24"/>
              </w:rPr>
            </w:pPr>
            <w:r>
              <w:rPr>
                <w:rFonts w:ascii="Times New Roman" w:hAnsi="Times New Roman" w:cs="Times New Roman"/>
                <w:sz w:val="24"/>
                <w:szCs w:val="24"/>
              </w:rPr>
              <w:t>3. Členské štáty môžu povoliť, aby spoločnosti uvedené v článku 27 zverejňovali:</w:t>
            </w:r>
          </w:p>
          <w:p>
            <w:pPr>
              <w:pStyle w:val="PlainText"/>
              <w:rPr>
                <w:rFonts w:ascii="Times New Roman" w:hAnsi="Times New Roman" w:cs="Times New Roman"/>
                <w:sz w:val="24"/>
                <w:szCs w:val="24"/>
              </w:rPr>
            </w:pPr>
            <w:r>
              <w:rPr>
                <w:rFonts w:ascii="Times New Roman" w:hAnsi="Times New Roman" w:cs="Times New Roman"/>
                <w:sz w:val="24"/>
                <w:szCs w:val="24"/>
              </w:rPr>
              <w:t>(a)  skrátenú súvahiu, ktorá obsahuje len tie položky, ktoré sú označené písmenami a rímskymi číslicami stanovenými v článkoch 9 a 10  so zvláštnou poznámkou  buď v súvahe alebo v prilohe týkajúcu sa:</w:t>
            </w:r>
          </w:p>
          <w:p>
            <w:pPr>
              <w:pStyle w:val="PlainText"/>
              <w:rPr>
                <w:rFonts w:ascii="Times New Roman" w:hAnsi="Times New Roman" w:cs="Times New Roman"/>
                <w:sz w:val="24"/>
                <w:szCs w:val="24"/>
              </w:rPr>
            </w:pPr>
            <w:r>
              <w:rPr>
                <w:rFonts w:ascii="Times New Roman" w:hAnsi="Times New Roman" w:cs="Times New Roman"/>
                <w:sz w:val="24"/>
                <w:szCs w:val="24"/>
              </w:rPr>
              <w:t>- položiek C(I) (3), C(II) (1), (2), (3) a (4), C(III) (l), (2), (3), (4) a (7) , D(II) (2), (3) a (6),  D(III) (1) a (2) aktív a  C (l), (2), (6), (7) a (9)  pasív podľa článku 9,</w:t>
            </w:r>
          </w:p>
          <w:p>
            <w:pPr>
              <w:pStyle w:val="PlainText"/>
              <w:rPr>
                <w:rFonts w:ascii="Times New Roman" w:hAnsi="Times New Roman" w:cs="Times New Roman"/>
                <w:sz w:val="24"/>
                <w:szCs w:val="24"/>
              </w:rPr>
            </w:pPr>
            <w:r>
              <w:rPr>
                <w:rFonts w:ascii="Times New Roman" w:hAnsi="Times New Roman" w:cs="Times New Roman"/>
                <w:sz w:val="24"/>
                <w:szCs w:val="24"/>
              </w:rPr>
              <w:t>- položky C(I) (3), C(II) (1), (2), (3) a (4), C(III) (1), (2), (3), (4), a (7), DII (2), (3) a (6), D(III) (l) a (2), F (1), (2), (6), (7) a (9) a I (1), (2), (6), (7), a (9) podľa článku 10,</w:t>
            </w:r>
          </w:p>
          <w:p>
            <w:pPr>
              <w:pStyle w:val="PlainText"/>
              <w:rPr>
                <w:rFonts w:ascii="Times New Roman" w:hAnsi="Times New Roman" w:cs="Times New Roman"/>
                <w:sz w:val="24"/>
                <w:szCs w:val="24"/>
              </w:rPr>
            </w:pPr>
            <w:r>
              <w:rPr>
                <w:rFonts w:ascii="Times New Roman" w:hAnsi="Times New Roman" w:cs="Times New Roman"/>
                <w:sz w:val="24"/>
                <w:szCs w:val="24"/>
              </w:rPr>
              <w:t>- údaje požadované v zátvorkách v položkách D(II)  aktív a  C  pasív v článku 9, ale globálne pre všetky príslušné položky a osobitne pre položky D(II) (2) a (3)  aktív ako aj  C (1), (2), (6), (7), a (9)  pasív,</w:t>
            </w:r>
          </w:p>
          <w:p>
            <w:pPr>
              <w:pStyle w:val="PlainText"/>
              <w:rPr>
                <w:rFonts w:ascii="Times New Roman" w:hAnsi="Times New Roman" w:cs="Times New Roman"/>
                <w:sz w:val="24"/>
                <w:szCs w:val="24"/>
              </w:rPr>
            </w:pPr>
            <w:r>
              <w:rPr>
                <w:rFonts w:ascii="Times New Roman" w:hAnsi="Times New Roman" w:cs="Times New Roman"/>
                <w:sz w:val="24"/>
                <w:szCs w:val="24"/>
              </w:rPr>
              <w:t>- údaje požadované v zátvorkách pri položke D(II) v článku 10,  ale globálne pre  všetky príslušné položky, ktorých sa to týka a osobitne pre položky D(II) (2) a (3);</w:t>
            </w:r>
          </w:p>
          <w:p>
            <w:pPr>
              <w:pStyle w:val="PlainText"/>
              <w:rPr>
                <w:rFonts w:ascii="Times New Roman" w:hAnsi="Times New Roman" w:cs="Times New Roman"/>
                <w:sz w:val="24"/>
                <w:szCs w:val="24"/>
              </w:rPr>
            </w:pPr>
            <w:r>
              <w:rPr>
                <w:rFonts w:ascii="Times New Roman" w:hAnsi="Times New Roman" w:cs="Times New Roman"/>
                <w:sz w:val="24"/>
                <w:szCs w:val="24"/>
              </w:rPr>
              <w:t>(b)  skrátené vysvetlivky  k účtom (príloha) bez údajov požadované v článku 43 ods. 1 (5),(6).(8).(10) a (11). Musia sa však uviesť údaje požadované v článku 43 ods. 1(6) ale globálne pre  všetky príslušné položky, ktorých sa to týka.</w:t>
            </w:r>
          </w:p>
          <w:p>
            <w:pPr>
              <w:pStyle w:val="PlainText"/>
              <w:rPr>
                <w:rFonts w:ascii="Times New Roman" w:hAnsi="Times New Roman" w:cs="Times New Roman"/>
                <w:sz w:val="24"/>
                <w:szCs w:val="24"/>
              </w:rPr>
            </w:pPr>
            <w:r>
              <w:rPr>
                <w:rFonts w:ascii="Times New Roman" w:hAnsi="Times New Roman" w:cs="Times New Roman"/>
                <w:sz w:val="24"/>
                <w:szCs w:val="24"/>
              </w:rPr>
              <w:t>Tento odsek sa nedotýka odseku 1, pokiaľ ide o účet ziskov a strát, výročnej správy a názoru osoby zodpovednej za audit účtu.</w:t>
            </w:r>
          </w:p>
          <w:p>
            <w:pPr>
              <w:pStyle w:val="PlainText"/>
              <w:rPr>
                <w:rFonts w:ascii="Times New Roman" w:hAnsi="Times New Roman" w:cs="Times New Roman"/>
                <w:sz w:val="24"/>
                <w:szCs w:val="24"/>
              </w:rPr>
            </w:pPr>
            <w:r>
              <w:rPr>
                <w:rFonts w:ascii="Times New Roman" w:hAnsi="Times New Roman" w:cs="Times New Roman"/>
                <w:sz w:val="24"/>
                <w:szCs w:val="24"/>
              </w:rPr>
              <w:t xml:space="preserve"> Článok 12 zostáva v platnosti.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21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ods.2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ods.4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ods.5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ods.6 </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lang w:val="sk-SK"/>
              </w:rPr>
            </w:pPr>
            <w:r>
              <w:rPr>
                <w:rFonts w:ascii="Times New Roman" w:hAnsi="Times New Roman" w:cs="Times New Roman"/>
                <w:lang w:val="sk-SK"/>
              </w:rPr>
              <w:t>Účtovná   jednotka,  ktorá   je obchodnou spoločnosťou, Exportno-importná banka Slovenskej republiky, družstvo alebo štátny podnik, sú  povinné uložiť riadnu individuálnu účtovnú závierku a mimoriadnu individuálnu účtovnú závierku  a výročnú správu do zbierky listín  obchodného registra do  30 dní po schválení účtovnej závierky, pričom účtovná závierka môže byť uložená ako súčasť výročnej správy.</w:t>
            </w:r>
          </w:p>
          <w:p>
            <w:pPr>
              <w:jc w:val="both"/>
              <w:rPr>
                <w:rFonts w:ascii="Times New Roman" w:hAnsi="Times New Roman" w:cs="Times New Roman"/>
                <w:lang w:val="sk-SK"/>
              </w:rPr>
            </w:pPr>
            <w:r>
              <w:rPr>
                <w:rFonts w:ascii="Times New Roman" w:hAnsi="Times New Roman" w:cs="Times New Roman"/>
                <w:lang w:val="sk-SK"/>
              </w:rPr>
              <w:t xml:space="preserve"> Účtovné jednotky, ktoré majú povinnosť overenia účtovnej závierky audítorom podľa § 19 ods. 1 písm. a), b) a d) predkladajú riadnu individuálnu účtovnú závierku a mimoriadnu individuálnu účtovnú závierku a správu audítora na zverejnenie v obchodnom vestníku alebo účtovnú závierku zverejňujú  iným  vhodným spôsobom do 30 dní po schválení účtovnej závierky. </w:t>
            </w:r>
          </w:p>
          <w:p>
            <w:pPr>
              <w:jc w:val="both"/>
              <w:rPr>
                <w:rFonts w:ascii="Times New Roman" w:hAnsi="Times New Roman" w:cs="Times New Roman"/>
                <w:lang w:val="sk-SK"/>
              </w:rPr>
            </w:pPr>
            <w:r>
              <w:rPr>
                <w:rFonts w:ascii="Times New Roman" w:hAnsi="Times New Roman" w:cs="Times New Roman"/>
                <w:lang w:val="sk-SK"/>
              </w:rPr>
              <w:t xml:space="preserve"> Riadnu individuálnu účtovnú závierku a mimoriadnu konsolidovanú účtovnú závierku a konsolidovanú výročnú správu účtovná jednotka, ktorá má povinnosť zostavovať konsolidovanú účtovnú závierku podľa § 22, je povinná uložiť ju do zbierky listín  obchodného registra do  jedného roka od skončenia účtovného obdobia, pričom konsolidovaná účtovná závierka môže byť uložená ako súčasť konsolidovanej výročnej správy. Účtovná jednotka, ktorá má povinnosť zostaviť konsolidovanú účtovnú závierku podľa § 22 predkladá konsolidovanú účtovnú závierku a správu audítora na zverejnenie v obchodnom vestníku alebo účtovnú závierku zverejňuje  iným  vhodným spôsobom do jedného roka od skončenia účtovného obdobia. </w:t>
            </w:r>
          </w:p>
          <w:p>
            <w:pPr>
              <w:jc w:val="both"/>
              <w:rPr>
                <w:rFonts w:ascii="Times New Roman" w:hAnsi="Times New Roman" w:cs="Times New Roman"/>
                <w:lang w:val="sk-SK"/>
              </w:rPr>
            </w:pPr>
            <w:r>
              <w:rPr>
                <w:rFonts w:ascii="Times New Roman" w:hAnsi="Times New Roman" w:cs="Times New Roman"/>
                <w:lang w:val="sk-SK"/>
              </w:rPr>
              <w:t xml:space="preserve"> Ak účtovná jednotka nezverejňuje účtovnú závierku v plnom rozsahu v obchodnom vestníku, musí zverejniť  v obchodnom vestníku minimálne súvahu a výkaz ziskov a strát z riadnej konsolidovanej účtovnej závierky a mimoriadnej konsolidovanej účtovnej závierky; účtovná jednotka súčasne uvedie, že zverejňuje neúplnú účtovnú závierku a informáciu o tom, akým spôsobom zverejnila úplnú účtovnú závierku. Pri uverejnení neúplnej účtovnej závierky sa v obchodnom vestníku nesmie zverejniť názor audítora, zverejňuje sa len informácia, aký názor správa audítora obsahuje</w:t>
            </w:r>
            <w:r>
              <w:rPr>
                <w:rFonts w:ascii="Times New Roman" w:hAnsi="Times New Roman" w:cs="Times New Roman"/>
                <w:vertAlign w:val="superscript"/>
                <w:lang w:val="sk-SK"/>
              </w:rPr>
              <w:t>28a)</w:t>
            </w:r>
            <w:r>
              <w:rPr>
                <w:rFonts w:ascii="Times New Roman" w:hAnsi="Times New Roman" w:cs="Times New Roman"/>
                <w:lang w:val="sk-SK"/>
              </w:rPr>
              <w:t xml:space="preserve">. Ak správa audítora obsahuje skutočnosti, ktoré nemali vplyv na názor audítora, ale ktoré chcel audítor zdôrazniť musí byť táto informácia zverejnená. </w:t>
            </w:r>
          </w:p>
          <w:p>
            <w:pPr>
              <w:jc w:val="both"/>
              <w:rPr>
                <w:rFonts w:ascii="Times New Roman" w:hAnsi="Times New Roman" w:cs="Times New Roman"/>
                <w:lang w:val="sk-SK"/>
              </w:rPr>
            </w:pPr>
            <w:r>
              <w:rPr>
                <w:rFonts w:ascii="Times New Roman" w:hAnsi="Times New Roman" w:cs="Times New Roman"/>
                <w:lang w:val="sk-SK"/>
              </w:rPr>
              <w:t xml:space="preserve"> Účtovná jednotka uvedená v § 19 ods. 1 písm. c) zverejňuje údaje   z   účtovnej   závierky   spôsobom  ustanoveným  osobitným predpisom.</w:t>
            </w:r>
          </w:p>
          <w:p>
            <w:pPr>
              <w:jc w:val="both"/>
              <w:rPr>
                <w:rFonts w:ascii="Times New Roman" w:hAnsi="Times New Roman" w:cs="Times New Roman"/>
                <w:lang w:val="sk-SK"/>
              </w:rPr>
            </w:pPr>
            <w:r>
              <w:rPr>
                <w:rFonts w:ascii="Times New Roman" w:hAnsi="Times New Roman" w:cs="Times New Roman"/>
                <w:lang w:val="sk-SK"/>
              </w:rPr>
              <w:t>Účtovná  jednotka,  ktorá  má  povinnosť  overovania podľa § 19,  nesmie zverejniť  informácie, ktoré  predtým neboli overené audítorom, spôsobom,  ktorý by mohol používateľa  uviesť do omylu, že audítorom overené boli.</w:t>
            </w:r>
          </w:p>
          <w:p>
            <w:pPr>
              <w:pStyle w:val="BodyText"/>
              <w:tabs>
                <w:tab w:val="left" w:pos="426"/>
              </w:tabs>
              <w:jc w:val="both"/>
              <w:rPr>
                <w:rFonts w:ascii="Times New Roman" w:hAnsi="Times New Roman" w:cs="Times New Roman"/>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Čl. 48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 xml:space="preserve">Ak sa účtovná závierka a výročná správa publikujú v plnom rozsahu, musia mať formu a obsah, na základe čoho osoba zodpovedná za audit účtu vypracovala svoj názor. </w:t>
            </w:r>
          </w:p>
          <w:p>
            <w:pPr>
              <w:pStyle w:val="PlainText"/>
              <w:rPr>
                <w:rFonts w:ascii="Times New Roman" w:hAnsi="Times New Roman" w:cs="Times New Roman"/>
                <w:sz w:val="24"/>
                <w:szCs w:val="24"/>
              </w:rPr>
            </w:pPr>
          </w:p>
          <w:p>
            <w:pPr>
              <w:pStyle w:val="PlainText"/>
              <w:rPr>
                <w:rFonts w:ascii="Times New Roman" w:hAnsi="Times New Roman" w:cs="Times New Roman"/>
                <w:sz w:val="24"/>
                <w:szCs w:val="24"/>
              </w:rPr>
            </w:pPr>
          </w:p>
          <w:p>
            <w:pPr>
              <w:pStyle w:val="PlainText"/>
              <w:rPr>
                <w:rFonts w:ascii="Times New Roman" w:hAnsi="Times New Roman" w:cs="Times New Roman"/>
                <w:b/>
                <w:sz w:val="24"/>
                <w:szCs w:val="24"/>
              </w:rPr>
            </w:pPr>
            <w:r>
              <w:rPr>
                <w:rFonts w:ascii="Times New Roman" w:hAnsi="Times New Roman" w:cs="Times New Roman"/>
                <w:sz w:val="24"/>
                <w:szCs w:val="24"/>
              </w:rPr>
              <w:t xml:space="preserve">Správa tejto osoby sa musí uviesť v úplnom znení. </w:t>
            </w:r>
            <w:r>
              <w:rPr>
                <w:rFonts w:ascii="Times New Roman" w:hAnsi="Times New Roman" w:cs="Times New Roman"/>
                <w:b/>
                <w:sz w:val="24"/>
                <w:szCs w:val="24"/>
              </w:rPr>
              <w:t>Ak osoba zodpovedná za audit účtu vzniesla výhrady alebo odmietla účty potvrdiť, musí sa táto skutočnosť rovnako uviesť   aj s uvedením dôvodov.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21 ods.2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lang w:val="sk-SK"/>
              </w:rPr>
            </w:pPr>
            <w:r>
              <w:rPr>
                <w:rFonts w:ascii="Times New Roman" w:hAnsi="Times New Roman" w:cs="Times New Roman"/>
                <w:lang w:val="sk-SK"/>
              </w:rPr>
              <w:t xml:space="preserve">Účtovné jednotky, ktoré majú povinnosť overenia účtovnej závierky audítorom podľa § 19 ods. 1 písm. a), b) a d) predkladajú riadnu individuálnu účtovnú závierku a mimoriadnu individuálnu účtovnú závierku a správu audítora na zverejnenie v obchodnom vestníku alebo účtovnú závierku zverejňujú  iným  vhodným spôsobom do 30 dní po schválení účtovnej závierky. </w:t>
            </w:r>
          </w:p>
          <w:p>
            <w:pPr>
              <w:pStyle w:val="BodyText"/>
              <w:jc w:val="both"/>
              <w:rPr>
                <w:rFonts w:ascii="Times New Roman" w:hAnsi="Times New Roman" w:cs="Times New Roman"/>
                <w:b w:val="0"/>
                <w:szCs w:val="24"/>
              </w:rPr>
            </w:pPr>
            <w:r>
              <w:rPr>
                <w:rFonts w:ascii="Times New Roman" w:hAnsi="Times New Roman" w:cs="Times New Roman"/>
                <w:b w:val="0"/>
              </w:rPr>
              <w:t>Riadnu individuálnu účtovnú závierku a mimoriadnu konsolidovanú účtovnú závierku a konsolidovanú výročnú správu účtovná jednotka, ktorá má povinnosť zostavovať konsolidovanú účtovnú závierku podľa § 22, je povinná uložiť ju do zbierky listín  obchodného registra do  jedného roka od skončenia účtovného obdobia, pričom konsolidovaná účtovná závierka môže byť uložená ako súčasť konsolidovanej výročnej správy. Účtovná jednotka, ktorá má povinnosť zostaviť konsolidovanú účtovnú závierku podľa § 22 predkladá konsolidovanú účtovnú závierku a správu audítora na zverejnenie v obchodnom vestníku alebo účtovnú závierku zverejňuje  iným  vhodným spôsobom do jedného roka od skončenia účtovného obdobia.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812"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50</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PlainText"/>
              <w:rPr>
                <w:rFonts w:ascii="Times New Roman" w:hAnsi="Times New Roman" w:cs="Times New Roman"/>
                <w:sz w:val="24"/>
                <w:szCs w:val="24"/>
              </w:rPr>
            </w:pPr>
            <w:r>
              <w:rPr>
                <w:rFonts w:ascii="Times New Roman" w:hAnsi="Times New Roman" w:cs="Times New Roman"/>
                <w:sz w:val="24"/>
                <w:szCs w:val="24"/>
              </w:rPr>
              <w:t>Súčasne s účtovnou závierkou a rovnakým spôsobom  sa musí zverejniť</w:t>
            </w:r>
          </w:p>
          <w:p>
            <w:pPr>
              <w:pStyle w:val="PlainText"/>
              <w:rPr>
                <w:rFonts w:ascii="Times New Roman" w:hAnsi="Times New Roman" w:cs="Times New Roman"/>
                <w:sz w:val="24"/>
                <w:szCs w:val="24"/>
              </w:rPr>
            </w:pPr>
            <w:r>
              <w:rPr>
                <w:rFonts w:ascii="Times New Roman" w:hAnsi="Times New Roman" w:cs="Times New Roman"/>
                <w:sz w:val="24"/>
                <w:szCs w:val="24"/>
              </w:rPr>
              <w:t>- náv</w:t>
            </w:r>
            <w:r>
              <w:rPr>
                <w:rFonts w:ascii="Times New Roman" w:hAnsi="Times New Roman" w:cs="Times New Roman"/>
                <w:sz w:val="24"/>
                <w:szCs w:val="24"/>
              </w:rPr>
              <w:t>rh na rozdelenie zisku alebo straty,</w:t>
            </w:r>
          </w:p>
          <w:p>
            <w:pPr>
              <w:pStyle w:val="PlainText"/>
              <w:rPr>
                <w:rFonts w:ascii="Times New Roman" w:hAnsi="Times New Roman" w:cs="Times New Roman"/>
                <w:sz w:val="24"/>
                <w:szCs w:val="24"/>
              </w:rPr>
            </w:pPr>
            <w:r>
              <w:rPr>
                <w:rFonts w:ascii="Times New Roman" w:hAnsi="Times New Roman" w:cs="Times New Roman"/>
                <w:sz w:val="24"/>
                <w:szCs w:val="24"/>
              </w:rPr>
              <w:t>- rozdelenie zisku alebo straty,</w:t>
            </w:r>
          </w:p>
          <w:p>
            <w:pPr>
              <w:pStyle w:val="PlainText"/>
              <w:rPr>
                <w:rFonts w:ascii="Times New Roman" w:hAnsi="Times New Roman" w:cs="Times New Roman"/>
                <w:sz w:val="24"/>
                <w:szCs w:val="24"/>
              </w:rPr>
            </w:pPr>
            <w:r>
              <w:rPr>
                <w:rFonts w:ascii="Times New Roman" w:hAnsi="Times New Roman" w:cs="Times New Roman"/>
                <w:sz w:val="24"/>
                <w:szCs w:val="24"/>
              </w:rPr>
              <w:t>a to v prípade, že sa tieto položky neuvádzajú v ročných účtoch.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 2002 Z.z.</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20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pís.f)</w:t>
            </w:r>
          </w:p>
        </w:tc>
        <w:tc>
          <w:tcPr>
            <w:tcW w:w="439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Účtovná jednotka, ktorá musí mať účtovnú závierku overenú audítorom podľa § 19, je povinná vyhotovovať výročnú správu, </w:t>
            </w:r>
            <w:r>
              <w:rPr>
                <w:rFonts w:ascii="Times New Roman" w:hAnsi="Times New Roman" w:cs="Times New Roman"/>
                <w:b/>
                <w:lang w:val="sk-SK"/>
              </w:rPr>
              <w:t>ktorej  súlad s účtovnou závierkou zostavenou za to isté účtovné obdobie musí byť overený</w:t>
            </w:r>
            <w:r>
              <w:rPr>
                <w:rFonts w:ascii="Times New Roman" w:hAnsi="Times New Roman" w:cs="Times New Roman"/>
                <w:i/>
                <w:color w:val="000000"/>
                <w:szCs w:val="24"/>
                <w:lang w:val="sk-SK"/>
              </w:rPr>
              <w:t xml:space="preserve"> audítorom, s výnimkou výročnej správy podľa osobitného predpisu. Výročná správa obsahuje účtovnú závierku za účtovné obdobie, za ktoré sa vyhotovuje výročná správa, a správu audítora k tejto účtovnej závierke, ak osobitný predpis neustanovuje inak, a najmä informácie o</w:t>
            </w:r>
          </w:p>
          <w:p>
            <w:pPr>
              <w:rPr>
                <w:rFonts w:ascii="Times New Roman" w:hAnsi="Times New Roman" w:cs="Times New Roman"/>
                <w:i/>
                <w:szCs w:val="24"/>
                <w:lang w:val="sk-SK"/>
              </w:rPr>
            </w:pPr>
            <w:r>
              <w:rPr>
                <w:rFonts w:ascii="Times New Roman" w:hAnsi="Times New Roman" w:cs="Times New Roman"/>
                <w:i/>
                <w:lang w:val="sk-SK"/>
              </w:rPr>
              <w:t>návrhu na rozdelenie zisku alebo vyrovnanie straty,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bl>
    <w:p>
      <w:pPr>
        <w:rPr>
          <w:rFonts w:ascii="Times New Roman" w:hAnsi="Times New Roman" w:cs="Times New Roman"/>
          <w:szCs w:val="24"/>
          <w:lang w:val="sk-SK"/>
        </w:rPr>
      </w:pPr>
    </w:p>
    <w:sectPr>
      <w:footerReference w:type="even" r:id="rId4"/>
      <w:footerReference w:type="default" r:id="rId5"/>
      <w:pgSz w:w="16840" w:h="11907" w:orient="landscape" w:code="9"/>
      <w:pgMar w:top="1191" w:right="1191" w:bottom="1191" w:left="1191" w:header="397" w:footer="3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343"/>
    <w:multiLevelType w:val="singleLevel"/>
    <w:tmpl w:val="347E3EC0"/>
    <w:lvl w:ilvl="0">
      <w:start w:val="2"/>
      <w:numFmt w:val="decimal"/>
      <w:lvlText w:val="(%1) "/>
      <w:legacy w:legacy="1" w:legacySpace="0" w:legacyIndent="283"/>
      <w:lvlJc w:val="left"/>
      <w:pPr>
        <w:ind w:left="1363" w:hanging="283"/>
      </w:pPr>
      <w:rPr>
        <w:rFonts w:ascii="Times New Roman" w:hAnsi="Times New Roman"/>
        <w:b w:val="0"/>
        <w:i w:val="0"/>
        <w:sz w:val="24"/>
        <w:u w:val="none"/>
        <w:rtl w:val="0"/>
      </w:rPr>
    </w:lvl>
  </w:abstractNum>
  <w:abstractNum w:abstractNumId="1">
    <w:nsid w:val="07DF3615"/>
    <w:multiLevelType w:val="singleLevel"/>
    <w:tmpl w:val="13AE7FF8"/>
    <w:lvl w:ilvl="0">
      <w:start w:val="1"/>
      <w:numFmt w:val="decimal"/>
      <w:lvlText w:val="%1."/>
      <w:lvlJc w:val="left"/>
      <w:pPr>
        <w:tabs>
          <w:tab w:val="num" w:pos="1267"/>
        </w:tabs>
        <w:ind w:left="1267" w:hanging="360"/>
      </w:pPr>
    </w:lvl>
  </w:abstractNum>
  <w:abstractNum w:abstractNumId="2">
    <w:nsid w:val="0CC514F3"/>
    <w:multiLevelType w:val="singleLevel"/>
    <w:tmpl w:val="20FA8170"/>
    <w:lvl w:ilvl="0">
      <w:start w:val="1"/>
      <w:numFmt w:val="lowerLetter"/>
      <w:lvlText w:val="     %1)"/>
      <w:lvlJc w:val="left"/>
      <w:pPr>
        <w:tabs>
          <w:tab w:val="num" w:pos="680"/>
        </w:tabs>
        <w:ind w:left="680" w:hanging="680"/>
      </w:pPr>
    </w:lvl>
  </w:abstractNum>
  <w:abstractNum w:abstractNumId="3">
    <w:nsid w:val="0F863325"/>
    <w:multiLevelType w:val="singleLevel"/>
    <w:tmpl w:val="D186A82C"/>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4">
    <w:nsid w:val="11911080"/>
    <w:multiLevelType w:val="singleLevel"/>
    <w:tmpl w:val="5E7AF340"/>
    <w:lvl w:ilvl="0">
      <w:start w:val="4"/>
      <w:numFmt w:val="decimal"/>
      <w:lvlText w:val="(%1) "/>
      <w:legacy w:legacy="1" w:legacySpace="0" w:legacyIndent="283"/>
      <w:lvlJc w:val="left"/>
      <w:pPr>
        <w:ind w:left="913" w:hanging="283"/>
      </w:pPr>
      <w:rPr>
        <w:rFonts w:ascii="Times New Roman" w:hAnsi="Times New Roman"/>
        <w:b w:val="0"/>
        <w:i w:val="0"/>
        <w:sz w:val="24"/>
        <w:u w:val="none"/>
        <w:rtl w:val="0"/>
      </w:rPr>
    </w:lvl>
  </w:abstractNum>
  <w:abstractNum w:abstractNumId="5">
    <w:nsid w:val="12A034FC"/>
    <w:multiLevelType w:val="hybridMultilevel"/>
    <w:tmpl w:val="21DEA7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0B6576"/>
    <w:multiLevelType w:val="singleLevel"/>
    <w:tmpl w:val="234216A8"/>
    <w:lvl w:ilvl="0">
      <w:start w:val="1"/>
      <w:numFmt w:val="decimal"/>
      <w:lvlText w:val="%1."/>
      <w:lvlJc w:val="left"/>
      <w:pPr>
        <w:tabs>
          <w:tab w:val="num" w:pos="1021"/>
        </w:tabs>
        <w:ind w:left="1021" w:hanging="397"/>
      </w:pPr>
    </w:lvl>
  </w:abstractNum>
  <w:abstractNum w:abstractNumId="7">
    <w:nsid w:val="30183B53"/>
    <w:multiLevelType w:val="singleLevel"/>
    <w:tmpl w:val="3CAE4DB6"/>
    <w:lvl w:ilvl="0">
      <w:start w:val="5"/>
      <w:numFmt w:val="decimal"/>
      <w:lvlText w:val="(%1) "/>
      <w:legacy w:legacy="1" w:legacySpace="0" w:legacyIndent="283"/>
      <w:lvlJc w:val="left"/>
      <w:pPr>
        <w:ind w:left="913" w:hanging="283"/>
      </w:pPr>
      <w:rPr>
        <w:rFonts w:ascii="Times New Roman" w:hAnsi="Times New Roman"/>
        <w:b w:val="0"/>
        <w:i w:val="0"/>
        <w:sz w:val="24"/>
        <w:u w:val="none"/>
        <w:rtl w:val="0"/>
      </w:rPr>
    </w:lvl>
  </w:abstractNum>
  <w:abstractNum w:abstractNumId="8">
    <w:nsid w:val="378E782A"/>
    <w:multiLevelType w:val="singleLevel"/>
    <w:tmpl w:val="20FA8170"/>
    <w:lvl w:ilvl="0">
      <w:start w:val="1"/>
      <w:numFmt w:val="lowerLetter"/>
      <w:lvlText w:val="     %1)"/>
      <w:lvlJc w:val="left"/>
      <w:pPr>
        <w:tabs>
          <w:tab w:val="num" w:pos="680"/>
        </w:tabs>
        <w:ind w:left="680" w:hanging="680"/>
      </w:pPr>
    </w:lvl>
  </w:abstractNum>
  <w:abstractNum w:abstractNumId="9">
    <w:nsid w:val="38DF1261"/>
    <w:multiLevelType w:val="singleLevel"/>
    <w:tmpl w:val="66A8C21E"/>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0">
    <w:nsid w:val="38DF1365"/>
    <w:multiLevelType w:val="singleLevel"/>
    <w:tmpl w:val="A5009596"/>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11">
    <w:nsid w:val="38F25BC5"/>
    <w:multiLevelType w:val="singleLevel"/>
    <w:tmpl w:val="0DC49278"/>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2">
    <w:nsid w:val="38FC6599"/>
    <w:multiLevelType w:val="singleLevel"/>
    <w:tmpl w:val="4CF23F6A"/>
    <w:lvl w:ilvl="0">
      <w:start w:val="1"/>
      <w:numFmt w:val="decimal"/>
      <w:lvlText w:val="(%1)"/>
      <w:lvlJc w:val="left"/>
      <w:pPr>
        <w:tabs>
          <w:tab w:val="num" w:pos="360"/>
        </w:tabs>
        <w:ind w:left="0" w:firstLine="0"/>
      </w:pPr>
      <w:rPr>
        <w:rFonts w:ascii="Times New Roman" w:hAnsi="Times New Roman"/>
        <w:sz w:val="22"/>
        <w:rtl w:val="0"/>
      </w:rPr>
    </w:lvl>
  </w:abstractNum>
  <w:abstractNum w:abstractNumId="13">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14">
    <w:nsid w:val="3F3B0024"/>
    <w:multiLevelType w:val="hybridMultilevel"/>
    <w:tmpl w:val="12E2CB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F91CC0"/>
    <w:multiLevelType w:val="singleLevel"/>
    <w:tmpl w:val="35520E1C"/>
    <w:lvl w:ilvl="0">
      <w:start w:val="1"/>
      <w:numFmt w:val="decimal"/>
      <w:lvlText w:val="%1."/>
      <w:lvlJc w:val="left"/>
      <w:pPr>
        <w:tabs>
          <w:tab w:val="num" w:pos="1320"/>
        </w:tabs>
        <w:ind w:left="1320" w:hanging="420"/>
      </w:pPr>
    </w:lvl>
  </w:abstractNum>
  <w:abstractNum w:abstractNumId="16">
    <w:nsid w:val="443020FA"/>
    <w:multiLevelType w:val="singleLevel"/>
    <w:tmpl w:val="0405000F"/>
    <w:lvl w:ilvl="0">
      <w:start w:val="1"/>
      <w:numFmt w:val="decimal"/>
      <w:lvlText w:val="%1."/>
      <w:lvlJc w:val="left"/>
      <w:pPr>
        <w:tabs>
          <w:tab w:val="num" w:pos="360"/>
        </w:tabs>
        <w:ind w:left="360" w:hanging="360"/>
      </w:pPr>
    </w:lvl>
  </w:abstractNum>
  <w:abstractNum w:abstractNumId="17">
    <w:nsid w:val="45243B0B"/>
    <w:multiLevelType w:val="singleLevel"/>
    <w:tmpl w:val="CD3AA19C"/>
    <w:lvl w:ilvl="0">
      <w:start w:val="1"/>
      <w:numFmt w:val="decimal"/>
      <w:lvlText w:val="%1."/>
      <w:lvlJc w:val="left"/>
      <w:pPr>
        <w:tabs>
          <w:tab w:val="num" w:pos="1260"/>
        </w:tabs>
        <w:ind w:left="1260" w:hanging="360"/>
      </w:pPr>
    </w:lvl>
  </w:abstractNum>
  <w:abstractNum w:abstractNumId="18">
    <w:nsid w:val="470130A4"/>
    <w:multiLevelType w:val="singleLevel"/>
    <w:tmpl w:val="7AC8BE5E"/>
    <w:lvl w:ilvl="0">
      <w:start w:val="1"/>
      <w:numFmt w:val="decimal"/>
      <w:lvlText w:val="(%1)"/>
      <w:lvlJc w:val="left"/>
      <w:pPr>
        <w:tabs>
          <w:tab w:val="num" w:pos="360"/>
        </w:tabs>
        <w:ind w:left="0" w:firstLine="0"/>
      </w:pPr>
      <w:rPr>
        <w:rFonts w:ascii="Times New Roman" w:hAnsi="Times New Roman"/>
        <w:sz w:val="24"/>
        <w:rtl w:val="0"/>
      </w:rPr>
    </w:lvl>
  </w:abstractNum>
  <w:abstractNum w:abstractNumId="19">
    <w:nsid w:val="4A6D024C"/>
    <w:multiLevelType w:val="singleLevel"/>
    <w:tmpl w:val="13AE7FF8"/>
    <w:lvl w:ilvl="0">
      <w:start w:val="1"/>
      <w:numFmt w:val="decimal"/>
      <w:lvlText w:val="%1."/>
      <w:lvlJc w:val="left"/>
      <w:pPr>
        <w:tabs>
          <w:tab w:val="num" w:pos="1267"/>
        </w:tabs>
        <w:ind w:left="1267" w:hanging="360"/>
      </w:pPr>
    </w:lvl>
  </w:abstractNum>
  <w:abstractNum w:abstractNumId="20">
    <w:nsid w:val="4F151CAD"/>
    <w:multiLevelType w:val="singleLevel"/>
    <w:tmpl w:val="A5009596"/>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21">
    <w:nsid w:val="5D9E515F"/>
    <w:multiLevelType w:val="singleLevel"/>
    <w:tmpl w:val="0405000F"/>
    <w:lvl w:ilvl="0">
      <w:start w:val="1"/>
      <w:numFmt w:val="decimal"/>
      <w:lvlText w:val="%1."/>
      <w:lvlJc w:val="left"/>
      <w:pPr>
        <w:tabs>
          <w:tab w:val="num" w:pos="360"/>
        </w:tabs>
        <w:ind w:left="360" w:hanging="360"/>
      </w:pPr>
    </w:lvl>
  </w:abstractNum>
  <w:abstractNum w:abstractNumId="22">
    <w:nsid w:val="5FAF0F7B"/>
    <w:multiLevelType w:val="singleLevel"/>
    <w:tmpl w:val="8150743A"/>
    <w:lvl w:ilvl="0">
      <w:start w:val="1"/>
      <w:numFmt w:val="decimal"/>
      <w:lvlText w:val="(%1)"/>
      <w:lvlJc w:val="left"/>
      <w:pPr>
        <w:tabs>
          <w:tab w:val="num" w:pos="360"/>
        </w:tabs>
        <w:ind w:left="0" w:firstLine="0"/>
      </w:pPr>
      <w:rPr>
        <w:rFonts w:ascii="Times New Roman" w:hAnsi="Times New Roman"/>
        <w:sz w:val="22"/>
        <w:rtl w:val="0"/>
      </w:rPr>
    </w:lvl>
  </w:abstractNum>
  <w:abstractNum w:abstractNumId="23">
    <w:nsid w:val="605B5E81"/>
    <w:multiLevelType w:val="singleLevel"/>
    <w:tmpl w:val="7730D33C"/>
    <w:lvl w:ilvl="0">
      <w:start w:val="3"/>
      <w:numFmt w:val="decimal"/>
      <w:lvlText w:val="(%1) "/>
      <w:legacy w:legacy="1" w:legacySpace="0" w:legacyIndent="283"/>
      <w:lvlJc w:val="left"/>
      <w:pPr>
        <w:ind w:left="1363" w:hanging="283"/>
      </w:pPr>
      <w:rPr>
        <w:rFonts w:ascii="Times New Roman" w:hAnsi="Times New Roman"/>
        <w:b w:val="0"/>
        <w:i w:val="0"/>
        <w:sz w:val="24"/>
        <w:u w:val="none"/>
        <w:rtl w:val="0"/>
      </w:rPr>
    </w:lvl>
  </w:abstractNum>
  <w:abstractNum w:abstractNumId="24">
    <w:nsid w:val="66A0510B"/>
    <w:multiLevelType w:val="singleLevel"/>
    <w:tmpl w:val="1334EEC0"/>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25">
    <w:nsid w:val="6906646E"/>
    <w:multiLevelType w:val="singleLevel"/>
    <w:tmpl w:val="857C8780"/>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26">
    <w:nsid w:val="69D25C02"/>
    <w:multiLevelType w:val="singleLevel"/>
    <w:tmpl w:val="EF3A0BAA"/>
    <w:lvl w:ilvl="0">
      <w:start w:val="2"/>
      <w:numFmt w:val="lowerLetter"/>
      <w:lvlText w:val="%1)"/>
      <w:lvlJc w:val="left"/>
      <w:pPr>
        <w:tabs>
          <w:tab w:val="num" w:pos="900"/>
        </w:tabs>
        <w:ind w:left="900" w:hanging="360"/>
      </w:pPr>
    </w:lvl>
  </w:abstractNum>
  <w:abstractNum w:abstractNumId="27">
    <w:nsid w:val="69E839F6"/>
    <w:multiLevelType w:val="singleLevel"/>
    <w:tmpl w:val="A02AED30"/>
    <w:lvl w:ilvl="0">
      <w:start w:val="1"/>
      <w:numFmt w:val="lowerLetter"/>
      <w:lvlText w:val="%1) "/>
      <w:legacy w:legacy="1" w:legacySpace="0" w:legacyIndent="283"/>
      <w:lvlJc w:val="left"/>
      <w:pPr>
        <w:ind w:left="1408" w:hanging="283"/>
      </w:pPr>
      <w:rPr>
        <w:rFonts w:ascii="Times New Roman" w:hAnsi="Times New Roman"/>
        <w:b w:val="0"/>
        <w:i w:val="0"/>
        <w:sz w:val="24"/>
        <w:u w:val="none"/>
        <w:rtl w:val="0"/>
      </w:rPr>
    </w:lvl>
  </w:abstractNum>
  <w:abstractNum w:abstractNumId="28">
    <w:nsid w:val="6F961877"/>
    <w:multiLevelType w:val="singleLevel"/>
    <w:tmpl w:val="04050019"/>
    <w:lvl w:ilvl="0">
      <w:start w:val="1"/>
      <w:numFmt w:val="lowerLetter"/>
      <w:lvlText w:val="(%1)"/>
      <w:lvlJc w:val="left"/>
      <w:pPr>
        <w:tabs>
          <w:tab w:val="num" w:pos="360"/>
        </w:tabs>
        <w:ind w:left="360" w:hanging="360"/>
      </w:pPr>
    </w:lvl>
  </w:abstractNum>
  <w:abstractNum w:abstractNumId="29">
    <w:nsid w:val="7424577C"/>
    <w:multiLevelType w:val="singleLevel"/>
    <w:tmpl w:val="F5100BAE"/>
    <w:lvl w:ilvl="0">
      <w:start w:val="1"/>
      <w:numFmt w:val="decimal"/>
      <w:lvlText w:val="%1."/>
      <w:lvlJc w:val="left"/>
      <w:pPr>
        <w:tabs>
          <w:tab w:val="num" w:pos="1260"/>
        </w:tabs>
        <w:ind w:left="1260" w:hanging="360"/>
      </w:pPr>
    </w:lvl>
  </w:abstractNum>
  <w:abstractNum w:abstractNumId="30">
    <w:nsid w:val="764346C6"/>
    <w:multiLevelType w:val="singleLevel"/>
    <w:tmpl w:val="20FA8170"/>
    <w:lvl w:ilvl="0">
      <w:start w:val="1"/>
      <w:numFmt w:val="lowerLetter"/>
      <w:lvlText w:val="     %1)"/>
      <w:lvlJc w:val="left"/>
      <w:pPr>
        <w:tabs>
          <w:tab w:val="num" w:pos="680"/>
        </w:tabs>
        <w:ind w:left="680" w:hanging="680"/>
      </w:pPr>
    </w:lvl>
  </w:abstractNum>
  <w:abstractNum w:abstractNumId="31">
    <w:nsid w:val="76C1145C"/>
    <w:multiLevelType w:val="singleLevel"/>
    <w:tmpl w:val="20FA8170"/>
    <w:lvl w:ilvl="0">
      <w:start w:val="1"/>
      <w:numFmt w:val="lowerLetter"/>
      <w:lvlText w:val="     %1)"/>
      <w:lvlJc w:val="left"/>
      <w:pPr>
        <w:tabs>
          <w:tab w:val="num" w:pos="680"/>
        </w:tabs>
        <w:ind w:left="680" w:hanging="680"/>
      </w:pPr>
    </w:lvl>
  </w:abstractNum>
  <w:abstractNum w:abstractNumId="32">
    <w:nsid w:val="78F36458"/>
    <w:multiLevelType w:val="hybridMultilevel"/>
    <w:tmpl w:val="C11287BE"/>
    <w:lvl w:ilvl="0">
      <w:start w:val="4"/>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FE95533"/>
    <w:multiLevelType w:val="singleLevel"/>
    <w:tmpl w:val="20FA8170"/>
    <w:lvl w:ilvl="0">
      <w:start w:val="1"/>
      <w:numFmt w:val="lowerLetter"/>
      <w:lvlText w:val="     %1)"/>
      <w:lvlJc w:val="left"/>
      <w:pPr>
        <w:tabs>
          <w:tab w:val="num" w:pos="680"/>
        </w:tabs>
        <w:ind w:left="680" w:hanging="680"/>
      </w:pPr>
    </w:lvl>
  </w:abstractNum>
  <w:num w:numId="1">
    <w:abstractNumId w:val="13"/>
  </w:num>
  <w:num w:numId="2">
    <w:abstractNumId w:val="33"/>
  </w:num>
  <w:num w:numId="3">
    <w:abstractNumId w:val="3"/>
  </w:num>
  <w:num w:numId="4">
    <w:abstractNumId w:val="30"/>
  </w:num>
  <w:num w:numId="5">
    <w:abstractNumId w:val="22"/>
  </w:num>
  <w:num w:numId="6">
    <w:abstractNumId w:val="2"/>
  </w:num>
  <w:num w:numId="7">
    <w:abstractNumId w:val="6"/>
  </w:num>
  <w:num w:numId="8">
    <w:abstractNumId w:val="18"/>
  </w:num>
  <w:num w:numId="9">
    <w:abstractNumId w:val="9"/>
  </w:num>
  <w:num w:numId="10">
    <w:abstractNumId w:val="28"/>
  </w:num>
  <w:num w:numId="11">
    <w:abstractNumId w:val="8"/>
  </w:num>
  <w:num w:numId="12">
    <w:abstractNumId w:val="11"/>
  </w:num>
  <w:num w:numId="13">
    <w:abstractNumId w:val="12"/>
  </w:num>
  <w:num w:numId="14">
    <w:abstractNumId w:val="10"/>
  </w:num>
  <w:num w:numId="15">
    <w:abstractNumId w:val="20"/>
  </w:num>
  <w:num w:numId="16">
    <w:abstractNumId w:val="1"/>
  </w:num>
  <w:num w:numId="17">
    <w:abstractNumId w:val="26"/>
  </w:num>
  <w:num w:numId="18">
    <w:abstractNumId w:val="29"/>
  </w:num>
  <w:num w:numId="19">
    <w:abstractNumId w:val="17"/>
  </w:num>
  <w:num w:numId="20">
    <w:abstractNumId w:val="15"/>
  </w:num>
  <w:num w:numId="21">
    <w:abstractNumId w:val="19"/>
  </w:num>
  <w:num w:numId="22">
    <w:abstractNumId w:val="16"/>
  </w:num>
  <w:num w:numId="23">
    <w:abstractNumId w:val="21"/>
  </w:num>
  <w:num w:numId="24">
    <w:abstractNumId w:val="31"/>
  </w:num>
  <w:num w:numId="25">
    <w:abstractNumId w:val="25"/>
  </w:num>
  <w:num w:numId="26">
    <w:abstractNumId w:val="24"/>
  </w:num>
  <w:num w:numId="27">
    <w:abstractNumId w:val="27"/>
  </w:num>
  <w:num w:numId="28">
    <w:abstractNumId w:val="0"/>
  </w:num>
  <w:num w:numId="29">
    <w:abstractNumId w:val="23"/>
  </w:num>
  <w:num w:numId="30">
    <w:abstractNumId w:val="4"/>
  </w:num>
  <w:num w:numId="31">
    <w:abstractNumId w:val="7"/>
  </w:num>
  <w:num w:numId="32">
    <w:abstractNumId w:val="32"/>
  </w:num>
  <w:num w:numId="33">
    <w:abstractNumId w:val="5"/>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PlainText">
    <w:name w:val="Plain Text"/>
    <w:basedOn w:val="Normal"/>
    <w:pPr>
      <w:jc w:val="left"/>
    </w:pPr>
    <w:rPr>
      <w:rFonts w:ascii="Courier New" w:hAnsi="Courier New"/>
      <w:noProof/>
      <w:sz w:val="20"/>
      <w:lang w:val="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noProof/>
      <w:sz w:val="20"/>
      <w:lang w:val="sk-SK"/>
    </w:rPr>
  </w:style>
  <w:style w:type="paragraph" w:styleId="BodyText">
    <w:name w:val="Body Text"/>
    <w:basedOn w:val="Normal"/>
    <w:pPr>
      <w:jc w:val="left"/>
    </w:pPr>
    <w:rPr>
      <w:b/>
      <w:noProof/>
      <w:lang w:val="sk-SK"/>
    </w:rPr>
  </w:style>
  <w:style w:type="paragraph" w:styleId="BodyText3">
    <w:name w:val="Body Text 3"/>
    <w:basedOn w:val="Normal"/>
    <w:pPr>
      <w:jc w:val="both"/>
    </w:pPr>
    <w:rPr>
      <w:noProof/>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6365</Words>
  <Characters>36286</Characters>
  <Application>Microsoft Office Word</Application>
  <DocSecurity>0</DocSecurity>
  <Lines>0</Lines>
  <Paragraphs>0</Paragraphs>
  <ScaleCrop>false</ScaleCrop>
  <Company>Ministry of Finance</Company>
  <LinksUpToDate>false</LinksUpToDate>
  <CharactersWithSpaces>44561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Marta Gulárová</cp:lastModifiedBy>
  <cp:revision>2</cp:revision>
  <cp:lastPrinted>2004-05-04T07:25:00Z</cp:lastPrinted>
  <dcterms:created xsi:type="dcterms:W3CDTF">2004-06-21T14:03:00Z</dcterms:created>
  <dcterms:modified xsi:type="dcterms:W3CDTF">2004-06-21T14:03:00Z</dcterms:modified>
</cp:coreProperties>
</file>