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DOLOŽKA  ZLUČlTEĽNOSTI</w:t>
      </w:r>
    </w:p>
    <w:p>
      <w:pPr>
        <w:pStyle w:val="BodyText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návrhu zákona, ktorým sa mení a dopĺňa zákon č.  431/2002 Z. z. o účtovníctve v znení zákona č. 562/2003 Z.z. s právom Európskych spoločenstiev a právom Európskej únie</w:t>
      </w:r>
    </w:p>
    <w:p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Navrhovateľ zákona:</w:t>
      </w:r>
    </w:p>
    <w:p>
      <w:pPr>
        <w:pStyle w:val="N-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Vláda Slovenskej republiky</w:t>
      </w:r>
    </w:p>
    <w:p>
      <w:pPr>
        <w:pStyle w:val="N-text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návrhu zá</w:t>
      </w:r>
      <w:r>
        <w:rPr>
          <w:rFonts w:ascii="Times New Roman" w:hAnsi="Times New Roman" w:cs="Times New Roman"/>
        </w:rPr>
        <w:t>kona:</w:t>
      </w:r>
    </w:p>
    <w:p>
      <w:pPr>
        <w:pStyle w:val="N-tex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Cs w:val="22"/>
        </w:rPr>
        <w:t>Návrh zákona, ktorým</w:t>
      </w:r>
      <w:r>
        <w:rPr>
          <w:rFonts w:ascii="Times New Roman" w:hAnsi="Times New Roman" w:cs="Times New Roman"/>
        </w:rPr>
        <w:t xml:space="preserve"> sa mení a dopĺňa zákon č. 431/2002 Z. z. o účtovníctve v znení zákona č. 562/2003 Z.z..</w:t>
      </w:r>
    </w:p>
    <w:p>
      <w:pPr>
        <w:pStyle w:val="N-text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Záväzky Slovenskej republiky vo vzťahu k Európskym spoločenstvám a k Európskej únii:</w:t>
      </w:r>
    </w:p>
    <w:p>
      <w:pPr>
        <w:ind w:left="360" w:hanging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a)</w:t>
        <w:tab/>
        <w:t>Problematika návrhu zákona patrí medzi prioritné oblasti aproximácie práva uvedené v článku 70 Európskej dohody o pridružení – vedenie účtov.</w:t>
      </w:r>
    </w:p>
    <w:p>
      <w:pPr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 hľadiska Národného programu pre prijatie acquis communautaire predkladaný návrh zákona patrí medzi prioritné oblasti aproximácie práva – Kapitola 5 – Právo obchodných spoločností a taktiež je prioritou podľa Partnerstva pre vstup.</w:t>
      </w:r>
    </w:p>
    <w:p>
      <w:pPr>
        <w:pStyle w:val="ZkladntextChar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Návrh zákona patrí medzi priority odporúčané v Príprave asociovaných krajín strednej a východnej Európy na integráciu do vnútorného trhu Európskej únie -Biela kniha - kapitola 16 - Účtovní</w:t>
      </w:r>
      <w:r>
        <w:rPr>
          <w:rFonts w:ascii="Times New Roman" w:hAnsi="Times New Roman" w:cs="Times New Roman"/>
          <w:szCs w:val="22"/>
        </w:rPr>
        <w:t>ctvo.</w:t>
      </w:r>
    </w:p>
    <w:p>
      <w:pPr>
        <w:pStyle w:val="ZkladntextChar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Problematika návrhu zákona je obsiahnutá v screeningovej kapitole 5 – Právo obchodných spoločností.</w:t>
      </w:r>
    </w:p>
    <w:p>
      <w:pPr>
        <w:pStyle w:val="ZkladntextChar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Návrh zákona sa predkladá podľa Plánu legislatívnych úloh vlády SR na rok 2004 s termínom predloženia jún 2004.</w:t>
      </w:r>
    </w:p>
    <w:p>
      <w:pPr>
        <w:pStyle w:val="ZkladntextChar"/>
        <w:ind w:left="300"/>
        <w:jc w:val="both"/>
        <w:rPr>
          <w:rFonts w:ascii="Times New Roman" w:hAnsi="Times New Roman" w:cs="Times New Roman"/>
          <w:szCs w:val="22"/>
        </w:rPr>
      </w:pPr>
    </w:p>
    <w:p>
      <w:pPr>
        <w:pStyle w:val="ZkladntextChar"/>
        <w:ind w:left="360" w:hanging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b)</w:t>
        <w:tab/>
      </w:r>
      <w:r>
        <w:rPr>
          <w:rFonts w:ascii="Times New Roman" w:hAnsi="Times New Roman" w:cs="Times New Roman"/>
        </w:rPr>
        <w:t xml:space="preserve">Z negociačnej pozície ku kapitole Právo obchodných spoločností vyplýva pre SR povinnosť zosúladiť právnu úpravu v oblasti účtovníctva s acquis communautaire a SR implementovala acquis v plnom rozsahu k dátumu vstupu SR do EÚ. </w:t>
      </w:r>
    </w:p>
    <w:p>
      <w:pPr>
        <w:pStyle w:val="ZkladntextChar"/>
        <w:ind w:left="300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Problematika návrhu zákona:</w:t>
      </w:r>
    </w:p>
    <w:p>
      <w:pPr>
        <w:pStyle w:val="N-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2"/>
        </w:rPr>
        <w:t>a)</w:t>
        <w:tab/>
        <w:t>je upravená v práve Európskych spoločenstiev</w:t>
      </w:r>
      <w:r>
        <w:rPr>
          <w:rFonts w:ascii="Times New Roman" w:hAnsi="Times New Roman" w:cs="Times New Roman"/>
          <w:sz w:val="22"/>
          <w:szCs w:val="22"/>
        </w:rPr>
        <w:t>:</w:t>
      </w:r>
    </w:p>
    <w:p>
      <w:pPr>
        <w:pStyle w:val="N-textsodrkami"/>
        <w:rPr>
          <w:rStyle w:val="ZkladntextCharChar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-</w:t>
        <w:tab/>
        <w:t>v štvrtej s</w:t>
      </w:r>
      <w:r>
        <w:rPr>
          <w:rFonts w:ascii="Times New Roman" w:hAnsi="Times New Roman" w:cs="Times New Roman"/>
        </w:rPr>
        <w:t>mernici Rady 1978/660/EHS z 25. 7. 1978 o ročnej účtovnej závierke niektorých typov spoločností vychádzajúcej z článku 54 (3) (g) zmluvy</w:t>
      </w:r>
      <w:r>
        <w:rPr>
          <w:rStyle w:val="ZkladntextCharChar"/>
          <w:rFonts w:ascii="Times New Roman" w:hAnsi="Times New Roman" w:cs="Times New Roman"/>
        </w:rPr>
        <w:t>,</w:t>
      </w:r>
    </w:p>
    <w:p>
      <w:pPr>
        <w:pStyle w:val="N-textsodrkami"/>
        <w:rPr>
          <w:rStyle w:val="ZkladntextCharChar"/>
          <w:rFonts w:ascii="Times New Roman" w:hAnsi="Times New Roman" w:cs="Times New Roman"/>
          <w:color w:val="auto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>v siedmej smernici Rady 19</w:t>
      </w:r>
      <w:r>
        <w:rPr>
          <w:rFonts w:ascii="Times New Roman" w:hAnsi="Times New Roman" w:cs="Times New Roman"/>
          <w:szCs w:val="24"/>
        </w:rPr>
        <w:t>83/349/EHS z 13. júna 1983 o konsolidovaných účtoch, vychádzajúcej z článku 54 (3) (g) zmluvy</w:t>
      </w:r>
      <w:r>
        <w:rPr>
          <w:rStyle w:val="ZkladntextCharChar"/>
          <w:rFonts w:ascii="Times New Roman" w:hAnsi="Times New Roman" w:cs="Times New Roman"/>
          <w:color w:val="auto"/>
          <w:szCs w:val="24"/>
        </w:rPr>
        <w:t>,</w:t>
      </w:r>
    </w:p>
    <w:p>
      <w:pPr>
        <w:pStyle w:val="N-textsodrkami"/>
        <w:rPr>
          <w:rStyle w:val="ZkladntextCharChar"/>
          <w:rFonts w:ascii="Times New Roman" w:hAnsi="Times New Roman" w:cs="Times New Roman"/>
        </w:rPr>
      </w:pPr>
      <w:r>
        <w:rPr>
          <w:rStyle w:val="ZkladntextCharChar"/>
          <w:rFonts w:ascii="Times New Roman" w:hAnsi="Times New Roman" w:cs="Times New Roman"/>
        </w:rPr>
        <w:t>-</w:t>
        <w:tab/>
        <w:t>v smernici Rady 19</w:t>
      </w:r>
      <w:r>
        <w:rPr>
          <w:rFonts w:ascii="Times New Roman" w:hAnsi="Times New Roman" w:cs="Times New Roman"/>
          <w:szCs w:val="24"/>
        </w:rPr>
        <w:t>86/635/EHS z 8. decembra 1986 o ročnej účtovnej závierke a konsolidovaných účtoch bánk a iných finančných inštitúcií</w:t>
      </w:r>
      <w:r>
        <w:rPr>
          <w:rStyle w:val="ZkladntextCharChar"/>
          <w:rFonts w:ascii="Times New Roman" w:hAnsi="Times New Roman" w:cs="Times New Roman"/>
        </w:rPr>
        <w:t>,</w:t>
      </w:r>
    </w:p>
    <w:p>
      <w:pPr>
        <w:pStyle w:val="N-textsodrkami"/>
        <w:rPr>
          <w:rFonts w:ascii="Times New Roman" w:hAnsi="Times New Roman" w:cs="Times New Roman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 xml:space="preserve">v smernici Rady 1990/604/EHS </w:t>
      </w:r>
      <w:r>
        <w:rPr>
          <w:rFonts w:ascii="Times New Roman" w:hAnsi="Times New Roman" w:cs="Times New Roman"/>
          <w:szCs w:val="24"/>
        </w:rPr>
        <w:t>z 8. novembra 1990, ktorou sa mení dopĺňa smernica 78/660/EHS o ročných účtovných uzávierkach a smernica 83/349/EHS o konsolidovaných účtovných uzávierkach týkajúca sa výnimiek pre malé a stredné podniky a uverejnenia účtovných uzávierok v ecu,</w:t>
      </w:r>
    </w:p>
    <w:p>
      <w:pPr>
        <w:pStyle w:val="N-textsodrkami"/>
        <w:rPr>
          <w:rFonts w:ascii="Times New Roman" w:hAnsi="Times New Roman" w:cs="Times New Roman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 xml:space="preserve">v smernici Rady 1990/605/EHS </w:t>
      </w:r>
      <w:r>
        <w:rPr>
          <w:rFonts w:ascii="Times New Roman" w:hAnsi="Times New Roman" w:cs="Times New Roman"/>
          <w:szCs w:val="24"/>
        </w:rPr>
        <w:t>z 8. novembra 1990, ktorou sa mení a dopĺňa smernica 78/660/EHS o ročných účtovných uzávierkach a smernica 83/349EHS o konsolidovaných účtovných uzávierkach vzhľadom na rozsah týchto smerníc,</w:t>
      </w:r>
    </w:p>
    <w:p>
      <w:pPr>
        <w:pStyle w:val="N-textsodrkami"/>
        <w:rPr>
          <w:rFonts w:ascii="Times New Roman" w:hAnsi="Times New Roman" w:cs="Times New Roman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>v smernici Rady 19</w:t>
      </w:r>
      <w:r>
        <w:rPr>
          <w:rFonts w:ascii="Times New Roman" w:hAnsi="Times New Roman" w:cs="Times New Roman"/>
          <w:szCs w:val="24"/>
        </w:rPr>
        <w:t>91/674/EHS z 19. decembra 1991 týkajúca sa ročných účtov a konsolidovaných účtov poisťovacích podnikov,</w:t>
      </w:r>
    </w:p>
    <w:p>
      <w:pPr>
        <w:pStyle w:val="N-textsodrkami"/>
        <w:rPr>
          <w:rStyle w:val="ZkladntextCharChar"/>
          <w:rFonts w:ascii="Times New Roman" w:hAnsi="Times New Roman" w:cs="Times New Roman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 xml:space="preserve">v smernici Rady 1994/8/ES </w:t>
      </w:r>
      <w:r>
        <w:rPr>
          <w:rFonts w:ascii="Times New Roman" w:hAnsi="Times New Roman" w:cs="Times New Roman"/>
          <w:szCs w:val="24"/>
        </w:rPr>
        <w:t>z 21. marca 1994, ktorou sa mení a dopĺňa smernica 78/660/EHS, čo sa týka revízie čiastok vyjadrených v ECU,</w:t>
      </w:r>
    </w:p>
    <w:p>
      <w:pPr>
        <w:pStyle w:val="N-textsodrkami"/>
        <w:rPr>
          <w:rStyle w:val="ZkladntextCharChar"/>
          <w:rFonts w:ascii="Times New Roman" w:hAnsi="Times New Roman" w:cs="Times New Roman"/>
          <w:color w:val="auto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  <w:t xml:space="preserve">v smernici Rady 1999/60/ES </w:t>
      </w:r>
      <w:r>
        <w:rPr>
          <w:rFonts w:ascii="Times New Roman" w:hAnsi="Times New Roman" w:cs="Times New Roman"/>
          <w:szCs w:val="24"/>
        </w:rPr>
        <w:t>zo 17. júna 1999, ktorou sa mení a dopĺňa smernica 78/660/EHS o čiastkach vyjadrených v ECU,</w:t>
      </w:r>
    </w:p>
    <w:p>
      <w:pPr>
        <w:pStyle w:val="N-textsodrkami"/>
        <w:rPr>
          <w:rFonts w:ascii="Times New Roman" w:hAnsi="Times New Roman" w:cs="Times New Roman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</w:r>
      <w:r>
        <w:rPr>
          <w:rFonts w:ascii="Times New Roman" w:hAnsi="Times New Roman" w:cs="Times New Roman"/>
          <w:szCs w:val="22"/>
        </w:rPr>
        <w:t xml:space="preserve">v smernici Európskeho parlamentu a Rady 2001/65/ES </w:t>
      </w:r>
      <w:r>
        <w:rPr>
          <w:rFonts w:ascii="Times New Roman" w:hAnsi="Times New Roman" w:cs="Times New Roman"/>
          <w:szCs w:val="24"/>
        </w:rPr>
        <w:t>z 27. septembra 2001, ktorou sa menia a dopĺňajú smernice 78/660/EHS, 83/349/EHS a 86/635/EHS, pokiaľ ide o pravidlá oceňovania pre ročné a konsolidované účtovné závierky určitých typov spoločností ako aj bánk a ostatných finančných inštitúcií,</w:t>
      </w:r>
    </w:p>
    <w:p>
      <w:pPr>
        <w:pStyle w:val="N-textsodrkami"/>
        <w:rPr>
          <w:rStyle w:val="ZkladntextCharChar"/>
          <w:rFonts w:ascii="Times New Roman" w:hAnsi="Times New Roman" w:cs="Times New Roman"/>
          <w:color w:val="auto"/>
          <w:szCs w:val="24"/>
        </w:rPr>
      </w:pPr>
      <w:r>
        <w:rPr>
          <w:rStyle w:val="ZkladntextCharChar"/>
          <w:rFonts w:ascii="Times New Roman" w:hAnsi="Times New Roman" w:cs="Times New Roman"/>
        </w:rPr>
        <w:t>-</w:t>
        <w:tab/>
      </w:r>
      <w:r>
        <w:rPr>
          <w:rFonts w:ascii="Times New Roman" w:hAnsi="Times New Roman" w:cs="Times New Roman"/>
        </w:rPr>
        <w:t xml:space="preserve">v smernici Rady </w:t>
      </w:r>
      <w:r>
        <w:rPr>
          <w:rFonts w:ascii="Times New Roman" w:hAnsi="Times New Roman" w:cs="Times New Roman"/>
          <w:szCs w:val="24"/>
        </w:rPr>
        <w:t xml:space="preserve">2003/38/ES </w:t>
      </w:r>
      <w:r>
        <w:rPr>
          <w:rFonts w:ascii="Times New Roman" w:hAnsi="Times New Roman" w:cs="Times New Roman"/>
          <w:bCs/>
          <w:szCs w:val="24"/>
        </w:rPr>
        <w:t>z 13. mája 2003,</w:t>
      </w:r>
      <w:r>
        <w:rPr>
          <w:rFonts w:ascii="Times New Roman" w:hAnsi="Times New Roman" w:cs="Times New Roman"/>
          <w:szCs w:val="24"/>
        </w:rPr>
        <w:t xml:space="preserve"> ktorou sa mení a dopĺňa smernica 78/660/EHS o ročnej účtovnej závierke určitých typov spoločností so zreteľom na čiastky vyjadrené v eurách</w:t>
      </w:r>
      <w:r>
        <w:rPr>
          <w:rFonts w:ascii="Times New Roman" w:hAnsi="Times New Roman" w:cs="Times New Roman"/>
          <w:szCs w:val="24"/>
        </w:rPr>
        <w:t>,</w:t>
      </w:r>
    </w:p>
    <w:p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Cs w:val="22"/>
        </w:rPr>
        <w:tab/>
        <w:t xml:space="preserve">v smernici Európskeho parlamentu a Rady 2003/51/ES </w:t>
      </w:r>
      <w:r>
        <w:rPr>
          <w:rFonts w:ascii="Times New Roman" w:hAnsi="Times New Roman" w:cs="Times New Roman"/>
        </w:rPr>
        <w:t>zo dňa 18. júna 2003, ktorou sa menia a dopĺňa smernica 78/660/ES, 83/349/ES, 86/635/ES a 91/674/ES o ročnej a konsolidovanej účtovej uzávierke niektorých typov spoločností, bánk a iných finančných inštitúcií a poisťovní.</w:t>
      </w:r>
    </w:p>
    <w:p>
      <w:pPr>
        <w:pStyle w:val="ZkladntextChar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 1978/660/EHS upravuje náležitosti ročnej účtovnej závierky niektorých typov spoločností.</w:t>
      </w:r>
    </w:p>
    <w:p>
      <w:pPr>
        <w:pStyle w:val="ZkladntextChar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</w:t>
      </w:r>
      <w:r>
        <w:rPr>
          <w:rStyle w:val="ZkladntextCharChar"/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83/349/EHS týka sa konsolidovaných účtov niektorých typov spoločností.</w:t>
      </w:r>
    </w:p>
    <w:p>
      <w:pPr>
        <w:pStyle w:val="ZkladntextChar"/>
        <w:ind w:left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Smernica 1986/635/EHS upravuje náležitosti ročnej účto</w:t>
      </w:r>
      <w:r>
        <w:rPr>
          <w:rFonts w:ascii="Times New Roman" w:hAnsi="Times New Roman" w:cs="Times New Roman"/>
        </w:rPr>
        <w:t xml:space="preserve">vnej </w:t>
      </w:r>
      <w:r>
        <w:rPr>
          <w:rFonts w:ascii="Times New Roman" w:hAnsi="Times New Roman" w:cs="Times New Roman"/>
          <w:szCs w:val="24"/>
        </w:rPr>
        <w:t>závierky bánk a iných finančných inštitúcií ako aj konsolidovaných účtov bánk a iných finančných inštitúcií.</w:t>
      </w:r>
    </w:p>
    <w:p>
      <w:pPr>
        <w:ind w:left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Smernice 19</w:t>
      </w:r>
      <w:r>
        <w:rPr>
          <w:rFonts w:ascii="Times New Roman" w:hAnsi="Times New Roman" w:cs="Times New Roman"/>
        </w:rPr>
        <w:t>90/604/EHS a 1990/605/EHS sú novelami smerníc 1978/660/EHS a 83/349/EHS.</w:t>
      </w:r>
    </w:p>
    <w:p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  Smernica </w:t>
      </w:r>
      <w:r>
        <w:rPr>
          <w:rFonts w:ascii="Times New Roman" w:hAnsi="Times New Roman" w:cs="Times New Roman"/>
        </w:rPr>
        <w:t>1991/674/EHS sa týka sa ročných účtov  a konsolidovaných účtov poisťovní.</w:t>
      </w:r>
    </w:p>
    <w:p>
      <w:pPr>
        <w:pStyle w:val="N-textsodrkami"/>
        <w:tabs>
          <w:tab w:val="clear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 xml:space="preserve">Smernice </w:t>
      </w:r>
      <w:r>
        <w:rPr>
          <w:rFonts w:ascii="Times New Roman" w:hAnsi="Times New Roman" w:cs="Times New Roman"/>
        </w:rPr>
        <w:t xml:space="preserve">1994/8/ES, 1999/60ES a 2003/38/ES sú novelami smernice </w:t>
      </w:r>
      <w:r>
        <w:rPr>
          <w:rFonts w:ascii="Times New Roman" w:hAnsi="Times New Roman" w:cs="Times New Roman"/>
          <w:szCs w:val="24"/>
        </w:rPr>
        <w:t>78/660/EHS, čo sa týka revízie čiastok vyjadrených v ECU.</w:t>
      </w:r>
    </w:p>
    <w:p>
      <w:pPr>
        <w:pStyle w:val="N-textsodrkami"/>
        <w:tabs>
          <w:tab w:val="clear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2"/>
        </w:rPr>
        <w:t xml:space="preserve">Smernice 2001/65/ES a 2003/51/ES sú novelami smerníc </w:t>
      </w:r>
      <w:r>
        <w:rPr>
          <w:rFonts w:ascii="Times New Roman" w:hAnsi="Times New Roman" w:cs="Times New Roman"/>
          <w:szCs w:val="24"/>
        </w:rPr>
        <w:t xml:space="preserve">78/660/EHS, 83/349/EHS a 86/635/EHS </w:t>
      </w:r>
      <w:r>
        <w:rPr>
          <w:rFonts w:ascii="Times New Roman" w:hAnsi="Times New Roman" w:cs="Times New Roman"/>
        </w:rPr>
        <w:t>a 91/674/ES.</w:t>
      </w:r>
    </w:p>
    <w:p>
      <w:pPr>
        <w:ind w:left="284"/>
        <w:jc w:val="both"/>
        <w:rPr>
          <w:rFonts w:ascii="Times New Roman" w:hAnsi="Times New Roman" w:cs="Times New Roman"/>
          <w:szCs w:val="22"/>
        </w:rPr>
      </w:pPr>
    </w:p>
    <w:p>
      <w:pPr>
        <w:ind w:left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Zrevidované preklady uvedených smerníc sa nachádzajú v databáze Centrálnej prekladateľskej jednotky Inštitútu pre aproximáciu práva Sekcie Úradu vlády SR a v elektronickej podobe je možné si ich vyhľadať na internetovej stránke </w:t>
      </w:r>
      <w:hyperlink r:id="rId4" w:history="1">
        <w:r>
          <w:rPr>
            <w:rStyle w:val="Hyperlink"/>
            <w:rFonts w:ascii="Times New Roman" w:hAnsi="Times New Roman" w:cs="Times New Roman"/>
            <w:szCs w:val="22"/>
          </w:rPr>
          <w:t>www.aprox.government.gov.sk</w:t>
        </w:r>
      </w:hyperlink>
      <w:r>
        <w:rPr>
          <w:rFonts w:ascii="Times New Roman" w:hAnsi="Times New Roman" w:cs="Times New Roman"/>
          <w:szCs w:val="22"/>
        </w:rPr>
        <w:t xml:space="preserve">. </w:t>
      </w:r>
    </w:p>
    <w:p>
      <w:pPr>
        <w:ind w:left="284"/>
        <w:jc w:val="both"/>
        <w:rPr>
          <w:rFonts w:ascii="Times New Roman" w:hAnsi="Times New Roman" w:cs="Times New Roman"/>
          <w:szCs w:val="22"/>
        </w:rPr>
      </w:pPr>
    </w:p>
    <w:p>
      <w:pPr>
        <w:pStyle w:val="N-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2"/>
        </w:rPr>
        <w:t>d)</w:t>
        <w:tab/>
        <w:t>nie je upravená v práve Európskej únie.</w:t>
      </w:r>
    </w:p>
    <w:p>
      <w:pPr>
        <w:ind w:left="283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Stupeň zlučiteľnosti návrhu zákona s právom Európskych spoločenstiev a právom Európskej únie:</w:t>
      </w:r>
    </w:p>
    <w:p>
      <w:pPr>
        <w:pStyle w:val="N-text"/>
        <w:ind w:left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Návrh zákona je úplne zlučiteľný s uvedenými smernicami.</w:t>
      </w:r>
    </w:p>
    <w:p>
      <w:pPr>
        <w:pStyle w:val="ZkladntextChar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Gestor:</w:t>
      </w:r>
    </w:p>
    <w:p>
      <w:pPr>
        <w:pStyle w:val="N-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>Ministerstvo financií Slovenskej republiky.</w:t>
      </w:r>
    </w:p>
    <w:p>
      <w:pPr>
        <w:pStyle w:val="ZkladntextChar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tlNadpisbodov11p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Účasť expertov pri príprave návrhu zákona a ich stanovisko k zlučiteľnosti návrhu zákona s právom Európskych spoločenstiev a právom Európskej únie:</w:t>
      </w:r>
    </w:p>
    <w:p>
      <w:pPr>
        <w:pStyle w:val="N-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príprave návrhu zákona sa nezúčastnili experti.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C7325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">
    <w:nsid w:val="42AF7427"/>
    <w:multiLevelType w:val="multilevel"/>
    <w:tmpl w:val="5D285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2">
    <w:nsid w:val="48B63449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autoSpaceDE/>
      <w:autoSpaceDN/>
      <w:jc w:val="center"/>
    </w:pPr>
    <w:rPr>
      <w:rFonts w:ascii="Arial" w:hAnsi="Arial"/>
    </w:rPr>
  </w:style>
  <w:style w:type="paragraph" w:styleId="BodyText3">
    <w:name w:val="Body Text 3"/>
    <w:basedOn w:val="Normal"/>
    <w:pPr>
      <w:jc w:val="center"/>
    </w:pPr>
    <w:rPr>
      <w:b/>
      <w:sz w:val="28"/>
    </w:rPr>
  </w:style>
  <w:style w:type="paragraph" w:customStyle="1" w:styleId="tlNadpisbodov11pt">
    <w:name w:val="Štýl Nadpis bodov + 11 pt"/>
    <w:basedOn w:val="Normal"/>
    <w:pPr>
      <w:numPr>
        <w:ilvl w:val="0"/>
        <w:numId w:val="1"/>
      </w:numPr>
      <w:tabs>
        <w:tab w:val="left" w:pos="360"/>
      </w:tabs>
      <w:spacing w:after="120"/>
      <w:ind w:left="360" w:hanging="360"/>
      <w:jc w:val="both"/>
    </w:pPr>
    <w:rPr>
      <w:b/>
      <w:bCs/>
      <w:iCs/>
      <w:szCs w:val="20"/>
    </w:rPr>
  </w:style>
  <w:style w:type="paragraph" w:customStyle="1" w:styleId="N-text">
    <w:name w:val="N-text"/>
    <w:basedOn w:val="Normal"/>
    <w:pPr>
      <w:tabs>
        <w:tab w:val="left" w:pos="284"/>
      </w:tabs>
      <w:jc w:val="both"/>
    </w:pPr>
    <w:rPr>
      <w:szCs w:val="20"/>
    </w:rPr>
  </w:style>
  <w:style w:type="paragraph" w:customStyle="1" w:styleId="ZkladntextChar">
    <w:name w:val="Základní text Char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-textsodrkami">
    <w:name w:val="N-text s odrážkami"/>
    <w:basedOn w:val="N-text"/>
    <w:pPr>
      <w:spacing w:after="120"/>
      <w:ind w:left="284"/>
      <w:jc w:val="both"/>
    </w:pPr>
  </w:style>
  <w:style w:type="paragraph" w:customStyle="1" w:styleId="Considrant">
    <w:name w:val="Considérant"/>
    <w:basedOn w:val="Normal"/>
    <w:pPr>
      <w:numPr>
        <w:ilvl w:val="0"/>
        <w:numId w:val="2"/>
      </w:numPr>
      <w:tabs>
        <w:tab w:val="left" w:pos="360"/>
      </w:tabs>
      <w:spacing w:before="120" w:after="120"/>
      <w:ind w:left="360" w:hanging="360"/>
      <w:jc w:val="both"/>
    </w:pPr>
    <w:rPr>
      <w:lang w:val="en-GB" w:eastAsia="ko-KR"/>
    </w:rPr>
  </w:style>
  <w:style w:type="character" w:customStyle="1" w:styleId="ZkladntextCharChar">
    <w:name w:val="Základní text Char Char"/>
    <w:basedOn w:val="DefaultParagraphFont"/>
    <w:rPr>
      <w:color w:val="000000"/>
      <w:sz w:val="24"/>
      <w:rtl w:val="0"/>
      <w:lang w:val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prox.government.gov.s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738</Words>
  <Characters>4212</Characters>
  <Application>Microsoft Office Word</Application>
  <DocSecurity>0</DocSecurity>
  <Lines>0</Lines>
  <Paragraphs>0</Paragraphs>
  <ScaleCrop>false</ScaleCrop>
  <Company>MFSR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ZLUČlTEĽNOSTI</dc:title>
  <dc:creator>pzamecnikova</dc:creator>
  <cp:lastModifiedBy>Marta Gulárová</cp:lastModifiedBy>
  <cp:revision>2</cp:revision>
  <dcterms:created xsi:type="dcterms:W3CDTF">2004-06-21T11:28:00Z</dcterms:created>
  <dcterms:modified xsi:type="dcterms:W3CDTF">2004-06-21T11:28:00Z</dcterms:modified>
</cp:coreProperties>
</file>