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spacing w:line="360" w:lineRule="auto"/>
        <w:jc w:val="center"/>
        <w:rPr>
          <w:rFonts w:ascii="Times New Roman" w:hAnsi="Times New Roman" w:cs="Times New Roman"/>
          <w:b/>
        </w:rPr>
      </w:pPr>
      <w:r>
        <w:rPr>
          <w:rFonts w:ascii="Times New Roman" w:hAnsi="Times New Roman" w:cs="Times New Roman"/>
          <w:b/>
        </w:rPr>
        <w:t>D ô v o d o v á   s p r á v a</w:t>
      </w:r>
    </w:p>
    <w:p>
      <w:pPr>
        <w:spacing w:line="360" w:lineRule="auto"/>
        <w:jc w:val="both"/>
        <w:rPr>
          <w:rFonts w:ascii="Times New Roman" w:hAnsi="Times New Roman" w:cs="Times New Roman"/>
        </w:rPr>
      </w:pPr>
    </w:p>
    <w:p>
      <w:pPr>
        <w:spacing w:line="360" w:lineRule="auto"/>
        <w:jc w:val="both"/>
        <w:rPr>
          <w:rFonts w:ascii="Times New Roman" w:hAnsi="Times New Roman" w:cs="Times New Roman"/>
        </w:rPr>
      </w:pPr>
    </w:p>
    <w:p>
      <w:pPr>
        <w:numPr>
          <w:ilvl w:val="0"/>
          <w:numId w:val="1"/>
        </w:numPr>
        <w:tabs>
          <w:tab w:val="left" w:pos="360"/>
        </w:tabs>
        <w:spacing w:line="360" w:lineRule="auto"/>
        <w:jc w:val="both"/>
        <w:rPr>
          <w:rFonts w:ascii="Times New Roman" w:hAnsi="Times New Roman" w:cs="Times New Roman"/>
          <w:b/>
        </w:rPr>
      </w:pPr>
      <w:r>
        <w:rPr>
          <w:rFonts w:ascii="Times New Roman" w:hAnsi="Times New Roman" w:cs="Times New Roman"/>
          <w:b/>
        </w:rPr>
        <w:t>Všeobecná časť</w:t>
      </w:r>
    </w:p>
    <w:p>
      <w:pPr>
        <w:spacing w:line="360" w:lineRule="auto"/>
        <w:ind w:left="360"/>
        <w:jc w:val="both"/>
        <w:rPr>
          <w:rFonts w:ascii="Times New Roman" w:hAnsi="Times New Roman" w:cs="Times New Roman"/>
        </w:rPr>
      </w:pPr>
    </w:p>
    <w:p>
      <w:pPr>
        <w:ind w:firstLine="720"/>
        <w:jc w:val="both"/>
        <w:rPr>
          <w:rFonts w:ascii="Times New Roman" w:hAnsi="Times New Roman" w:cs="Times New Roman"/>
        </w:rPr>
      </w:pPr>
      <w:r>
        <w:rPr>
          <w:rFonts w:ascii="Times New Roman" w:hAnsi="Times New Roman" w:cs="Times New Roman"/>
        </w:rPr>
        <w:t>Návrh zákona, ktorým sa mení a dopĺňa zákon č. 431/2002 Z. z. o účtovníctve v znení zákona č. 562/2003 Z.z. bol vypracovaný v súlade s „Plánom legislatívnych úloh vlády SR na rok 2004“. Tento zákon patrí medzi priority z hľadiska aproximácie právnych noriem.</w:t>
      </w:r>
    </w:p>
    <w:p>
      <w:pPr>
        <w:ind w:firstLine="720"/>
        <w:jc w:val="both"/>
        <w:rPr>
          <w:rFonts w:ascii="Times New Roman" w:hAnsi="Times New Roman" w:cs="Times New Roman"/>
        </w:rPr>
      </w:pPr>
      <w:r>
        <w:rPr>
          <w:rFonts w:ascii="Times New Roman" w:hAnsi="Times New Roman" w:cs="Times New Roman"/>
        </w:rPr>
        <w:t xml:space="preserve">V súčasnosti platný zákon a k nemu vydané opatrenia  sú úplne porovnateľné   s príslušnými smernicami Európskeho spoločenstva, ktoré boli pristupujúce  krajiny povinné zapracovať do svojej legislatívy do 31. decembra 2004.  Cieľom predkladanej novely zákona je zapracovanie zmien vyplývajúcich z prijatia smernice Európskeho parlamentu a rady č. 2003/51/ES z 18. júna 2003, ktorou sa menia smernice 78/660/EHS, 83/349//EHS, 86/635/ES a 91/647/ES o ročnej a konsolidovanej účtovnej závierke niektorých typov spoločností, bánk a iných finančných inštitúcií a poisťovní.  Smernica nadobúda účinnosť 1. januára 2005. Súčasne sa týmto zákonom zabezpečuje aj rozšírenie účinnosti  Nariadenia (ES) č. 1606/2002 Európskeho parlamentu a rady o uplatňovaní medzinárodných účtovných noriem a nariadenia komisie (ES) č. 1725/2003 o prijatí určitých medzinárodných účtovných štandardov v nadväznosti na nariadenie  (ES) č. 1606/2002 Európskeho parlamentu a rady. </w:t>
      </w:r>
    </w:p>
    <w:p>
      <w:pPr>
        <w:ind w:firstLine="720"/>
        <w:jc w:val="both"/>
        <w:rPr>
          <w:rFonts w:ascii="Times New Roman" w:hAnsi="Times New Roman" w:cs="Times New Roman"/>
        </w:rPr>
      </w:pPr>
      <w:r>
        <w:rPr>
          <w:rFonts w:ascii="Times New Roman" w:hAnsi="Times New Roman" w:cs="Times New Roman"/>
        </w:rPr>
        <w:t>Nariadenie Európskeho parlamentu a Rady č. 1606/2002, ktorým sa v rámci EU zavádzajú Medzinárodné štandardy finančného účtovníctva ukladajú zostavovať konsolidovanú účtovnú závierku podľa medzinárodných štandardov finančného výkazníctva</w:t>
      </w:r>
    </w:p>
    <w:p>
      <w:pPr>
        <w:numPr>
          <w:ilvl w:val="0"/>
          <w:numId w:val="4"/>
        </w:numPr>
        <w:tabs>
          <w:tab w:val="left" w:pos="720"/>
        </w:tabs>
        <w:jc w:val="both"/>
        <w:rPr>
          <w:rFonts w:ascii="Times New Roman" w:hAnsi="Times New Roman" w:cs="Times New Roman"/>
        </w:rPr>
      </w:pPr>
      <w:r>
        <w:rPr>
          <w:rFonts w:ascii="Times New Roman" w:hAnsi="Times New Roman" w:cs="Times New Roman"/>
        </w:rPr>
        <w:t>spoločnostiam registrovaným na kapitálový</w:t>
      </w:r>
      <w:r>
        <w:rPr>
          <w:rFonts w:ascii="Times New Roman" w:hAnsi="Times New Roman" w:cs="Times New Roman"/>
        </w:rPr>
        <w:t>ch trhoch EÚ  od roku 2005,</w:t>
      </w:r>
    </w:p>
    <w:p>
      <w:pPr>
        <w:numPr>
          <w:ilvl w:val="0"/>
          <w:numId w:val="4"/>
        </w:numPr>
        <w:tabs>
          <w:tab w:val="left" w:pos="720"/>
        </w:tabs>
        <w:jc w:val="both"/>
        <w:rPr>
          <w:rFonts w:ascii="Times New Roman" w:hAnsi="Times New Roman" w:cs="Times New Roman"/>
        </w:rPr>
      </w:pPr>
      <w:r>
        <w:rPr>
          <w:rFonts w:ascii="Times New Roman" w:hAnsi="Times New Roman" w:cs="Times New Roman"/>
        </w:rPr>
        <w:t>spoločnostiam registrovaným na kapitálových trhoch mimo EÚ, ktoré zostavujú účtovnú závierku podľa iných uznávaných štandardov môžu členské štáty umožniť odklad až do roku 2007,</w:t>
      </w:r>
    </w:p>
    <w:p>
      <w:pPr>
        <w:numPr>
          <w:ilvl w:val="0"/>
          <w:numId w:val="4"/>
        </w:numPr>
        <w:tabs>
          <w:tab w:val="left" w:pos="720"/>
        </w:tabs>
        <w:jc w:val="both"/>
        <w:rPr>
          <w:rFonts w:ascii="Times New Roman" w:hAnsi="Times New Roman" w:cs="Times New Roman"/>
        </w:rPr>
      </w:pPr>
      <w:r>
        <w:rPr>
          <w:rFonts w:ascii="Times New Roman" w:hAnsi="Times New Roman" w:cs="Times New Roman"/>
        </w:rPr>
        <w:t>spoločnostiam, ktoré majú kótované len dlžné cenné papiere uložilo povinnosť používať medzinárodné štandardy finančného výkazníctva od roku 2007.</w:t>
      </w:r>
    </w:p>
    <w:p>
      <w:pPr>
        <w:jc w:val="both"/>
        <w:rPr>
          <w:rFonts w:ascii="Times New Roman" w:hAnsi="Times New Roman" w:cs="Times New Roman"/>
        </w:rPr>
      </w:pPr>
      <w:r>
        <w:rPr>
          <w:rFonts w:ascii="Times New Roman" w:hAnsi="Times New Roman" w:cs="Times New Roman"/>
        </w:rPr>
        <w:t>Zároveň nariadenie dáva možnosť, aby medzinárodné štandardy finančného výkazníctva používali všetky spoločnosti s verejne obchodovateľnými cennými papiermi.</w:t>
      </w:r>
    </w:p>
    <w:p>
      <w:pPr>
        <w:ind w:firstLine="708"/>
        <w:jc w:val="both"/>
        <w:rPr>
          <w:rFonts w:ascii="Times New Roman" w:hAnsi="Times New Roman" w:cs="Times New Roman"/>
        </w:rPr>
      </w:pPr>
      <w:r>
        <w:rPr>
          <w:rFonts w:ascii="Times New Roman" w:hAnsi="Times New Roman" w:cs="Times New Roman"/>
        </w:rPr>
        <w:t>Nariadenie umožňuje členským štátom ďalej rozhodnúť, že konsolidovanú účtovnú závierku podľa medzinárodných štandardov finančného výkazníctva zostavia aj iné spoločnosti, prípadne môžu rozhodnúť, že podľa medzinárodných štandardov finančného výkazníctva budú niektoré spoločnosti zostavovať aj individuálnu účtovnú závierku. Odborná verejnosť, ako aj členovia Národnej riadiacej komisie pre posilnenie kapacít účtovníctva, finančného výkazníctva a audítorstva odporúčali, aby sa konsolidovaná účtovná závierka na Slovensku od roku 2005 robila už iba podľa  medzinárodných štandardov finančného výkazníctva a aby určité vytipované spoločnosti, ktoré už aj v súčasnosti majú s používaním  medzinárodných štandardov finančného výkazníctva skúsenosti, začali zostavovať svoju individuálnu účtovnú závierku podľa medzinárodných štandardov finančného výkazníctva od roku 2006. Tieto odporúčania sú zapracované v návrhu zákona.</w:t>
      </w:r>
    </w:p>
    <w:p>
      <w:pPr>
        <w:ind w:firstLine="708"/>
        <w:jc w:val="both"/>
        <w:rPr>
          <w:rFonts w:ascii="Times New Roman" w:hAnsi="Times New Roman" w:cs="Times New Roman"/>
        </w:rPr>
      </w:pPr>
      <w:r>
        <w:rPr>
          <w:rFonts w:ascii="Times New Roman" w:hAnsi="Times New Roman" w:cs="Times New Roman"/>
        </w:rPr>
        <w:t>Používaním medzinárodných štandardov finančného výkazníctva sa  zabezpečí porovnateľnosť a „čitateľnosť“ účtovných závierok našich subjektov so zahraničnými čo do obsahu, ale aj správnosti prezentovania. Do návrhu novely zákona o účtovníctve boli zapracované presné podmienky pre zostavovanie konsolidovanej účtovnej závierky, ako aj podmienky pre oslobodenie účtovnej jednotky od povinnosti konsolidovať v súlade so Siedmou smernicou ES.</w:t>
      </w:r>
    </w:p>
    <w:p>
      <w:pPr>
        <w:jc w:val="both"/>
        <w:rPr>
          <w:rFonts w:ascii="Times New Roman" w:hAnsi="Times New Roman" w:cs="Times New Roman"/>
        </w:rPr>
      </w:pPr>
      <w:r>
        <w:rPr>
          <w:rFonts w:ascii="Times New Roman" w:hAnsi="Times New Roman" w:cs="Times New Roman"/>
        </w:rPr>
        <w:tab/>
        <w:t xml:space="preserve">Návrh zákona ustanovuje, že na účtovné jednotky, ktoré budú zostavovať svoju účtovnú závierku podľa medzinárodných štandardov finančného výkazníctva sa tento zákon bude vzťahovať iba primerane. To znamená, že na tieto účtovné jednotky sa budú vzťahovať ustanovenia zákona iba za oblasti, ktoré medzinárodné štandardy finančného výkazníctva neriešia (napr. účtovné doklady, účtovné zápisy, účtovné knihy, archivácia, inventarizácia).  Medzinárodné štandardy finančného výkazníctva sú uceleným kompaktným súborom účtovných štandardov, ktoré platia ako celok a členské krajiny do prijatého znenia nemôžu už vstupovať, nemôžu účtovným jednotkám predpisovať, ktorý postup použijú a ani poskytovať výklady k nim. Ide o platnú Európsku legislatívu a účtovné jednotky, ktorých sa bude týkať ju musia dodržať. Takmer všetky účtovné jednotky, ktoré budú zostavovať účtovnú závierku podľa medzinárodných štandardov finančného výkazníctva s používaním týchto štandardov už skúsenosti majú. Ide spravidla o finančné inštitúcie a veľké podniky. </w:t>
      </w:r>
    </w:p>
    <w:p>
      <w:pPr>
        <w:ind w:firstLine="708"/>
        <w:jc w:val="both"/>
        <w:rPr>
          <w:rFonts w:ascii="Times New Roman" w:hAnsi="Times New Roman" w:cs="Times New Roman"/>
        </w:rPr>
      </w:pPr>
      <w:r>
        <w:rPr>
          <w:rFonts w:ascii="Times New Roman" w:hAnsi="Times New Roman" w:cs="Times New Roman"/>
        </w:rPr>
        <w:t xml:space="preserve">Súčasne novela zákona ďalej približuje slovenské účtovníctvo k medzinárodným štandardom finančného výkazníctva cestou postupných krokov tak, aby sa rozdiely eliminovali na najmenšiu možnú mieru a aby postupný prechod na používanie medzinárodných štandardov finančného výkazníctva pre väčšie množstvo účtovných jednotiek nebol pre ne neúmernou záťažou. </w:t>
      </w:r>
    </w:p>
    <w:p>
      <w:pPr>
        <w:jc w:val="both"/>
        <w:rPr>
          <w:rFonts w:ascii="Times New Roman" w:hAnsi="Times New Roman" w:cs="Times New Roman"/>
        </w:rPr>
      </w:pPr>
      <w:r>
        <w:rPr>
          <w:rFonts w:ascii="Times New Roman" w:hAnsi="Times New Roman" w:cs="Times New Roman"/>
        </w:rPr>
        <w:tab/>
        <w:t xml:space="preserve">Návrh novely zákona je plne porovnateľný s právom Európskych spoločenstiev, stupeň právnej zlučiteľnosti je na úrovni úplnej kompatibility. Navrhovaný zákon nebude mať priamy ani nepriamy dopad na štátny rozpočet, rozpočty obcí a vyšších územných celkov. Pre účtovné jednotky, ktoré povinne zostavujú konsolidovanú účtovnú závierku sa znížia náklady na zostavovanie konsolidovanej účtovnej závierky podľa slovenských právnych predpisov, od roku 2006 v niektorých spoločnostiach aj náklady na zostavovanie individuálnej účtovnej závierky podľa slovenských predpisov.  </w:t>
      </w:r>
    </w:p>
    <w:p>
      <w:pPr>
        <w:ind w:firstLine="708"/>
        <w:jc w:val="both"/>
        <w:rPr>
          <w:rFonts w:ascii="Times New Roman" w:hAnsi="Times New Roman" w:cs="Times New Roman"/>
        </w:rPr>
      </w:pPr>
      <w:r>
        <w:rPr>
          <w:rFonts w:ascii="Times New Roman" w:hAnsi="Times New Roman" w:cs="Times New Roman"/>
        </w:rPr>
        <w:t>Cesta postupného prechodu princípov slovenského účtovníctva na účtovné princípy medzinárodných štandardov finančného výkazníctva sa začala už v roku 2000. Zákon č. 431/2002 Z.z. o účtovníctve v znení zákona č. 562/2003 Z.z.  umožnil účtovným jednotkám zostavovať svoju účtovnú závierku aj podľa medzinárodných štandardov finančného výkazníctva, ale ako povinnosť sa im to ukladá až týmto zákonom. Postupne boli za pomoci Svetovej banky vytvárané podmienky na vzdelávanie ako účtovníkov, tak aj audítorov a očakáva sa, že táto povinnosť nespôsobí vytipovaným účtovným jednotkám žiadny problém.</w:t>
      </w:r>
    </w:p>
    <w:p>
      <w:pPr>
        <w:rPr>
          <w:rFonts w:ascii="Times New Roman" w:hAnsi="Times New Roman" w:cs="Times New Roman"/>
          <w:b/>
        </w:rPr>
      </w:pPr>
    </w:p>
    <w:p>
      <w:pPr>
        <w:rPr>
          <w:rFonts w:ascii="Times New Roman" w:hAnsi="Times New Roman" w:cs="Times New Roman"/>
          <w:b/>
        </w:rPr>
      </w:pPr>
      <w:r>
        <w:rPr>
          <w:rFonts w:ascii="Times New Roman" w:hAnsi="Times New Roman" w:cs="Times New Roman"/>
          <w:b/>
        </w:rPr>
        <w:t>Osobitná časť</w:t>
      </w: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1 </w:t>
      </w:r>
    </w:p>
    <w:p>
      <w:pPr>
        <w:jc w:val="both"/>
        <w:rPr>
          <w:rFonts w:ascii="Times New Roman" w:hAnsi="Times New Roman" w:cs="Times New Roman"/>
        </w:rPr>
      </w:pPr>
      <w:r>
        <w:rPr>
          <w:rFonts w:ascii="Times New Roman" w:hAnsi="Times New Roman" w:cs="Times New Roman"/>
        </w:rPr>
        <w:t>Odkaz pod čiarou bol nahradený novým zákonom o dani z príjmov platný od 1. 1. 2004.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 a 3</w:t>
      </w:r>
    </w:p>
    <w:p>
      <w:pPr>
        <w:jc w:val="both"/>
        <w:rPr>
          <w:rFonts w:ascii="Times New Roman" w:hAnsi="Times New Roman" w:cs="Times New Roman"/>
        </w:rPr>
      </w:pPr>
      <w:r>
        <w:rPr>
          <w:rFonts w:ascii="Times New Roman" w:hAnsi="Times New Roman" w:cs="Times New Roman"/>
        </w:rPr>
        <w:t>Upresňujú sa definície majetku, záväzkov, výnosov a aktív tak, aby boli v súlade s požiadavkami medzinárodných štandardov finančného výkazníctva. Definície majetku, záväzkov a aktív spĺňajú tri základné kritéria: sú výsledkom minulých udalostí, dajú sa spoľahlivo oceniť a je pravdepodobné, že povedú k zvýšeniu alebo zníženiu ekonomických úžitkov. Posledné kritérium – kontrola, je prijaté iba v obmedzenom rozsahu prostredníctvom § 28, pretože jeho úplné zavedenie by znamenalo, že pre  účtovníctvo by už právny stav vlastníctva nebol prioritný, s čím nepočítajú daňové predpisy, štatistika ani obchodný zákonník. V definícii nákladu a výnosu sa dopĺňa spoľahlivosť ocenenia.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 a 5</w:t>
      </w:r>
    </w:p>
    <w:p>
      <w:pPr>
        <w:jc w:val="both"/>
        <w:rPr>
          <w:rFonts w:ascii="Times New Roman" w:hAnsi="Times New Roman" w:cs="Times New Roman"/>
        </w:rPr>
      </w:pPr>
      <w:r>
        <w:rPr>
          <w:rFonts w:ascii="Times New Roman" w:hAnsi="Times New Roman" w:cs="Times New Roman"/>
        </w:rPr>
        <w:t>Možnosť uplatniť  účtovné obdobie  - hospodársky rok bola daná účtovným jednotkám na základe písomného oznámenia na miestne príslušný daňový úrad. Naďalej nemôžu uplatniť hospodársky rok rozpočtové organizácie, príspevkové organizácie, obec, vyšší územný celok,  a boli vyňaté aj verejné vysoké školy, štátne fondy, zdravotná poisťovňa, Sociálna poisťovňa, Fond národného majetku Slovenskej republiky a Pozemkový fond, pretože sú napojené svojim vzťahom na štátny rozpočet, ktorý sa naďalej zostavuje za kalendárny rok. Nadväzne sa vypúšťajú aj poznámky pod čiarou.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 až 8</w:t>
      </w:r>
    </w:p>
    <w:p>
      <w:pPr>
        <w:jc w:val="both"/>
        <w:rPr>
          <w:rFonts w:ascii="Times New Roman" w:hAnsi="Times New Roman" w:cs="Times New Roman"/>
        </w:rPr>
      </w:pPr>
      <w:r>
        <w:rPr>
          <w:rFonts w:ascii="Times New Roman" w:hAnsi="Times New Roman" w:cs="Times New Roman"/>
        </w:rPr>
        <w:t>Cieľom navrhovaného znenia je riešiť osobitný stav v účtovníctve, keď účtovná jednotka zaniká bez likvidácie  a deň zániku nemusí byť vždy totožný s dňom zrušenia. Doteraz vznikali situácie, keď sa účtovná jednotka zrušila bez likvidácie, jej majetok a záväzky prešli na nástupnícku organizáciu a musela viesť účtovníctvo do dňa právneho zániku. Zosúlaďuje sa so znením v zákone o dani z príjmov.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9</w:t>
      </w:r>
    </w:p>
    <w:p>
      <w:pPr>
        <w:jc w:val="both"/>
        <w:rPr>
          <w:rFonts w:ascii="Times New Roman" w:hAnsi="Times New Roman" w:cs="Times New Roman"/>
        </w:rPr>
      </w:pPr>
      <w:r>
        <w:rPr>
          <w:rFonts w:ascii="Times New Roman" w:hAnsi="Times New Roman" w:cs="Times New Roman"/>
        </w:rPr>
        <w:t>Odkaz pod čiarou bol nahradený novým zákonom o kolektívnom investovaní.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10</w:t>
      </w:r>
    </w:p>
    <w:p>
      <w:pPr>
        <w:jc w:val="both"/>
        <w:rPr>
          <w:rFonts w:ascii="Times New Roman" w:hAnsi="Times New Roman" w:cs="Times New Roman"/>
        </w:rPr>
      </w:pPr>
      <w:r>
        <w:rPr>
          <w:rFonts w:ascii="Times New Roman" w:hAnsi="Times New Roman" w:cs="Times New Roman"/>
        </w:rPr>
        <w:t>Účtovná jednotka je zodpovedná za preukázateľnosť účtovníctva na území Slovenskej republiky, ale to vyplýva z ostatných ustanovení tohto zákona. Účtovníctvo si môže dať viesť aj na území iného štátu (využíva sa najmä vo vzťahu k organizačným zložkám).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11</w:t>
      </w:r>
    </w:p>
    <w:p>
      <w:pPr>
        <w:jc w:val="both"/>
        <w:rPr>
          <w:rFonts w:ascii="Times New Roman" w:hAnsi="Times New Roman" w:cs="Times New Roman"/>
        </w:rPr>
      </w:pPr>
      <w:r>
        <w:rPr>
          <w:rFonts w:ascii="Times New Roman" w:hAnsi="Times New Roman" w:cs="Times New Roman"/>
        </w:rPr>
        <w:t>Odkaz pod čiarou bol doplnený novým zákonom o dani z príjmov.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12 </w:t>
      </w:r>
    </w:p>
    <w:p>
      <w:pPr>
        <w:jc w:val="both"/>
        <w:rPr>
          <w:rFonts w:ascii="Times New Roman" w:hAnsi="Times New Roman" w:cs="Times New Roman"/>
        </w:rPr>
      </w:pPr>
      <w:r>
        <w:rPr>
          <w:rFonts w:ascii="Times New Roman" w:hAnsi="Times New Roman" w:cs="Times New Roman"/>
        </w:rPr>
        <w:t>Upresňuje sa znenie o používaní účtovných zásad a účtovných metód. Pôvodné znenie bolo niekedy interpretované tak, že ho účtovná jednotka môže urobiť iba na začiatku účtovného obdobia a keď to nestihne, už nemôže zásady a metódy meniť. Účtovné zásady a účtovné metódy sa môžu zmeniť počas účtovného obdobia, v opodstatnených  prípadoch, ale nová účtovná zásada a účtovná metóda sa musí použiť na celé účtovné obdobie, čiže musí ju zmeniť spätne od začiatku účtovného obdobia a používať počas celého účtovného obdobia a musí o tejto zmene informovať v účtovnej závierke v poznámkach.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13</w:t>
      </w:r>
    </w:p>
    <w:p>
      <w:pPr>
        <w:jc w:val="both"/>
        <w:rPr>
          <w:rFonts w:ascii="Times New Roman" w:hAnsi="Times New Roman" w:cs="Times New Roman"/>
        </w:rPr>
      </w:pPr>
      <w:r>
        <w:rPr>
          <w:rFonts w:ascii="Times New Roman" w:hAnsi="Times New Roman" w:cs="Times New Roman"/>
        </w:rPr>
        <w:t>Politické strany a politické hnutia budú povinné viesť podvojné účtovníctvo, a to v záujme transparentnosti príjmov a výdavkov. Podľa návrhu zákona o politických stranách a politických hnutiach sa ustanovujú osobitné povinnosti súvisiace s hospodárením a financovaním najmä povinnosť overovať výročnú správu audítorom tak, aby bola zabezpečená transparentnosť a legálnosť príjmov a výdavkov. Uvedený návrh zákona má nadobudnúť účinnosť 1. januára 2005 a vychádza z uznesenia Národnej rady Slovenska č. 213 zo 6. 3. 2003, ktorým národná rada vyzvala vládu SR, aby predložila návrh zákona o financovaní politických strán, ako aj z Odporúčaní Rady Európy (2003/4) o spoločných pravidlách proti korupcii p</w:t>
      </w:r>
      <w:r>
        <w:rPr>
          <w:rFonts w:ascii="Times New Roman" w:hAnsi="Times New Roman" w:cs="Times New Roman"/>
        </w:rPr>
        <w:t>ri financovaní politických strán a volebných kampaní.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14</w:t>
      </w:r>
    </w:p>
    <w:p>
      <w:pPr>
        <w:jc w:val="both"/>
        <w:rPr>
          <w:rFonts w:ascii="Times New Roman" w:hAnsi="Times New Roman" w:cs="Times New Roman"/>
        </w:rPr>
      </w:pPr>
      <w:r>
        <w:rPr>
          <w:rFonts w:ascii="Times New Roman" w:hAnsi="Times New Roman" w:cs="Times New Roman"/>
        </w:rPr>
        <w:t>Vypúšťa sa ustanovenie o povinnom pripojení podpisového záznamu osoby zodpovednej za vykonanie účtovného zápisu.  Podpisový záznam, ako dôležitá skutočnosť preukázateľnosti je v § 10 pri účtovnom doklade. Ustanovenie bolo v praxi ťažko aplikovateľné.</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15</w:t>
      </w:r>
    </w:p>
    <w:p>
      <w:pPr>
        <w:jc w:val="both"/>
        <w:rPr>
          <w:rFonts w:ascii="Times New Roman" w:hAnsi="Times New Roman" w:cs="Times New Roman"/>
        </w:rPr>
      </w:pPr>
      <w:r>
        <w:rPr>
          <w:rFonts w:ascii="Times New Roman" w:hAnsi="Times New Roman" w:cs="Times New Roman"/>
        </w:rPr>
        <w:t>Odstraňuje sa chybné znenie.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16 až 18</w:t>
      </w:r>
    </w:p>
    <w:p>
      <w:pPr>
        <w:jc w:val="both"/>
        <w:rPr>
          <w:rFonts w:ascii="Times New Roman" w:hAnsi="Times New Roman" w:cs="Times New Roman"/>
        </w:rPr>
      </w:pPr>
      <w:r>
        <w:rPr>
          <w:rFonts w:ascii="Times New Roman" w:hAnsi="Times New Roman" w:cs="Times New Roman"/>
        </w:rPr>
        <w:t>Národný úrad práce od 1.1.2004 zanikol a jeho funkcie pri výbere poistného prevzala Sociálna poisťovňa. Súčasne sa vypúšťa aj poznámka pod čiarou a odkaz 17 sa nahrádza aktuálnym znením.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20 a 22</w:t>
      </w:r>
    </w:p>
    <w:p>
      <w:pPr>
        <w:jc w:val="both"/>
        <w:rPr>
          <w:rFonts w:ascii="Times New Roman" w:hAnsi="Times New Roman" w:cs="Times New Roman"/>
        </w:rPr>
      </w:pPr>
      <w:r>
        <w:rPr>
          <w:rFonts w:ascii="Times New Roman" w:hAnsi="Times New Roman" w:cs="Times New Roman"/>
        </w:rPr>
        <w:t>Nadväzne na úpravu v § 4 ods. 3, kedy pri účtovných jednotkách  zanikajúcich bez likvidácie odo dňa zrušenia bez likvidácie do dňa zániku vedie účtovníctvo nástupnícka účtovná jednotka. Ustanovenie sa dopĺňa o povinnosť otvoriť k tomuto dňu účtovné knihy a zostaviť otváraciu súvahu.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23 </w:t>
      </w:r>
    </w:p>
    <w:p>
      <w:pPr>
        <w:jc w:val="both"/>
        <w:rPr>
          <w:rFonts w:ascii="Times New Roman" w:hAnsi="Times New Roman" w:cs="Times New Roman"/>
        </w:rPr>
      </w:pPr>
      <w:r>
        <w:rPr>
          <w:rFonts w:ascii="Times New Roman" w:hAnsi="Times New Roman" w:cs="Times New Roman"/>
        </w:rPr>
        <w:t>Upresňuje sa ustanovenie o tom, že účtovná jednotka účtuje o stave, ktorý existoval ku dňu účtovnej závierky, ale pri zostavovaní účtovnej závierky berie do úvahy aj informácie, ktoré získala až po tomto dni  a zohľadňuje ich až do dňa zostavenia (napr. s prihliadnutím na tieto informácie prehodnocuje výšku vytvorených rezerv a opravných položiek, alebo výšku odhadných účtov).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24</w:t>
      </w:r>
    </w:p>
    <w:p>
      <w:pPr>
        <w:rPr>
          <w:rFonts w:ascii="Times New Roman" w:hAnsi="Times New Roman" w:cs="Times New Roman"/>
        </w:rPr>
      </w:pPr>
      <w:r>
        <w:rPr>
          <w:rFonts w:ascii="Times New Roman" w:hAnsi="Times New Roman" w:cs="Times New Roman"/>
        </w:rPr>
        <w:t>Vkladá sa nový § 17a, ktorý ustanovuje pre určité typy účtovných jednotiek povinné zostavovanie individuálnej účtovnej závierky od roku 2006 podľa medzinárodných štandardov finančného výkazníctva. Ide o účtovné jednotky, ktoré od roku 2005 budú povinne zostavovať konsolidovanú účtovnú závierku podľa medzinárodných štandardov finančného výkazníctva a majú skúsenosť s používaním týchto štandardov. Spravidla pôjde o finančné inštitúcie, komerčné poisťovne (zriadené podľa zákona   č. 95/2002 Z.z.  o poisťovníctve), obchodníkov s cennými papiermi a veľké účtovné jednotky. Predpokladá sa, že okolo 30 veľkých podnikov splní stanovené kritéria. Účinnosť tohto ustanovenie bola posunutá na rok 2006, aby sa účtovné jednotky mohli na túto zmenu pripraviť v dostatočnom časovom predstihu. Na účtovnú jednotku, ktorá zostavuje účtovnú závierku a výročnú správu podľa medzinárodných štandardov finančného výkazníctva sa tento zákon bude vzťahovať iba primerane. To znamená, že na tieto účtovné jednotky sa budú ustanovenia zákona vzťahovať iba za časti, ktoré medzinárodné štandardy finančného výkazníctva neriešia (napr. účtovné doklady, účtovné zápisy, účtovné knihy, archivácia, inventarizácia).</w:t>
      </w:r>
    </w:p>
    <w:p>
      <w:pPr>
        <w:autoSpaceDE/>
        <w:autoSpaceDN/>
        <w:ind w:right="-1" w:firstLine="567"/>
        <w:jc w:val="both"/>
        <w:rPr>
          <w:rFonts w:ascii="Times New Roman" w:hAnsi="Times New Roman" w:cs="Times New Roman"/>
        </w:rPr>
      </w:pPr>
      <w:r>
        <w:rPr>
          <w:rFonts w:ascii="Times New Roman" w:hAnsi="Times New Roman" w:cs="Times New Roman"/>
        </w:rPr>
        <w:t>Vkladá sa § 17b z dôvodu, že od 1.</w:t>
      </w:r>
      <w:r>
        <w:rPr>
          <w:rFonts w:ascii="Symbol" w:hAnsi="Symbol" w:cs="Times New Roman"/>
        </w:rPr>
        <w:sym w:font="Symbol" w:char="F020"/>
      </w:r>
      <w:r>
        <w:rPr>
          <w:rFonts w:ascii="Times New Roman" w:hAnsi="Times New Roman" w:cs="Times New Roman"/>
        </w:rPr>
        <w:t>mája 2004, kedy sa Slovenská republika stala súčasťou Európskej únie, je Národná banka Slovenska nielen národnou centrálnou bankou v Slovenskej republike, ale zároveň je súčasťou Európskeho systému centrálnych bánk. Činnosť Národnej banky Slovenska ako centrálnej banky v Slovenskej republike je upravená a regulovaná zákon</w:t>
      </w:r>
      <w:r>
        <w:rPr>
          <w:rFonts w:ascii="Times New Roman" w:hAnsi="Times New Roman" w:cs="Times New Roman"/>
        </w:rPr>
        <w:t>om NR</w:t>
      </w:r>
      <w:r>
        <w:rPr>
          <w:rFonts w:ascii="Symbol" w:hAnsi="Symbol" w:cs="Times New Roman"/>
        </w:rPr>
        <w:sym w:font="Symbol" w:char="F020"/>
      </w:r>
      <w:r>
        <w:rPr>
          <w:rFonts w:ascii="Times New Roman" w:hAnsi="Times New Roman" w:cs="Times New Roman"/>
        </w:rPr>
        <w:t>SR č.</w:t>
      </w:r>
      <w:r>
        <w:rPr>
          <w:rFonts w:ascii="Symbol" w:hAnsi="Symbol" w:cs="Times New Roman"/>
        </w:rPr>
        <w:sym w:font="Symbol" w:char="F020"/>
      </w:r>
      <w:r>
        <w:rPr>
          <w:rFonts w:ascii="Times New Roman" w:hAnsi="Times New Roman" w:cs="Times New Roman"/>
        </w:rPr>
        <w:t>566/1992</w:t>
      </w:r>
      <w:r>
        <w:rPr>
          <w:rFonts w:ascii="Symbol" w:hAnsi="Symbol" w:cs="Times New Roman"/>
        </w:rPr>
        <w:sym w:font="Symbol" w:char="F020"/>
      </w:r>
      <w:r>
        <w:rPr>
          <w:rFonts w:ascii="Times New Roman" w:hAnsi="Times New Roman" w:cs="Times New Roman"/>
        </w:rPr>
        <w:t>Zb. o Národnej banke Slovenska v znení neskorších predpisov a je výrazne odlišná od činnosti komerčných bánk a ostatných podnikateľských subjektov. Táto špecifická činnosť národnej centrálnej banky si vyžaduje špecifické pravidlá aj v oblasti účtovníctva. Táto úprava umožňuje Národnej banke Slovenska  od 1.</w:t>
      </w:r>
      <w:r>
        <w:rPr>
          <w:rFonts w:ascii="Symbol" w:hAnsi="Symbol" w:cs="Times New Roman"/>
        </w:rPr>
        <w:sym w:font="Symbol" w:char="F020"/>
      </w:r>
      <w:r>
        <w:rPr>
          <w:rFonts w:ascii="Times New Roman" w:hAnsi="Times New Roman" w:cs="Times New Roman"/>
        </w:rPr>
        <w:t>1.</w:t>
      </w:r>
      <w:r>
        <w:rPr>
          <w:rFonts w:ascii="Symbol" w:hAnsi="Symbol" w:cs="Times New Roman"/>
        </w:rPr>
        <w:sym w:font="Symbol" w:char="F020"/>
      </w:r>
      <w:r>
        <w:rPr>
          <w:rFonts w:ascii="Times New Roman" w:hAnsi="Times New Roman" w:cs="Times New Roman"/>
        </w:rPr>
        <w:t>2006 uplatňovať účtovné postupy platné pre národné centrálne banky členských štátov Eurosystému.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25</w:t>
      </w:r>
    </w:p>
    <w:p>
      <w:pPr>
        <w:jc w:val="both"/>
        <w:rPr>
          <w:rFonts w:ascii="Times New Roman" w:hAnsi="Times New Roman" w:cs="Times New Roman"/>
        </w:rPr>
      </w:pPr>
      <w:r>
        <w:rPr>
          <w:rFonts w:ascii="Times New Roman" w:hAnsi="Times New Roman" w:cs="Times New Roman"/>
        </w:rPr>
        <w:t>Ustanovenie upresňuje, ktoré informácie sa majú uvádzať v poznámkach. Ide o informácie o udalostiach, ktoré nastali v čase odo dňa, ku ktorému sa zostavuje účtovná závierka do dňa  zostavenia účtovnej závierky, ktoré sa týkajú účtovného obdobia, ale aj tie, ktoré nastali v nasledujúcom účtovnom období, ale ich dôsledky menia významným spôsobom pohľad na finančnú situáciu  (napr. ak účtovnej jednotke vyhorí prevádzka po dni, ku ktorému sa zostavovala účtovná závierka).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26</w:t>
      </w:r>
    </w:p>
    <w:p>
      <w:pPr>
        <w:jc w:val="both"/>
        <w:rPr>
          <w:rFonts w:ascii="Times New Roman" w:hAnsi="Times New Roman" w:cs="Times New Roman"/>
        </w:rPr>
      </w:pPr>
      <w:r>
        <w:rPr>
          <w:rFonts w:ascii="Times New Roman" w:hAnsi="Times New Roman" w:cs="Times New Roman"/>
        </w:rPr>
        <w:t>Priemerný počet pracovníkov sa nahrádza priemerným prepočítaným počtom pracovníkov, čo je objektívny ukazovateľ vychádzajúci zo štatistických metód a je používaný bežne v personálnej agende.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27</w:t>
      </w:r>
    </w:p>
    <w:p>
      <w:pPr>
        <w:jc w:val="both"/>
        <w:rPr>
          <w:rFonts w:ascii="Times New Roman" w:hAnsi="Times New Roman" w:cs="Times New Roman"/>
        </w:rPr>
      </w:pPr>
      <w:r>
        <w:rPr>
          <w:rFonts w:ascii="Times New Roman" w:hAnsi="Times New Roman" w:cs="Times New Roman"/>
        </w:rPr>
        <w:t>Pre účtovné jednotky, ktoré budú zostavovať individuálnu účtovnú závierku podľa medzinárodných štandardov finančného výkazníctva sa ustanovuje povinný au</w:t>
      </w:r>
      <w:r>
        <w:rPr>
          <w:rFonts w:ascii="Times New Roman" w:hAnsi="Times New Roman" w:cs="Times New Roman"/>
        </w:rPr>
        <w:t>dit.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28</w:t>
      </w:r>
    </w:p>
    <w:p>
      <w:pPr>
        <w:jc w:val="both"/>
        <w:rPr>
          <w:rFonts w:ascii="Times New Roman" w:hAnsi="Times New Roman" w:cs="Times New Roman"/>
        </w:rPr>
      </w:pPr>
      <w:r>
        <w:rPr>
          <w:rFonts w:ascii="Times New Roman" w:hAnsi="Times New Roman" w:cs="Times New Roman"/>
        </w:rPr>
        <w:t xml:space="preserve">Nahrádza sa znenie „do konca nasledujúceho účtovného obdobia“ znením „do jedného roka“, kvôli možnosti, že pri prechode účtovnej jednotky na iné účtovné obdobie môže byť účtovné obdobie kratšie ako rok príliš krátke (napr. iba dva mesiace) </w:t>
      </w:r>
      <w:r>
        <w:rPr>
          <w:rFonts w:ascii="Times New Roman" w:hAnsi="Times New Roman" w:cs="Times New Roman"/>
        </w:rPr>
        <w:t xml:space="preserve">na všetky povinnosti vyplývajúce zo zákona.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29</w:t>
      </w:r>
    </w:p>
    <w:p>
      <w:pPr>
        <w:jc w:val="both"/>
        <w:rPr>
          <w:rFonts w:ascii="Times New Roman" w:hAnsi="Times New Roman" w:cs="Times New Roman"/>
        </w:rPr>
      </w:pPr>
      <w:r>
        <w:rPr>
          <w:rFonts w:ascii="Times New Roman" w:hAnsi="Times New Roman" w:cs="Times New Roman"/>
        </w:rPr>
        <w:t>Poznámka pod čiarou sa nahrádza v súčasnosti platným zákonom.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30</w:t>
      </w:r>
    </w:p>
    <w:p>
      <w:pPr>
        <w:jc w:val="both"/>
        <w:rPr>
          <w:rFonts w:ascii="Times New Roman" w:hAnsi="Times New Roman" w:cs="Times New Roman"/>
        </w:rPr>
      </w:pPr>
      <w:r>
        <w:rPr>
          <w:rFonts w:ascii="Times New Roman" w:hAnsi="Times New Roman" w:cs="Times New Roman"/>
        </w:rPr>
        <w:t>Zosúlaďuje sa so znením v smernici a so zákonom č. 466/2002 Z.z. o audítoroch a Slovenskej komore audítorov. Audítor neoveruje výročnú správu ako takú, ale overuje iba súlad výročnej správy s účtovnou závierkou.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31</w:t>
      </w:r>
    </w:p>
    <w:p>
      <w:pPr>
        <w:jc w:val="both"/>
        <w:rPr>
          <w:rFonts w:ascii="Times New Roman" w:hAnsi="Times New Roman" w:cs="Times New Roman"/>
        </w:rPr>
      </w:pPr>
      <w:r>
        <w:rPr>
          <w:rFonts w:ascii="Times New Roman" w:hAnsi="Times New Roman" w:cs="Times New Roman"/>
        </w:rPr>
        <w:t>Upravuje sa obsah výročnej správy v nadväznosti na aplikáciu smernice Európskeho parlamentu a rady 2003/51/ES z 18. júna 2003, ktorou sa menia smernice 78/660/EHS, 83/349//EHS, 86/635/ES a 91/647/ES o ročnej a konsolidovanej účtovnej závierke niektorých typov spoločností, bánk a iných finančných inštitúcií a poisťovní.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32 </w:t>
      </w:r>
    </w:p>
    <w:p>
      <w:pPr>
        <w:jc w:val="both"/>
        <w:rPr>
          <w:rFonts w:ascii="Times New Roman" w:hAnsi="Times New Roman" w:cs="Times New Roman"/>
        </w:rPr>
      </w:pPr>
      <w:r>
        <w:rPr>
          <w:rFonts w:ascii="Times New Roman" w:hAnsi="Times New Roman" w:cs="Times New Roman"/>
        </w:rPr>
        <w:t>Odstraňuje sa chybné znenie.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33</w:t>
      </w:r>
    </w:p>
    <w:p>
      <w:pPr>
        <w:jc w:val="both"/>
        <w:rPr>
          <w:rFonts w:ascii="Times New Roman" w:hAnsi="Times New Roman" w:cs="Times New Roman"/>
        </w:rPr>
      </w:pPr>
      <w:r>
        <w:rPr>
          <w:rFonts w:ascii="Times New Roman" w:hAnsi="Times New Roman" w:cs="Times New Roman"/>
        </w:rPr>
        <w:t xml:space="preserve">Aplikovaním Siedmej smernice priamo do ustanovenia § 22 sa vymedzil pre potreby konsolidácie pojem „dcérska účtovná jednotka“ a „materská účtovná jednotka“, ktoré nie sú totožné s pojmami „ovládanej a ovládajúcej osoby“.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34</w:t>
      </w:r>
    </w:p>
    <w:p>
      <w:pPr>
        <w:jc w:val="both"/>
        <w:rPr>
          <w:rFonts w:ascii="Times New Roman" w:hAnsi="Times New Roman" w:cs="Times New Roman"/>
        </w:rPr>
      </w:pPr>
      <w:r>
        <w:rPr>
          <w:rFonts w:ascii="Times New Roman" w:hAnsi="Times New Roman" w:cs="Times New Roman"/>
        </w:rPr>
        <w:t>Zosúlaďuje sa so znením v smernici a so zákonom č. 466/2004 Z.z. o audítoroch a Slovenskej komore audítorov. Audítor neoveruje výročnú správu ako takú, ale overuje iba súlad výročnej správy s účtovnou závierkou.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35</w:t>
      </w:r>
    </w:p>
    <w:p>
      <w:pPr>
        <w:jc w:val="both"/>
        <w:rPr>
          <w:rFonts w:ascii="Times New Roman" w:hAnsi="Times New Roman" w:cs="Times New Roman"/>
        </w:rPr>
      </w:pPr>
      <w:r>
        <w:rPr>
          <w:rFonts w:ascii="Times New Roman" w:hAnsi="Times New Roman" w:cs="Times New Roman"/>
        </w:rPr>
        <w:t>Ustanovenie bolo doplnené v nadväznosti na aplikáciu smernice Európskeho parlamentu a rady 2003/51/ES z 18. júna 2003, ktorou sa menia smernice 78/660/EHS, 83/349//EHS, 86/635/ES a 91/647/ES o ročnej a konsolidovanej účtovnej závierke niektorých typov spoločností, bánk a iných finančných inštitúcií a poisťovní.</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36 a 37</w:t>
      </w:r>
    </w:p>
    <w:p>
      <w:pPr>
        <w:jc w:val="both"/>
        <w:rPr>
          <w:rFonts w:ascii="Times New Roman" w:hAnsi="Times New Roman" w:cs="Times New Roman"/>
        </w:rPr>
      </w:pPr>
      <w:r>
        <w:rPr>
          <w:rFonts w:ascii="Times New Roman" w:hAnsi="Times New Roman" w:cs="Times New Roman"/>
        </w:rPr>
        <w:t xml:space="preserve">Upravuje sa znenie v nadväznosti na  Obchodný zákonník. Podľa Obchodného zákonníka sa schvaľuje účtovná závierka nie výročná správa. Súčasne sa rozlišuje medzi uložením do zbierky listín a zverejnením. Povinnosť uložiť účtovnú závierku v úplnom znení majú všetky dotknuté účtovné jednotky. Povinnosť zverejnenia v obchodnom vestníku sa vzťahuje na súvahu a výkaz ziskov a strát, ktoré poskytujú aspoň základné informácie o účtovnej jednotke. Súčasne v takomto prípade účtovná jednotka musí zverejniť, akým spôsobom bola účtovná závierka zverejnená. Týmto ustanovením sa aplikuje článok 49 Štvrtej smernice Rady EU. Úplné účtovné závierky budú uložené v zbierke listín a na požiadanie každému dostupné. Okrem toho účtovné jednotky uvedené v § 17a zabezpečia zverejnenie úplnej účtovnej závierky </w:t>
      </w:r>
      <w:r>
        <w:rPr>
          <w:rFonts w:ascii="Times New Roman" w:hAnsi="Times New Roman" w:cs="Times New Roman"/>
        </w:rPr>
        <w:t>na internete.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Konsolidovaná účtovná závierka sa zostavuje podľa medzinárodných štandardov finančného výkazníctva po prvýkrát za účtovné obdobie začínajúce po 1.1.2005. Medzinárodné štandardy finančného výkazníctva neupravujú priamo ktoré účtovné jednotky majú povinnosť konsolidovanú účtovnú závierku (ďalej len „KUZ“) zostavovať, z toho dôvodu sa kritéria pre povinnosť zostavovania   KUZ preberajú zo Siedmej smernice Rady č. 83/349/EHS z 13. júna 1983  založená na článku 54 (3) g) zmluvy o spoločných účtoch. Nad rámec úpravy Siedmej smernice boli medzi povinné účtovné jednotky doplnené družstvá a štátne podniky, pretože často vlastnia veľké množstvo podielov v iných účtovných jednotkách. V § 22 sa presne vymedzuje kedy má účtovná jednotka povinnosť zostavovať KUZ a kedy môže byť od zostavovania KUZ oslobodená. Povinnosť zostaviť KUZ má len tá účtovná jednotka, ktorá je materským podnikom, čo spravidla znamená, že má viac ako 50 % hlasovacích práv. Zákon už naďalej nebude upravovať metódy konsolidácie, pretože na zostavovanie KUZ a konsolidovanej výročne správy sa použijú medzinárodné účtovné štandardy, ktoré Európska únia prijala Nariadením (ES) č. 1606/2002 Európskeho parlamentu a rady o uplatňovaní medzinárodných účtovných noriem a nariadením komisie (ES) č. 1725/2003 o prijatí určitých medzinárodných účtovných štandardov v nadväznosti na nariadenie  (ES) č. 1606/2002 Európskeho parlamentu a rady, ktoré sú na území členského štátu priamo aplikovateľné.</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38</w:t>
      </w:r>
    </w:p>
    <w:p>
      <w:pPr>
        <w:jc w:val="both"/>
        <w:rPr>
          <w:rFonts w:ascii="Times New Roman" w:hAnsi="Times New Roman" w:cs="Times New Roman"/>
        </w:rPr>
      </w:pPr>
      <w:r>
        <w:rPr>
          <w:rFonts w:ascii="Times New Roman" w:hAnsi="Times New Roman" w:cs="Times New Roman"/>
        </w:rPr>
        <w:t>Upravilo sa znenie vypustením prvého slova „alebo“ a nahradením druhého slova „alebo“ slovom „a“. Kvôli zrozumiteľnosti sa uvádza úplné znenie.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39</w:t>
      </w:r>
    </w:p>
    <w:p>
      <w:pPr>
        <w:jc w:val="both"/>
        <w:rPr>
          <w:rFonts w:ascii="Times New Roman" w:hAnsi="Times New Roman" w:cs="Times New Roman"/>
        </w:rPr>
      </w:pPr>
      <w:r>
        <w:rPr>
          <w:rFonts w:ascii="Times New Roman" w:hAnsi="Times New Roman" w:cs="Times New Roman"/>
        </w:rPr>
        <w:t xml:space="preserve">Ide o upresnenie kúpy a predaja cudzej meny za slovenskú menu, pričom prevod z devízového účtu na bežný účet  a opačne sa považuje za predaj alebo </w:t>
      </w:r>
      <w:r>
        <w:rPr>
          <w:rFonts w:ascii="Times New Roman" w:hAnsi="Times New Roman" w:cs="Times New Roman"/>
        </w:rPr>
        <w:t>kúpu.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40</w:t>
      </w:r>
    </w:p>
    <w:p>
      <w:pPr>
        <w:jc w:val="both"/>
        <w:rPr>
          <w:rFonts w:ascii="Times New Roman" w:hAnsi="Times New Roman" w:cs="Times New Roman"/>
        </w:rPr>
      </w:pPr>
      <w:r>
        <w:rPr>
          <w:rFonts w:ascii="Times New Roman" w:hAnsi="Times New Roman" w:cs="Times New Roman"/>
        </w:rPr>
        <w:t>Dopĺňa sa možnosť oceňovať v určitých prípadoch reálnou hodnotou ku dňu uskutočnenia účtovného prípadu. V uvádzaných prípadoch sa obvykle cena určuje na základe posudku znalca a táto cena sa potom musí premietnuť aj v účtovníctve.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w:t>
      </w:r>
      <w:r>
        <w:rPr>
          <w:rFonts w:ascii="Times New Roman" w:hAnsi="Times New Roman" w:cs="Times New Roman"/>
        </w:rPr>
        <w:t>41</w:t>
      </w:r>
    </w:p>
    <w:p>
      <w:pPr>
        <w:jc w:val="both"/>
        <w:rPr>
          <w:rFonts w:ascii="Times New Roman" w:hAnsi="Times New Roman" w:cs="Times New Roman"/>
        </w:rPr>
      </w:pPr>
      <w:r>
        <w:rPr>
          <w:rFonts w:ascii="Times New Roman" w:hAnsi="Times New Roman" w:cs="Times New Roman"/>
        </w:rPr>
        <w:t>Upresňuje sa, že ocenenie úbytku váženým aritmetickým priemerom možno robiť vždy iba s prihliadnutím na verné a pravdivé zobrazenie zásob, tzn. takéto ocenenie možno použiť, ak  ocenenie zásob je približne v rovnakej hodnote, nie vtedy ak ocenenie je vý</w:t>
      </w:r>
      <w:r>
        <w:rPr>
          <w:rFonts w:ascii="Times New Roman" w:hAnsi="Times New Roman" w:cs="Times New Roman"/>
        </w:rPr>
        <w:t xml:space="preserve">razne odlišné.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42</w:t>
      </w:r>
    </w:p>
    <w:p>
      <w:pPr>
        <w:jc w:val="both"/>
        <w:rPr>
          <w:rFonts w:ascii="Times New Roman" w:hAnsi="Times New Roman" w:cs="Times New Roman"/>
        </w:rPr>
      </w:pPr>
      <w:r>
        <w:rPr>
          <w:rFonts w:ascii="Times New Roman" w:hAnsi="Times New Roman" w:cs="Times New Roman"/>
        </w:rPr>
        <w:t>Dopĺňa sa možnosť pre účtovné jednotky účtujúce v sústave jednoduchého účtovníctva tvoriť rezervy, ktoré pripúšťa zákona o daniach z príjmov.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43 </w:t>
      </w:r>
    </w:p>
    <w:p>
      <w:pPr>
        <w:jc w:val="both"/>
        <w:rPr>
          <w:rFonts w:ascii="Times New Roman" w:hAnsi="Times New Roman" w:cs="Times New Roman"/>
        </w:rPr>
      </w:pPr>
      <w:r>
        <w:rPr>
          <w:rFonts w:ascii="Times New Roman" w:hAnsi="Times New Roman" w:cs="Times New Roman"/>
        </w:rPr>
        <w:t>Poznámka pod čiarou sa nahrádza v súčasnosti platným zákonom.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44</w:t>
      </w:r>
    </w:p>
    <w:p>
      <w:pPr>
        <w:jc w:val="both"/>
        <w:rPr>
          <w:rFonts w:ascii="Times New Roman" w:hAnsi="Times New Roman" w:cs="Times New Roman"/>
        </w:rPr>
      </w:pPr>
      <w:r>
        <w:rPr>
          <w:rFonts w:ascii="Times New Roman" w:hAnsi="Times New Roman" w:cs="Times New Roman"/>
        </w:rPr>
        <w:t>Podľa smernice č. 2001/65 ES a podľa medzinárodných štandardov finančného výkazníctva  sa podiely na základnom imaní v obchodných spoločnostiach  do 20 % majú oceňovať reálnou hodnotou.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45</w:t>
      </w:r>
    </w:p>
    <w:p>
      <w:pPr>
        <w:jc w:val="both"/>
        <w:rPr>
          <w:rFonts w:ascii="Times New Roman" w:hAnsi="Times New Roman" w:cs="Times New Roman"/>
        </w:rPr>
      </w:pPr>
      <w:r>
        <w:rPr>
          <w:rFonts w:ascii="Times New Roman" w:hAnsi="Times New Roman" w:cs="Times New Roman"/>
        </w:rPr>
        <w:t>Vypustením slov sa dosiahne, že sa jednotlivé zložky majetku a záväzkov v obchodných spoločnostiach alebo družstvách, ktoré zaniknú bez likvidácie budú oceňovať trhovou cenou, kvalifikovaným odhadom alebo posudkom znalca alebo v iných prípadoch podľa osobitného predpisu.</w:t>
      </w:r>
    </w:p>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K bodu 46</w:t>
      </w:r>
    </w:p>
    <w:p>
      <w:pPr>
        <w:jc w:val="both"/>
        <w:rPr>
          <w:rFonts w:ascii="Times New Roman" w:hAnsi="Times New Roman" w:cs="Times New Roman"/>
        </w:rPr>
      </w:pPr>
      <w:r>
        <w:rPr>
          <w:rFonts w:ascii="Times New Roman" w:hAnsi="Times New Roman" w:cs="Times New Roman"/>
        </w:rPr>
        <w:t>Opravuje sa chybné znenie.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w:t>
      </w:r>
      <w:r>
        <w:rPr>
          <w:rFonts w:ascii="Times New Roman" w:hAnsi="Times New Roman" w:cs="Times New Roman"/>
        </w:rPr>
        <w:t xml:space="preserve">u 47 </w:t>
      </w:r>
    </w:p>
    <w:p>
      <w:pPr>
        <w:jc w:val="both"/>
        <w:rPr>
          <w:rFonts w:ascii="Times New Roman" w:hAnsi="Times New Roman" w:cs="Times New Roman"/>
        </w:rPr>
      </w:pPr>
      <w:r>
        <w:rPr>
          <w:rFonts w:ascii="Times New Roman" w:hAnsi="Times New Roman" w:cs="Times New Roman"/>
        </w:rPr>
        <w:t>Nahrádza sa platným znením.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48</w:t>
      </w:r>
    </w:p>
    <w:p>
      <w:pPr>
        <w:jc w:val="both"/>
        <w:rPr>
          <w:rFonts w:ascii="Times New Roman" w:hAnsi="Times New Roman" w:cs="Times New Roman"/>
        </w:rPr>
      </w:pPr>
      <w:r>
        <w:rPr>
          <w:rFonts w:ascii="Times New Roman" w:hAnsi="Times New Roman" w:cs="Times New Roman"/>
        </w:rPr>
        <w:t>Dopĺňa sa, že za kvalifikovaný odhad sa považuje aj iný odhad ako kvalifikovaný odhad definovaný podľa odseku 6. Tento odhad sa použije v prípadoch kedy osobitný predpis nevyžaduje znalecký posudok, ale odhad sa robí na základe odborných skúseností. Kvalifikovaný odhad definovaný v odseku 6 je vhodný len pre finančné nástroje.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49</w:t>
      </w:r>
    </w:p>
    <w:p>
      <w:pPr>
        <w:jc w:val="both"/>
        <w:rPr>
          <w:rFonts w:ascii="Times New Roman" w:hAnsi="Times New Roman" w:cs="Times New Roman"/>
        </w:rPr>
      </w:pPr>
      <w:r>
        <w:rPr>
          <w:rFonts w:ascii="Times New Roman" w:hAnsi="Times New Roman" w:cs="Times New Roman"/>
        </w:rPr>
        <w:t>Zosúlaďuje sa s pojmami používanými v medzinárodných štandardov finančného výkazníctva. Nadväzne na úpravu v bode 46 sa podiely na základnom imaní v obchodných spoločnostiach  do 20 % vynímajú z možnosti ocenenia metódou vlastného imania.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50</w:t>
      </w:r>
    </w:p>
    <w:p>
      <w:pPr>
        <w:jc w:val="both"/>
        <w:rPr>
          <w:rFonts w:ascii="Times New Roman" w:hAnsi="Times New Roman" w:cs="Times New Roman"/>
        </w:rPr>
      </w:pPr>
      <w:r>
        <w:rPr>
          <w:rFonts w:ascii="Times New Roman" w:hAnsi="Times New Roman" w:cs="Times New Roman"/>
        </w:rPr>
        <w:t>Vypustením slov sa dosiahlo, že pri hnuteľnom majetku a nehnuteľnostiach, pri ktorých sa nadobúda vlastnícke právo, majetok   účtuje a odpisuje  účtovná jednotka, ktorá majetok  používa.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51</w:t>
      </w:r>
    </w:p>
    <w:p>
      <w:pPr>
        <w:jc w:val="both"/>
        <w:rPr>
          <w:rFonts w:ascii="Times New Roman" w:hAnsi="Times New Roman" w:cs="Times New Roman"/>
        </w:rPr>
      </w:pPr>
      <w:r>
        <w:rPr>
          <w:rFonts w:ascii="Times New Roman" w:hAnsi="Times New Roman" w:cs="Times New Roman"/>
        </w:rPr>
        <w:t>V súlade so smernicami Európskej únie sa do päť rokov budú musieť odpísať aktivované zriaďovacie náklady, aktivované náklady na vývoj a goodwill. Ostatný nehmotný majetok môže účtovná jednotka odpisovať v súlade so stanoveným odpisovým plánom. Dividendy, podiely a tantiémy môže účtovná jednotka vyplácať iba vtedy, ak má úplne odpísané zriaďovacie náklady a náklady na výskum a vývoj, alebo ak výška  vytvorených fondov a výsledku hospodárenia určených na vyplácanie je vyššia ako celková výška neodpísaných zriaďovacích nákladov a nákladov na vývoj.</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52 a 53</w:t>
      </w:r>
    </w:p>
    <w:p>
      <w:pPr>
        <w:jc w:val="both"/>
        <w:rPr>
          <w:rFonts w:ascii="Times New Roman" w:hAnsi="Times New Roman" w:cs="Times New Roman"/>
        </w:rPr>
      </w:pPr>
      <w:r>
        <w:rPr>
          <w:rFonts w:ascii="Times New Roman" w:hAnsi="Times New Roman" w:cs="Times New Roman"/>
        </w:rPr>
        <w:t>§ 29 ods. 2  umožňoval účtovným jednotkám inventarizovať zásoby aj v priebehu účtovného obdobia, ale § 30 ods. 4 požadoval, aby inventarizácia hmotného majetku bola vždy vykonaná aj ku dňu, ku ktorému sa zostavuje účtovná závierka.. Doplnením tejto vety do § 30 sa umožnilo účtovným jednotkám vykonávať inventarizáciu aj v priebehu účtovného obdobia a upraviť stav zásob ku dňu, ku ktorému sa zostavuje účtovná závierka o prírastky a úbytky.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54 a 55</w:t>
      </w:r>
    </w:p>
    <w:p>
      <w:pPr>
        <w:jc w:val="both"/>
        <w:rPr>
          <w:rFonts w:ascii="Times New Roman" w:hAnsi="Times New Roman" w:cs="Times New Roman"/>
        </w:rPr>
      </w:pPr>
      <w:r>
        <w:rPr>
          <w:rFonts w:ascii="Times New Roman" w:hAnsi="Times New Roman" w:cs="Times New Roman"/>
        </w:rPr>
        <w:t>Odstraňuje sa chybné znenie.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56</w:t>
      </w:r>
    </w:p>
    <w:p>
      <w:pPr>
        <w:jc w:val="both"/>
        <w:rPr>
          <w:rFonts w:ascii="Times New Roman" w:hAnsi="Times New Roman" w:cs="Times New Roman"/>
        </w:rPr>
      </w:pPr>
      <w:r>
        <w:rPr>
          <w:rFonts w:ascii="Times New Roman" w:hAnsi="Times New Roman" w:cs="Times New Roman"/>
        </w:rPr>
        <w:t>Z dôvodu zvýšenia prehľadnosti pri stanovovaní pokút sa naďalej už budú vymedzovať iba paragrafy, za porušenie ktorých je možné uložiť pokutu vo výške do 3 % z celkovej sumy majetku. Za všetky ostatné porušenia zákona je možné uložiť pokutu do 1 % z celkovej sumy majetku.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57 a 58</w:t>
      </w:r>
    </w:p>
    <w:p>
      <w:pPr>
        <w:jc w:val="both"/>
        <w:rPr>
          <w:rFonts w:ascii="Times New Roman" w:hAnsi="Times New Roman" w:cs="Times New Roman"/>
        </w:rPr>
      </w:pPr>
      <w:r>
        <w:rPr>
          <w:rFonts w:ascii="Times New Roman" w:hAnsi="Times New Roman" w:cs="Times New Roman"/>
        </w:rPr>
        <w:t>Upravuje sa, že pokuta sa ukladá z netto sumy, nakoľko KUZ sa zostavuje v netto sume a brutto suma sa  nevykazuje.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59</w:t>
      </w:r>
    </w:p>
    <w:p>
      <w:pPr>
        <w:jc w:val="both"/>
        <w:rPr>
          <w:rFonts w:ascii="Times New Roman" w:hAnsi="Times New Roman" w:cs="Times New Roman"/>
        </w:rPr>
      </w:pPr>
      <w:r>
        <w:rPr>
          <w:rFonts w:ascii="Times New Roman" w:hAnsi="Times New Roman" w:cs="Times New Roman"/>
        </w:rPr>
        <w:t>Dopĺňajú sa porušenia podľa nového § 17a.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60 a 61</w:t>
      </w:r>
    </w:p>
    <w:p>
      <w:pPr>
        <w:jc w:val="both"/>
        <w:rPr>
          <w:rFonts w:ascii="Times New Roman" w:hAnsi="Times New Roman" w:cs="Times New Roman"/>
        </w:rPr>
      </w:pPr>
      <w:r>
        <w:rPr>
          <w:rFonts w:ascii="Times New Roman" w:hAnsi="Times New Roman" w:cs="Times New Roman"/>
        </w:rPr>
        <w:t>Upravuje sa, že pokuta sa ukladá z netto sumy, nakoľko KUZ sa zostavuje v netto sume a brutto suma sa  nevykazuje.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62</w:t>
      </w:r>
    </w:p>
    <w:p>
      <w:pPr>
        <w:jc w:val="both"/>
        <w:rPr>
          <w:rFonts w:ascii="Times New Roman" w:hAnsi="Times New Roman" w:cs="Times New Roman"/>
        </w:rPr>
      </w:pPr>
      <w:r>
        <w:rPr>
          <w:rFonts w:ascii="Times New Roman" w:hAnsi="Times New Roman" w:cs="Times New Roman"/>
        </w:rPr>
        <w:t>V prípade, ak účtovná jednotka postupovala v súlade s právom Európskej únie a Európskych spoločenstiev nepovažuje sa tento postup za porušenie zákona, ak aj tento zákon alebo opatrenia MFSR ustanovujú inak.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63, 66 a 67</w:t>
      </w:r>
    </w:p>
    <w:p>
      <w:pPr>
        <w:jc w:val="both"/>
        <w:rPr>
          <w:rFonts w:ascii="Times New Roman" w:hAnsi="Times New Roman" w:cs="Times New Roman"/>
        </w:rPr>
      </w:pPr>
      <w:r>
        <w:rPr>
          <w:rFonts w:ascii="Times New Roman" w:hAnsi="Times New Roman" w:cs="Times New Roman"/>
        </w:rPr>
        <w:t xml:space="preserve">V súčasnosti postupujú pracovníci daňových úradov pri kontrole podľa troch procesných zákonov. Zákon č. 511/1992 Zb. o správe daní a poplatkov, zákon č. 10/1996 Z.z. o kontrole v štátnej správe a zákon č. 71/1967 Zb. o správnom konaní. Zmenou sa zabezpečí, že kontrola účtovníctva sa bude môcť robiť podľa jedného procesného zákona. Pracovníci daňových úradov kontrolu aj tak vykonávajú súbežne s kontrolou správnosti vyčíslenia základu dane, pretože na preukazovanie sa používajú tie isté doklady.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64 a 65</w:t>
      </w:r>
    </w:p>
    <w:p>
      <w:pPr>
        <w:jc w:val="both"/>
        <w:rPr>
          <w:rFonts w:ascii="Times New Roman" w:hAnsi="Times New Roman" w:cs="Times New Roman"/>
        </w:rPr>
      </w:pPr>
      <w:r>
        <w:rPr>
          <w:rFonts w:ascii="Times New Roman" w:hAnsi="Times New Roman" w:cs="Times New Roman"/>
        </w:rPr>
        <w:t>Dopĺňa sa, že ak nie je možné zistiť celkovú sumu majetku z akéhokoľvek dôvodu, môžu daňové úrady uložiť pokutu účtovnej jednotke až do výšky 100 000 000,- Sk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68</w:t>
      </w:r>
    </w:p>
    <w:p>
      <w:pPr>
        <w:jc w:val="both"/>
        <w:rPr>
          <w:rFonts w:ascii="Times New Roman" w:hAnsi="Times New Roman" w:cs="Times New Roman"/>
        </w:rPr>
      </w:pPr>
      <w:r>
        <w:rPr>
          <w:rFonts w:ascii="Times New Roman" w:hAnsi="Times New Roman" w:cs="Times New Roman"/>
        </w:rPr>
        <w:t xml:space="preserve">V zákone o účtovníctve platnom od 1.1.2003 chýbali ustanovenia na ukladanie pokút za účtovné obdobia predchádzajúce roku 2003. Účtovné obdobie roku 2002 môže správca dane kontrolovať aj v roku 2005 a súčasný právny stav nedovoľuje za prípadné závažné porušenia ustanovení zákona o účtovníctve uložiť účtovnej jednotke pokutu. Podľa § 38 zákona o účtovníctve daňový úrad môže po prvýkrát uložiť pokutu až za kontrolované obdobie </w:t>
      </w:r>
      <w:r>
        <w:rPr>
          <w:rFonts w:ascii="Times New Roman" w:hAnsi="Times New Roman" w:cs="Times New Roman"/>
        </w:rPr>
        <w:t>roku 2003.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69</w:t>
      </w:r>
    </w:p>
    <w:p>
      <w:pPr>
        <w:jc w:val="both"/>
        <w:rPr>
          <w:rFonts w:ascii="Times New Roman" w:hAnsi="Times New Roman" w:cs="Times New Roman"/>
        </w:rPr>
      </w:pPr>
      <w:r>
        <w:rPr>
          <w:rFonts w:ascii="Times New Roman" w:hAnsi="Times New Roman" w:cs="Times New Roman"/>
        </w:rPr>
        <w:t>Podľa tohto zákona sa konsolidovaná účtovná závierka zostavuje po prvýkrát za  účtovné obdobie, ktoré sa začína  1.1.2005 a neskôr. Podľa § 17a sa individuálna účtovná závierka zostavuje po prvýkrát za účtovné obdobie, ktoré sa začína 1.1.2006 a neskôr. Podľa § 17b sa zostavuje Národná banka Slovenska účtovnú závierku za účtovné obdobie, ktoré sa začína po prvýkrát 1. januára 2006. na konania začaté pred 1. januárom 2005 sa vzťahuje zákon č. 71/1967 Zb. o správnom konaní.</w:t>
      </w:r>
    </w:p>
    <w:p>
      <w:pPr>
        <w:jc w:val="both"/>
        <w:rPr>
          <w:rFonts w:ascii="Times New Roman" w:hAnsi="Times New Roman" w:cs="Times New Roman"/>
        </w:rPr>
      </w:pPr>
      <w:r>
        <w:rPr>
          <w:rFonts w:ascii="Times New Roman" w:hAnsi="Times New Roman" w:cs="Times New Roman"/>
        </w:rPr>
        <w:t>Týmto zákonom sa preberajú právne akty Európskych spoločenstiev a Európskej únie uvedené v prílohe zákona.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článku II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Navrhovaná účinnosť zákona je od 1. januára 2005 okrem § 17a, ktorý nadobúda účinnosť 1. januára 2006.</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V Bratislave 16. júna 2004</w:t>
      </w:r>
    </w:p>
    <w:p>
      <w:pPr>
        <w:jc w:val="both"/>
        <w:rPr>
          <w:rFonts w:ascii="Times New Roman" w:hAnsi="Times New Roman" w:cs="Times New Roman"/>
        </w:rPr>
      </w:pPr>
    </w:p>
    <w:p>
      <w:pPr>
        <w:ind w:left="708"/>
        <w:jc w:val="both"/>
        <w:rPr>
          <w:rFonts w:ascii="Times New Roman" w:hAnsi="Times New Roman" w:cs="Times New Roman"/>
        </w:rPr>
      </w:pPr>
    </w:p>
    <w:p>
      <w:pPr>
        <w:ind w:left="708"/>
        <w:jc w:val="center"/>
        <w:rPr>
          <w:rFonts w:ascii="Times New Roman" w:hAnsi="Times New Roman" w:cs="Times New Roman"/>
        </w:rPr>
      </w:pPr>
      <w:r>
        <w:rPr>
          <w:rFonts w:ascii="Times New Roman" w:hAnsi="Times New Roman" w:cs="Times New Roman"/>
        </w:rPr>
        <w:t>Mikuláš Dzurin</w:t>
      </w:r>
      <w:r>
        <w:rPr>
          <w:rFonts w:ascii="Times New Roman" w:hAnsi="Times New Roman" w:cs="Times New Roman"/>
        </w:rPr>
        <w:t>da, v.r.</w:t>
      </w:r>
    </w:p>
    <w:p>
      <w:pPr>
        <w:ind w:left="708"/>
        <w:jc w:val="center"/>
        <w:rPr>
          <w:rFonts w:ascii="Times New Roman" w:hAnsi="Times New Roman" w:cs="Times New Roman"/>
        </w:rPr>
      </w:pPr>
      <w:r>
        <w:rPr>
          <w:rFonts w:ascii="Times New Roman" w:hAnsi="Times New Roman" w:cs="Times New Roman"/>
        </w:rPr>
        <w:t xml:space="preserve">predseda vlády Slovenskej republiky </w:t>
      </w: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center"/>
        <w:rPr>
          <w:rFonts w:ascii="Times New Roman" w:hAnsi="Times New Roman" w:cs="Times New Roman"/>
        </w:rPr>
      </w:pPr>
      <w:r>
        <w:rPr>
          <w:rFonts w:ascii="Times New Roman" w:hAnsi="Times New Roman" w:cs="Times New Roman"/>
        </w:rPr>
        <w:t>Ivan Mikloš, v.r.</w:t>
      </w:r>
    </w:p>
    <w:p>
      <w:pPr>
        <w:ind w:left="708"/>
        <w:jc w:val="center"/>
        <w:rPr>
          <w:rFonts w:ascii="Times New Roman" w:hAnsi="Times New Roman" w:cs="Times New Roman"/>
        </w:rPr>
      </w:pPr>
      <w:r>
        <w:rPr>
          <w:rFonts w:ascii="Times New Roman" w:hAnsi="Times New Roman" w:cs="Times New Roman"/>
        </w:rPr>
        <w:t xml:space="preserve">podpredseda vlády a minister financií SR </w:t>
      </w:r>
    </w:p>
    <w:p>
      <w:pPr>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9</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8D4"/>
    <w:multiLevelType w:val="hybridMultilevel"/>
    <w:tmpl w:val="16B43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D330D4"/>
    <w:multiLevelType w:val="singleLevel"/>
    <w:tmpl w:val="D0D62B56"/>
    <w:lvl w:ilvl="0">
      <w:start w:val="1"/>
      <w:numFmt w:val="lowerLetter"/>
      <w:lvlText w:val="%1)"/>
      <w:lvlJc w:val="left"/>
      <w:pPr>
        <w:tabs>
          <w:tab w:val="num" w:pos="720"/>
        </w:tabs>
        <w:ind w:left="720" w:hanging="360"/>
      </w:pPr>
    </w:lvl>
  </w:abstractNum>
  <w:abstractNum w:abstractNumId="2">
    <w:nsid w:val="349861FA"/>
    <w:multiLevelType w:val="hybridMultilevel"/>
    <w:tmpl w:val="B134946E"/>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6A729A9"/>
    <w:multiLevelType w:val="hybridMultilevel"/>
    <w:tmpl w:val="16E6C306"/>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uiPriority w:val="10"/>
    <w:qFormat/>
    <w:pPr>
      <w:jc w:val="center"/>
    </w:pPr>
    <w:rPr>
      <w:rFonts w:ascii="Arial" w:hAnsi="Arial"/>
      <w:szCs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Textbubliny">
    <w:name w:val="Text bubliny"/>
    <w:basedOn w:val="Normal"/>
    <w:semiHidden/>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3455</Words>
  <Characters>19699</Characters>
  <Application>Microsoft Office Word</Application>
  <DocSecurity>0</DocSecurity>
  <Lines>0</Lines>
  <Paragraphs>0</Paragraphs>
  <ScaleCrop>false</ScaleCrop>
  <Company>MFSR</Company>
  <LinksUpToDate>false</LinksUpToDate>
  <CharactersWithSpaces>24191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User</dc:creator>
  <cp:lastModifiedBy>Marta Gulárová</cp:lastModifiedBy>
  <cp:revision>4</cp:revision>
  <cp:lastPrinted>2004-06-21T13:27:00Z</cp:lastPrinted>
  <dcterms:created xsi:type="dcterms:W3CDTF">2004-06-22T05:00:00Z</dcterms:created>
  <dcterms:modified xsi:type="dcterms:W3CDTF">2004-06-22T08:12:00Z</dcterms:modified>
</cp:coreProperties>
</file>