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jc w:val="center"/>
        <w:rPr>
          <w:rFonts w:ascii="Times New Roman" w:hAnsi="Times New Roman" w:cs="Times New Roman"/>
        </w:rPr>
      </w:pPr>
      <w:r>
        <w:rPr>
          <w:rFonts w:ascii="Times New Roman" w:hAnsi="Times New Roman" w:cs="Times New Roman"/>
        </w:rPr>
        <w:t>NÁRODNÁ RADA SLOVENSKEJ REPUBLIKY</w:t>
      </w:r>
    </w:p>
    <w:p>
      <w:pPr>
        <w:pBdr>
          <w:bottom w:val="single" w:sz="12" w:space="1" w:color="auto"/>
        </w:pBdr>
        <w:jc w:val="center"/>
        <w:rPr>
          <w:rFonts w:ascii="Times New Roman" w:hAnsi="Times New Roman" w:cs="Times New Roman"/>
        </w:rPr>
      </w:pPr>
      <w:r>
        <w:rPr>
          <w:rFonts w:ascii="Times New Roman" w:hAnsi="Times New Roman" w:cs="Times New Roman"/>
        </w:rPr>
        <w:t>III. volebné obdobie</w:t>
      </w:r>
    </w:p>
    <w:p>
      <w:pPr>
        <w:jc w:val="center"/>
        <w:rPr>
          <w:rFonts w:ascii="Times New Roman" w:hAnsi="Times New Roman" w:cs="Times New Roman"/>
          <w:u w:val="single"/>
        </w:rPr>
      </w:pPr>
    </w:p>
    <w:p>
      <w:pPr>
        <w:jc w:val="center"/>
        <w:rPr>
          <w:rFonts w:ascii="Times New Roman" w:hAnsi="Times New Roman" w:cs="Times New Roman"/>
        </w:rPr>
      </w:pPr>
      <w:r>
        <w:rPr>
          <w:rFonts w:ascii="Times New Roman" w:hAnsi="Times New Roman" w:cs="Times New Roman"/>
        </w:rPr>
        <w:t>765</w:t>
      </w:r>
    </w:p>
    <w:p>
      <w:pPr>
        <w:jc w:val="center"/>
        <w:rPr>
          <w:rFonts w:ascii="Times New Roman" w:hAnsi="Times New Roman" w:cs="Times New Roman"/>
        </w:rPr>
      </w:pPr>
      <w:r>
        <w:rPr>
          <w:rFonts w:ascii="Times New Roman" w:hAnsi="Times New Roman" w:cs="Times New Roman"/>
        </w:rPr>
        <w:t>VLÁDNY NÁVRH</w:t>
      </w:r>
    </w:p>
    <w:p>
      <w:pPr>
        <w:jc w:val="center"/>
        <w:rPr>
          <w:rFonts w:ascii="Times New Roman" w:hAnsi="Times New Roman" w:cs="Times New Roman"/>
        </w:rPr>
      </w:pPr>
    </w:p>
    <w:p>
      <w:pPr>
        <w:jc w:val="center"/>
        <w:rPr>
          <w:rFonts w:ascii="Times New Roman" w:hAnsi="Times New Roman" w:cs="Times New Roman"/>
          <w:b/>
        </w:rPr>
      </w:pPr>
      <w:r>
        <w:rPr>
          <w:rFonts w:ascii="Times New Roman" w:hAnsi="Times New Roman" w:cs="Times New Roman"/>
          <w:b/>
        </w:rPr>
        <w:t>Zákon</w:t>
      </w:r>
    </w:p>
    <w:p>
      <w:pPr>
        <w:jc w:val="center"/>
        <w:rPr>
          <w:rFonts w:ascii="Times New Roman" w:hAnsi="Times New Roman" w:cs="Times New Roman"/>
          <w:b/>
        </w:rPr>
      </w:pPr>
      <w:r>
        <w:rPr>
          <w:rFonts w:ascii="Times New Roman" w:hAnsi="Times New Roman" w:cs="Times New Roman"/>
          <w:b/>
        </w:rPr>
        <w:t>z.................2004,</w:t>
      </w:r>
    </w:p>
    <w:p>
      <w:pPr>
        <w:jc w:val="center"/>
        <w:rPr>
          <w:rFonts w:ascii="Times New Roman" w:hAnsi="Times New Roman" w:cs="Times New Roman"/>
          <w:b/>
        </w:rPr>
      </w:pPr>
      <w:r>
        <w:rPr>
          <w:rFonts w:ascii="Times New Roman" w:hAnsi="Times New Roman" w:cs="Times New Roman"/>
          <w:b/>
        </w:rPr>
        <w:t xml:space="preserve">ktorým sa mení a dopĺňa zákon č. 431/2002 Z. z. o účtovníctve v znení </w:t>
      </w:r>
    </w:p>
    <w:p>
      <w:pPr>
        <w:jc w:val="center"/>
        <w:rPr>
          <w:rFonts w:ascii="Times New Roman" w:hAnsi="Times New Roman" w:cs="Times New Roman"/>
        </w:rPr>
      </w:pPr>
      <w:r>
        <w:rPr>
          <w:rFonts w:ascii="Times New Roman" w:hAnsi="Times New Roman" w:cs="Times New Roman"/>
          <w:b/>
        </w:rPr>
        <w:t>zákona č. 562/2003 Z. z.</w:t>
      </w:r>
    </w:p>
    <w:p>
      <w:pPr>
        <w:jc w:val="center"/>
        <w:rPr>
          <w:rFonts w:ascii="Times New Roman" w:hAnsi="Times New Roman" w:cs="Times New Roman"/>
        </w:rPr>
      </w:pPr>
    </w:p>
    <w:p>
      <w:pPr>
        <w:rPr>
          <w:rFonts w:ascii="Times New Roman" w:hAnsi="Times New Roman" w:cs="Times New Roman"/>
        </w:rPr>
      </w:pPr>
      <w:r>
        <w:rPr>
          <w:rFonts w:ascii="Times New Roman" w:hAnsi="Times New Roman" w:cs="Times New Roman"/>
        </w:rPr>
        <w:t xml:space="preserve">Národná rada Slovenskej republiky sa uzniesla na tomto </w:t>
      </w:r>
      <w:r>
        <w:rPr>
          <w:rFonts w:ascii="Times New Roman" w:hAnsi="Times New Roman" w:cs="Times New Roman"/>
        </w:rPr>
        <w:t>zákone:</w:t>
      </w:r>
    </w:p>
    <w:p>
      <w:pP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Čl. I</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Zákon č. 431//2002 Z. z. o účtovníctve v znení zákona č. 562/2003 Z. z. sa mení a dopĺňa takto:</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Poznámka pod čiarou k odkazu 4 znie:</w:t>
      </w:r>
    </w:p>
    <w:p>
      <w:pPr>
        <w:rPr>
          <w:rFonts w:ascii="Times New Roman" w:hAnsi="Times New Roman" w:cs="Times New Roman"/>
        </w:rPr>
      </w:pPr>
      <w:r>
        <w:rPr>
          <w:rFonts w:ascii="Times New Roman" w:hAnsi="Times New Roman" w:cs="Times New Roman"/>
        </w:rPr>
        <w:t>„4) Zákon č. 595/2003 Z. z. o dani z príjmov v znení zákona č. 43/2004 Z. z.“.</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2 ods. 4 písmená a) až</w:t>
      </w:r>
      <w:r>
        <w:rPr>
          <w:rFonts w:ascii="Times New Roman" w:hAnsi="Times New Roman" w:cs="Times New Roman"/>
        </w:rPr>
        <w:t> e) znejú:</w:t>
      </w:r>
    </w:p>
    <w:p>
      <w:pPr>
        <w:ind w:left="360"/>
        <w:rPr>
          <w:rFonts w:ascii="Times New Roman" w:hAnsi="Times New Roman" w:cs="Times New Roman"/>
        </w:rPr>
      </w:pPr>
      <w:r>
        <w:rPr>
          <w:rFonts w:ascii="Times New Roman" w:hAnsi="Times New Roman" w:cs="Times New Roman"/>
        </w:rPr>
        <w:t>„a) majetkom sú tie  aktíva účtovnej jednotky, ktoré sú výsledkom minulých udalostí, je pravdepodobné, že v budúcnosti  zvýšia ekonomické úžitky účtovnej jednotky a dajú sa spoľahlivo oceniť podľa § 24 až 28; vykazujú sa v účtovnej závierke v sú</w:t>
      </w:r>
      <w:r>
        <w:rPr>
          <w:rFonts w:ascii="Times New Roman" w:hAnsi="Times New Roman" w:cs="Times New Roman"/>
        </w:rPr>
        <w:t>vahe alebo vo výkaze o majetku a záväzkoch,</w:t>
      </w:r>
    </w:p>
    <w:p>
      <w:pPr>
        <w:ind w:left="360"/>
        <w:rPr>
          <w:rFonts w:ascii="Times New Roman" w:hAnsi="Times New Roman" w:cs="Times New Roman"/>
        </w:rPr>
      </w:pPr>
      <w:r>
        <w:rPr>
          <w:rFonts w:ascii="Times New Roman" w:hAnsi="Times New Roman" w:cs="Times New Roman"/>
        </w:rPr>
        <w:t>b) záväzkom existujúca povinnosť účtovnej jednotky, ktorá vznikla z minulých udalostí, je pravdepodobné, že v budúcnosti  zníži ekonomické úžitky účtovnej jednotky a dá sa spoľahlivo oceniť podľa § 24 až 28; vykazuje sa v účtovnej závierke v súvahe alebo vo výkaze o majetku a záväzkoch,</w:t>
      </w:r>
    </w:p>
    <w:p>
      <w:pPr>
        <w:ind w:left="360"/>
        <w:rPr>
          <w:rFonts w:ascii="Times New Roman" w:hAnsi="Times New Roman" w:cs="Times New Roman"/>
        </w:rPr>
      </w:pPr>
      <w:r>
        <w:rPr>
          <w:rFonts w:ascii="Times New Roman" w:hAnsi="Times New Roman" w:cs="Times New Roman"/>
        </w:rPr>
        <w:t>c) výnosom zvýšenie ekonomických úžitkov účtovnej jednotky v účtovnom období, ktoré sa dá spoľahlivo oceniť,</w:t>
      </w:r>
    </w:p>
    <w:p>
      <w:pPr>
        <w:ind w:left="360"/>
        <w:rPr>
          <w:rFonts w:ascii="Times New Roman" w:hAnsi="Times New Roman" w:cs="Times New Roman"/>
        </w:rPr>
      </w:pPr>
      <w:r>
        <w:rPr>
          <w:rFonts w:ascii="Times New Roman" w:hAnsi="Times New Roman" w:cs="Times New Roman"/>
        </w:rPr>
        <w:t>d) ekonomickým úžitkom možnosť priamo alebo nepriamo prispieť k toku peňažných prostriedkov a ekvivalentov peňažných prostriedkov,</w:t>
      </w:r>
    </w:p>
    <w:p>
      <w:pPr>
        <w:ind w:left="360"/>
        <w:rPr>
          <w:rFonts w:ascii="Times New Roman" w:hAnsi="Times New Roman" w:cs="Times New Roman"/>
        </w:rPr>
      </w:pPr>
      <w:r>
        <w:rPr>
          <w:rFonts w:ascii="Times New Roman" w:hAnsi="Times New Roman" w:cs="Times New Roman"/>
        </w:rPr>
        <w:t>e) nákladom zníženie ekonomických úžitkov účtovnej jednotky v účtovnom období, ktoré sa dá spoľahlivo oceniť,“.</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2 ods. 4 písmeno i) znie:</w:t>
      </w:r>
    </w:p>
    <w:p>
      <w:pPr>
        <w:rPr>
          <w:rFonts w:ascii="Times New Roman" w:hAnsi="Times New Roman" w:cs="Times New Roman"/>
        </w:rPr>
      </w:pPr>
      <w:r>
        <w:rPr>
          <w:rFonts w:ascii="Times New Roman" w:hAnsi="Times New Roman" w:cs="Times New Roman"/>
        </w:rPr>
        <w:t>„i) aktívami  ekonomické prostriedky, ktoré sú výsledkom minulých udalostí, od ktorých sa očakáva, že v budúcnosti povedú k zvýšeniu ekonomických úžitkov; aktíva tvoria majetok a iné aktíva,“.</w:t>
      </w:r>
    </w:p>
    <w:p>
      <w:pPr>
        <w:ind w:left="360"/>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3 odseky  6   a 7  znejú:</w:t>
      </w:r>
    </w:p>
    <w:p>
      <w:pPr>
        <w:rPr>
          <w:rFonts w:ascii="Times New Roman" w:hAnsi="Times New Roman" w:cs="Times New Roman"/>
        </w:rPr>
      </w:pPr>
      <w:r>
        <w:rPr>
          <w:rFonts w:ascii="Times New Roman" w:hAnsi="Times New Roman" w:cs="Times New Roman"/>
        </w:rPr>
        <w:t xml:space="preserve">„(6) Uplatniť účtovné obdobie, ktoré je hospodárskym rokom, môže účtovná jednotka  po písomnom oznámení zámeru zmeny účtovného obdobia miestne príslušnému daňovému úradu najmenej 15 dní pred zmenou účtovného obdobia. Ak je takéto oznámenie miestne príslušnému daňovému úradu doručené,  musí účtovná jednotka účtovné obdobie, ktorým je hospodársky rok, dodržať po celé nasledujúce účtovné obdobie. Obdobne postupujú účtovné jednotky aj pri prechode z hospodárskeho roku na kalendárny rok. </w:t>
      </w:r>
    </w:p>
    <w:p>
      <w:pPr>
        <w:rPr>
          <w:rFonts w:ascii="Times New Roman" w:hAnsi="Times New Roman" w:cs="Times New Roman"/>
        </w:rPr>
      </w:pPr>
      <w:r>
        <w:rPr>
          <w:rFonts w:ascii="Times New Roman" w:hAnsi="Times New Roman" w:cs="Times New Roman"/>
        </w:rPr>
        <w:t>(7) Účtovné obdobie, ktoré je hospodárskym rokom, nemôže uplatniť účtovná jednotka uvedená v § 1 ods.1 písm. a) treťom bode a subjekty verejnej správy</w:t>
      </w:r>
      <w:r>
        <w:rPr>
          <w:rFonts w:ascii="Times New Roman" w:hAnsi="Times New Roman" w:cs="Times New Roman"/>
          <w:vertAlign w:val="superscript"/>
        </w:rPr>
        <w:t>5)</w:t>
      </w:r>
      <w:r>
        <w:rPr>
          <w:rFonts w:ascii="Times New Roman" w:hAnsi="Times New Roman" w:cs="Times New Roman"/>
        </w:rPr>
        <w:t>.“.</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Poznámka pod čiarou k odkazu 5 znie:</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 xml:space="preserve"> „ 5) Zákon č. ..../2004 Z.z. o rozpočtových pravidlách verejnej správy a o zmene a doplnení niektorých zákonov.“.</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Poznámky pod čiarou k odkazom 6 a 7 sa vypúšťajú.</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4 ods. 1 sa za slovo „zániku“ vkladajú slová „s výnimkou podľa odseku 3“.</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 xml:space="preserve">V § 4 ods. 2 prvej vete sa za slovami „analytických účtov“  vypúšťa čiarka  a vkladajú sa slová „a analytickej evidencie“ a slovo „ministerstvo“ sa nahrádza slovami „Ministerstvo financií Slovenskej republiky (ďalej len „ministerstvo“)“.  </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4  sa za odsek 2 vkladá nový odsek 3, ktorý znie:</w:t>
      </w:r>
    </w:p>
    <w:p>
      <w:pPr>
        <w:ind w:left="360"/>
        <w:rPr>
          <w:rFonts w:ascii="Times New Roman" w:hAnsi="Times New Roman" w:cs="Times New Roman"/>
        </w:rPr>
      </w:pPr>
      <w:r>
        <w:rPr>
          <w:rFonts w:ascii="Times New Roman" w:hAnsi="Times New Roman" w:cs="Times New Roman"/>
        </w:rPr>
        <w:t>„(3) Účtovná jednotka, ktorá je právnickou osobou a zrušuje sa bez likvidácie</w:t>
      </w:r>
      <w:r>
        <w:rPr>
          <w:rFonts w:ascii="Times New Roman" w:hAnsi="Times New Roman" w:cs="Times New Roman"/>
          <w:vertAlign w:val="superscript"/>
        </w:rPr>
        <w:t>7a)</w:t>
      </w:r>
      <w:r>
        <w:rPr>
          <w:rFonts w:ascii="Times New Roman" w:hAnsi="Times New Roman" w:cs="Times New Roman"/>
        </w:rPr>
        <w:t xml:space="preserve">, vedie účtovníctvo do dňa zrušenia bez likvidácie. Odo dňa nasledujúceho po dni zrušenia  bez likvidácie do dňa zániku vedie účtovníctvo nástupnícka účtovná jednotka. Ak nástupnícka účtovná jednotka ešte nevznikla, vedie účtovníctvo zanikajúca účtovná jednotka do dňa vzniku nástupníckej účtovnej jednotky a nástupnícka účtovná jednotka odo dňa svojho vzniku pokračuje vo vedení účtovníctva. “. </w:t>
      </w:r>
    </w:p>
    <w:p>
      <w:pPr>
        <w:rPr>
          <w:rFonts w:ascii="Times New Roman" w:hAnsi="Times New Roman" w:cs="Times New Roman"/>
        </w:rPr>
      </w:pPr>
      <w:r>
        <w:rPr>
          <w:rFonts w:ascii="Times New Roman" w:hAnsi="Times New Roman" w:cs="Times New Roman"/>
        </w:rPr>
        <w:t>Doterajšie odseky 3 až 7 sa označujú ako odseky 4 až 8.</w:t>
      </w:r>
    </w:p>
    <w:p>
      <w:pPr>
        <w:pStyle w:val="BodyText"/>
        <w:ind w:firstLine="0"/>
        <w:rPr>
          <w:rFonts w:ascii="Times New Roman" w:hAnsi="Times New Roman" w:cs="Times New Roman"/>
          <w:szCs w:val="24"/>
        </w:rPr>
      </w:pPr>
      <w:r>
        <w:rPr>
          <w:rFonts w:ascii="Times New Roman" w:hAnsi="Times New Roman" w:cs="Times New Roman"/>
          <w:szCs w:val="24"/>
        </w:rPr>
        <w:t>Poznámka pod čiarou k odkazu 7a znie:</w:t>
      </w:r>
    </w:p>
    <w:p>
      <w:pPr>
        <w:rPr>
          <w:rFonts w:ascii="Times New Roman" w:hAnsi="Times New Roman" w:cs="Times New Roman"/>
        </w:rPr>
      </w:pPr>
      <w:r>
        <w:rPr>
          <w:rFonts w:ascii="Times New Roman" w:hAnsi="Times New Roman" w:cs="Times New Roman"/>
        </w:rPr>
        <w:t>„7a) Napríklad § 69 ods. 6 písm. d) Obchodného zákonníka.“.</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 xml:space="preserve">Poznámka pod čiarou </w:t>
      </w:r>
      <w:r>
        <w:rPr>
          <w:rFonts w:ascii="Times New Roman" w:hAnsi="Times New Roman" w:cs="Times New Roman"/>
        </w:rPr>
        <w:t>k odkazu 9 znie:</w:t>
      </w:r>
    </w:p>
    <w:p>
      <w:pPr>
        <w:rPr>
          <w:rFonts w:ascii="Times New Roman" w:hAnsi="Times New Roman" w:cs="Times New Roman"/>
        </w:rPr>
      </w:pPr>
      <w:r>
        <w:rPr>
          <w:rFonts w:ascii="Times New Roman" w:hAnsi="Times New Roman" w:cs="Times New Roman"/>
        </w:rPr>
        <w:t>„9) Zákon č. 594/2003 o kolektívnom investovaní a o zmene a doplnení niektorých zákonov.“.</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5 ods. 2 sa vypúšťajú slová „ na území Slovenskej republiky“.</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 xml:space="preserve">V poznámke pod čiarou k odkazu 14 sa na konci bodka nahrádza čiarkou a pripája sa  táto citácia:„ § 14 zákona č. 595/2003 Z.z.“. </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 7 odsek 3 znie:</w:t>
      </w:r>
    </w:p>
    <w:p>
      <w:pPr>
        <w:rPr>
          <w:rFonts w:ascii="Times New Roman" w:hAnsi="Times New Roman" w:cs="Times New Roman"/>
        </w:rPr>
      </w:pPr>
      <w:r>
        <w:rPr>
          <w:rFonts w:ascii="Times New Roman" w:hAnsi="Times New Roman" w:cs="Times New Roman"/>
        </w:rPr>
        <w:t>„(3) Účtovná jednotka musí používať v jednom účtovnom období rovnaké účtovné metódy a účtovné zásady; ak účtovná jednotka zmení doterajšie účtovné zásady a účtovné metódy v priebehu účtovného obdobia, nové účtovné zásady a účtovné metódy musí používať od prvého dňa tohto účtovného obdobia. O zmene účtovných zásad a účtovných metód je účtovná jednotka povinná informovať v účtovnej závierke v poznámkach. Ak  účtovná jednotka zistí,  že účtovné  zásady  a  účtovné  metódy  použité  v účtovnom období sú nezlučiteľné  s   požiadavkou  verného  a   pravdivého  zobrazenia skutočností,  je  povinná  zostaviť   účtovnú  závierku  tak,  aby poskytla  verný a  pravdivý obraz  skutočností. O  tom je  účtovná jednotka povinná informovať v účtovnej závierke v poznámkach.“.</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 xml:space="preserve">V § 9 ods. 2 písm. d) sa vypúšťajú slová „politická strana a politické hnutie,“. </w:t>
      </w:r>
    </w:p>
    <w:p>
      <w:pPr>
        <w:ind w:left="360"/>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11 ods. 2 sa vypúšťa druhá veta.</w:t>
      </w:r>
    </w:p>
    <w:p>
      <w:pPr>
        <w:rPr>
          <w:rFonts w:ascii="Times New Roman" w:hAnsi="Times New Roman" w:cs="Times New Roman"/>
        </w:rPr>
      </w:pPr>
      <w:r>
        <w:rPr>
          <w:rFonts w:ascii="Times New Roman" w:hAnsi="Times New Roman" w:cs="Times New Roman"/>
        </w:rPr>
        <w:t xml:space="preserve"> </w:t>
      </w:r>
    </w:p>
    <w:p>
      <w:pPr>
        <w:numPr>
          <w:ilvl w:val="0"/>
          <w:numId w:val="1"/>
        </w:numPr>
        <w:tabs>
          <w:tab w:val="left" w:pos="360"/>
        </w:tabs>
        <w:rPr>
          <w:rFonts w:ascii="Times New Roman" w:hAnsi="Times New Roman" w:cs="Times New Roman"/>
        </w:rPr>
      </w:pPr>
      <w:r>
        <w:rPr>
          <w:rFonts w:ascii="Times New Roman" w:hAnsi="Times New Roman" w:cs="Times New Roman"/>
        </w:rPr>
        <w:t>V § 12 ods. 5 sa slovo „záznam“ nahrádza slovom „zápis“.</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15 ods. 3 písm. g) sa vypúšťajú slová „Národnému úradu práce“ vrátane  odkazu 18 a poznámky pod čiarou k odkazu 18.</w:t>
      </w:r>
    </w:p>
    <w:p>
      <w:pPr>
        <w:rPr>
          <w:rFonts w:ascii="Times New Roman" w:hAnsi="Times New Roman" w:cs="Times New Roman"/>
        </w:rPr>
      </w:pPr>
      <w:r>
        <w:rPr>
          <w:rFonts w:ascii="Times New Roman" w:hAnsi="Times New Roman" w:cs="Times New Roman"/>
        </w:rPr>
        <w:t xml:space="preserve"> </w:t>
      </w:r>
    </w:p>
    <w:p>
      <w:pPr>
        <w:numPr>
          <w:ilvl w:val="0"/>
          <w:numId w:val="1"/>
        </w:numPr>
        <w:tabs>
          <w:tab w:val="left" w:pos="360"/>
        </w:tabs>
        <w:rPr>
          <w:rFonts w:ascii="Times New Roman" w:hAnsi="Times New Roman" w:cs="Times New Roman"/>
        </w:rPr>
      </w:pPr>
      <w:r>
        <w:rPr>
          <w:rFonts w:ascii="Times New Roman" w:hAnsi="Times New Roman" w:cs="Times New Roman"/>
        </w:rPr>
        <w:t>V § 15 ods. 4 písm. g) sa vypúšťajú slová „Národnému úradu práce“ vrátane odkazu 18.</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Poznámka pod čiarou k odkazu 17 znie:</w:t>
      </w:r>
    </w:p>
    <w:p>
      <w:pPr>
        <w:rPr>
          <w:rFonts w:ascii="Times New Roman" w:hAnsi="Times New Roman" w:cs="Times New Roman"/>
        </w:rPr>
      </w:pPr>
      <w:r>
        <w:rPr>
          <w:rFonts w:ascii="Times New Roman" w:hAnsi="Times New Roman" w:cs="Times New Roman"/>
        </w:rPr>
        <w:t>„17) Zákon  č.</w:t>
      </w:r>
      <w:r>
        <w:rPr>
          <w:rFonts w:ascii="Times New Roman" w:hAnsi="Times New Roman" w:cs="Times New Roman"/>
        </w:rPr>
        <w:t xml:space="preserve"> 461/2003 Z. z. o sociálnom poistení v znení neskorších predpisov.“.</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16 ods. 1 písm. a) sa za slovo „vzniku“ vkladá čiarka a slová „s výnimkou podľa odseku 2“.</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16 sa odsek 1  dopĺňa písmenom e), ktoré znie:</w:t>
      </w:r>
    </w:p>
    <w:p>
      <w:pPr>
        <w:rPr>
          <w:rFonts w:ascii="Times New Roman" w:hAnsi="Times New Roman" w:cs="Times New Roman"/>
        </w:rPr>
      </w:pPr>
    </w:p>
    <w:p>
      <w:pPr>
        <w:ind w:left="360"/>
        <w:rPr>
          <w:rFonts w:ascii="Times New Roman" w:hAnsi="Times New Roman" w:cs="Times New Roman"/>
        </w:rPr>
      </w:pPr>
      <w:r>
        <w:rPr>
          <w:rFonts w:ascii="Times New Roman" w:hAnsi="Times New Roman" w:cs="Times New Roman"/>
        </w:rPr>
        <w:t>„e) ku dňu nasledujúcemu po dni zrušen</w:t>
      </w:r>
      <w:r>
        <w:rPr>
          <w:rFonts w:ascii="Times New Roman" w:hAnsi="Times New Roman" w:cs="Times New Roman"/>
        </w:rPr>
        <w:t>ia bez likvidácie.“.</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16 sa za odsek 1 vkladá nový odsek 2, ktorý znie:</w:t>
      </w:r>
    </w:p>
    <w:p>
      <w:pPr>
        <w:rPr>
          <w:rFonts w:ascii="Times New Roman" w:hAnsi="Times New Roman" w:cs="Times New Roman"/>
        </w:rPr>
      </w:pPr>
      <w:r>
        <w:rPr>
          <w:rFonts w:ascii="Times New Roman" w:hAnsi="Times New Roman" w:cs="Times New Roman"/>
        </w:rPr>
        <w:t>„(2) Pri zániku účtovnej jednotky bez likvidácie otvorí účtovné knihy ku dňu nasledujúcemu po dni zrušenia bez likvidácie nástupnícka účtovná jednotka. Ak táto ešte nevznikla otvorí účtovné knihy zanikajúca účtovná jednotka.“.</w:t>
      </w:r>
    </w:p>
    <w:p>
      <w:pPr>
        <w:rPr>
          <w:rFonts w:ascii="Times New Roman" w:hAnsi="Times New Roman" w:cs="Times New Roman"/>
        </w:rPr>
      </w:pPr>
      <w:r>
        <w:rPr>
          <w:rFonts w:ascii="Times New Roman" w:hAnsi="Times New Roman" w:cs="Times New Roman"/>
        </w:rPr>
        <w:t>Doterajšie odseky 2 až 11 sa označujú  ako odseky 3 až 12.</w:t>
      </w:r>
    </w:p>
    <w:p>
      <w:pPr>
        <w:ind w:left="360"/>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17 ods. 7 sa pripája písmeno d), ktoré znie:</w:t>
      </w:r>
    </w:p>
    <w:p>
      <w:pPr>
        <w:rPr>
          <w:rFonts w:ascii="Times New Roman" w:hAnsi="Times New Roman" w:cs="Times New Roman"/>
        </w:rPr>
      </w:pPr>
      <w:r>
        <w:rPr>
          <w:rFonts w:ascii="Times New Roman" w:hAnsi="Times New Roman" w:cs="Times New Roman"/>
        </w:rPr>
        <w:t>„d) ku dňu nasledujúcemu po dni zrušenia bez likvidácie.“.</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17 ods. 8 sa na konci pripája táto v</w:t>
      </w:r>
      <w:r>
        <w:rPr>
          <w:rFonts w:ascii="Times New Roman" w:hAnsi="Times New Roman" w:cs="Times New Roman"/>
        </w:rPr>
        <w:t>eta:</w:t>
      </w:r>
    </w:p>
    <w:p>
      <w:pPr>
        <w:rPr>
          <w:rFonts w:ascii="Times New Roman" w:hAnsi="Times New Roman" w:cs="Times New Roman"/>
        </w:rPr>
      </w:pPr>
      <w:r>
        <w:rPr>
          <w:rFonts w:ascii="Times New Roman" w:hAnsi="Times New Roman" w:cs="Times New Roman"/>
        </w:rPr>
        <w:t>„Účtovná jednotka pritom zohľadňuje aj informácie týkajúce sa stavu ku dňu, ku ktorému sa zostavuje účtovná závierka a ktoré účtovná jednotka získala do dňa zostavenia  účtovnej závierky.“.</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Za § 17 sa vkladajú § 17a a 17b, ktoré znejú:</w:t>
      </w:r>
    </w:p>
    <w:p>
      <w:pPr>
        <w:ind w:left="3192" w:firstLine="348"/>
        <w:rPr>
          <w:rFonts w:ascii="Times New Roman" w:hAnsi="Times New Roman" w:cs="Times New Roman"/>
        </w:rPr>
      </w:pPr>
      <w:r>
        <w:rPr>
          <w:rFonts w:ascii="Times New Roman" w:hAnsi="Times New Roman" w:cs="Times New Roman"/>
        </w:rPr>
        <w:t>„§17a</w:t>
      </w:r>
    </w:p>
    <w:p>
      <w:pPr>
        <w:ind w:left="3192" w:firstLine="348"/>
        <w:rPr>
          <w:rFonts w:ascii="Times New Roman" w:hAnsi="Times New Roman" w:cs="Times New Roman"/>
        </w:rPr>
      </w:pPr>
    </w:p>
    <w:p>
      <w:pPr>
        <w:ind w:left="360"/>
        <w:rPr>
          <w:rFonts w:ascii="Times New Roman" w:hAnsi="Times New Roman" w:cs="Times New Roman"/>
        </w:rPr>
      </w:pPr>
      <w:r>
        <w:rPr>
          <w:rFonts w:ascii="Times New Roman" w:hAnsi="Times New Roman" w:cs="Times New Roman"/>
        </w:rPr>
        <w:t>(1) Okrem účtovných jednotiek podľa osobitných predpisov</w:t>
      </w:r>
      <w:r>
        <w:rPr>
          <w:rFonts w:ascii="Times New Roman" w:hAnsi="Times New Roman" w:cs="Times New Roman"/>
          <w:vertAlign w:val="superscript"/>
        </w:rPr>
        <w:t>22a)</w:t>
      </w:r>
      <w:r>
        <w:rPr>
          <w:rFonts w:ascii="Times New Roman" w:hAnsi="Times New Roman" w:cs="Times New Roman"/>
        </w:rPr>
        <w:t xml:space="preserve"> zostavuje individuálnu účtovnú závierku a výročnú správu podľa osobitných predpisov</w:t>
      </w:r>
      <w:r>
        <w:rPr>
          <w:rFonts w:ascii="Times New Roman" w:hAnsi="Times New Roman" w:cs="Times New Roman"/>
          <w:vertAlign w:val="superscript"/>
        </w:rPr>
        <w:t xml:space="preserve">22a) </w:t>
      </w:r>
      <w:r>
        <w:rPr>
          <w:rFonts w:ascii="Times New Roman" w:hAnsi="Times New Roman" w:cs="Times New Roman"/>
        </w:rPr>
        <w:t>aj účtovná jednotka, ktorou je banka, pobočka zahraničnej banky, Exportno-importná banka Slovenskej republiky,  obchodník s cennými papiermi, pobočka zahraničného obchodníka s cennými papiermi, Garančný fond investícií, správcovská spoločnosť, pobočka správcovskej spoločnosti, poisťovňa, pobočka zahraničnej poisťovne, zaisťovňa, pobočka zahraničnej zaisťovne, Slovenská kancelária poisťovateľov, dôchodková správcovská spoločnosť, doplnková dôchodková poisťovňa, Fond ochrany vkladov, Burza cenných papierov, Centrálny depozitár cenných papierov Slovenskej republiky.</w:t>
      </w:r>
    </w:p>
    <w:p>
      <w:pPr>
        <w:ind w:left="360"/>
        <w:rPr>
          <w:rFonts w:ascii="Times New Roman" w:hAnsi="Times New Roman" w:cs="Times New Roman"/>
        </w:rPr>
      </w:pPr>
    </w:p>
    <w:p>
      <w:pPr>
        <w:ind w:left="360"/>
        <w:rPr>
          <w:rFonts w:ascii="Times New Roman" w:hAnsi="Times New Roman" w:cs="Times New Roman"/>
        </w:rPr>
      </w:pPr>
      <w:r>
        <w:rPr>
          <w:rFonts w:ascii="Times New Roman" w:hAnsi="Times New Roman" w:cs="Times New Roman"/>
        </w:rPr>
        <w:t>(2) Podľa odseku 1 postupuje aj účtovná jednotka neuvedená v odseku 1, ak je obchodnou spoločnosťou, ktorá najmenej dve po sebe idúce účtovné obdobia spĺňa aspoň dve z týchto podmienok:</w:t>
      </w:r>
    </w:p>
    <w:p>
      <w:pPr>
        <w:ind w:left="360"/>
        <w:rPr>
          <w:rFonts w:ascii="Times New Roman" w:hAnsi="Times New Roman" w:cs="Times New Roman"/>
        </w:rPr>
      </w:pPr>
      <w:r>
        <w:rPr>
          <w:rFonts w:ascii="Times New Roman" w:hAnsi="Times New Roman" w:cs="Times New Roman"/>
        </w:rPr>
        <w:t>a) celková suma majetku presiahla 5 000 000 000 Sk, pričom sumou majetku sa rozumie suma  zistená zo súvahy v ocenení neupravenom o položky podľa § 26 ods. 3,</w:t>
      </w:r>
    </w:p>
    <w:p>
      <w:pPr>
        <w:ind w:left="360"/>
        <w:rPr>
          <w:rFonts w:ascii="Times New Roman" w:hAnsi="Times New Roman" w:cs="Times New Roman"/>
        </w:rPr>
      </w:pPr>
      <w:r>
        <w:rPr>
          <w:rFonts w:ascii="Times New Roman" w:hAnsi="Times New Roman" w:cs="Times New Roman"/>
        </w:rPr>
        <w:t>b) čistý obrat presiahol 5 000 000 000 Sk,</w:t>
      </w:r>
    </w:p>
    <w:p>
      <w:pPr>
        <w:ind w:left="360"/>
        <w:rPr>
          <w:rFonts w:ascii="Times New Roman" w:hAnsi="Times New Roman" w:cs="Times New Roman"/>
        </w:rPr>
      </w:pPr>
      <w:r>
        <w:rPr>
          <w:rFonts w:ascii="Times New Roman" w:hAnsi="Times New Roman" w:cs="Times New Roman"/>
        </w:rPr>
        <w:t>c) priemerný prepočítaný počet zamestnancov v jednotlivom účtovnom období presiahol 2 000.</w:t>
      </w:r>
    </w:p>
    <w:p>
      <w:pPr>
        <w:ind w:left="360"/>
        <w:rPr>
          <w:rFonts w:ascii="Times New Roman" w:hAnsi="Times New Roman" w:cs="Times New Roman"/>
        </w:rPr>
      </w:pPr>
    </w:p>
    <w:p>
      <w:pPr>
        <w:ind w:left="360"/>
        <w:rPr>
          <w:rFonts w:ascii="Times New Roman" w:hAnsi="Times New Roman" w:cs="Times New Roman"/>
        </w:rPr>
      </w:pPr>
      <w:r>
        <w:rPr>
          <w:rFonts w:ascii="Times New Roman" w:hAnsi="Times New Roman" w:cs="Times New Roman"/>
        </w:rPr>
        <w:t xml:space="preserve"> (3) Účtovná jednotka uvedená v odseku 2, ktorá začne zostavovať individuálnu účtovnú závierku a výročnú správu  podľa odseku 1 zostavuje takúto individuálnu účtovnú závierku aj keď zaniknú podmienky ustanovené v odseku 2. </w:t>
      </w:r>
    </w:p>
    <w:p>
      <w:pPr>
        <w:ind w:left="360"/>
        <w:rPr>
          <w:rFonts w:ascii="Times New Roman" w:hAnsi="Times New Roman" w:cs="Times New Roman"/>
        </w:rPr>
      </w:pPr>
    </w:p>
    <w:p>
      <w:pPr>
        <w:ind w:left="360"/>
        <w:rPr>
          <w:rFonts w:ascii="Times New Roman" w:hAnsi="Times New Roman" w:cs="Times New Roman"/>
        </w:rPr>
      </w:pPr>
      <w:r>
        <w:rPr>
          <w:rFonts w:ascii="Times New Roman" w:hAnsi="Times New Roman" w:cs="Times New Roman"/>
        </w:rPr>
        <w:t>(4) Na účtovnú jednotku, ktorá zostavuje individuálnu účtovnú závierku a výročnú správu podľa odseku 1   sa vzťahuje t</w:t>
      </w:r>
      <w:r>
        <w:rPr>
          <w:rFonts w:ascii="Times New Roman" w:hAnsi="Times New Roman" w:cs="Times New Roman"/>
        </w:rPr>
        <w:t>ento zákon, ak osobitné predpisy</w:t>
      </w:r>
      <w:r>
        <w:rPr>
          <w:rFonts w:ascii="Times New Roman" w:hAnsi="Times New Roman" w:cs="Times New Roman"/>
          <w:vertAlign w:val="superscript"/>
        </w:rPr>
        <w:t>22a)</w:t>
      </w:r>
      <w:r>
        <w:rPr>
          <w:rFonts w:ascii="Times New Roman" w:hAnsi="Times New Roman" w:cs="Times New Roman"/>
        </w:rPr>
        <w:t xml:space="preserve"> neustanovujú inak.</w:t>
      </w:r>
    </w:p>
    <w:p>
      <w:pPr>
        <w:ind w:left="360"/>
        <w:rPr>
          <w:rFonts w:ascii="Times New Roman" w:hAnsi="Times New Roman" w:cs="Times New Roman"/>
        </w:rPr>
      </w:pPr>
    </w:p>
    <w:p>
      <w:pPr>
        <w:ind w:left="360"/>
        <w:jc w:val="center"/>
        <w:rPr>
          <w:rFonts w:ascii="Times New Roman" w:hAnsi="Times New Roman" w:cs="Times New Roman"/>
        </w:rPr>
      </w:pPr>
      <w:r>
        <w:rPr>
          <w:rFonts w:ascii="Times New Roman" w:hAnsi="Times New Roman" w:cs="Times New Roman"/>
        </w:rPr>
        <w:t>§ 17b</w:t>
      </w:r>
    </w:p>
    <w:p>
      <w:pPr>
        <w:ind w:left="360"/>
        <w:jc w:val="center"/>
        <w:rPr>
          <w:rFonts w:ascii="Times New Roman" w:hAnsi="Times New Roman" w:cs="Times New Roman"/>
        </w:rPr>
      </w:pPr>
    </w:p>
    <w:p>
      <w:pPr>
        <w:ind w:left="360"/>
        <w:rPr>
          <w:rFonts w:ascii="Times New Roman" w:hAnsi="Times New Roman" w:cs="Times New Roman"/>
        </w:rPr>
      </w:pPr>
      <w:r>
        <w:rPr>
          <w:rFonts w:ascii="Times New Roman" w:hAnsi="Times New Roman" w:cs="Times New Roman"/>
        </w:rPr>
        <w:t>Účtovná jednotka, ktorou je Národná banka Slovenska zostavuje individuálnu účtovnú závierku a výročnú správu podľa osobitného predpisu</w:t>
      </w:r>
      <w:r>
        <w:rPr>
          <w:rFonts w:ascii="Times New Roman" w:hAnsi="Times New Roman" w:cs="Times New Roman"/>
          <w:vertAlign w:val="superscript"/>
        </w:rPr>
        <w:t>22b)</w:t>
      </w:r>
      <w:r>
        <w:rPr>
          <w:rFonts w:ascii="Times New Roman" w:hAnsi="Times New Roman" w:cs="Times New Roman"/>
        </w:rPr>
        <w:t>. Na účtovnú jednotku, ktorou je Národná banka Slovenska  sa vzťahuje tento zákon,  ak osobitné predpisy</w:t>
      </w:r>
      <w:r>
        <w:rPr>
          <w:rFonts w:ascii="Times New Roman" w:hAnsi="Times New Roman" w:cs="Times New Roman"/>
          <w:vertAlign w:val="superscript"/>
        </w:rPr>
        <w:t>22b)</w:t>
      </w:r>
      <w:r>
        <w:rPr>
          <w:rFonts w:ascii="Times New Roman" w:hAnsi="Times New Roman" w:cs="Times New Roman"/>
        </w:rPr>
        <w:t xml:space="preserve"> neustanovujú inak.“.</w:t>
      </w:r>
    </w:p>
    <w:p>
      <w:pPr>
        <w:ind w:left="360"/>
        <w:rPr>
          <w:rFonts w:ascii="Times New Roman" w:hAnsi="Times New Roman" w:cs="Times New Roman"/>
        </w:rPr>
      </w:pPr>
    </w:p>
    <w:p>
      <w:pPr>
        <w:ind w:left="360"/>
        <w:rPr>
          <w:rFonts w:ascii="Times New Roman" w:hAnsi="Times New Roman" w:cs="Times New Roman"/>
        </w:rPr>
      </w:pPr>
      <w:r>
        <w:rPr>
          <w:rFonts w:ascii="Times New Roman" w:hAnsi="Times New Roman" w:cs="Times New Roman"/>
        </w:rPr>
        <w:t>Poznámky pod čiarou k odkazom  22a a 22b znejú:</w:t>
      </w:r>
    </w:p>
    <w:p>
      <w:pPr>
        <w:ind w:left="360"/>
        <w:rPr>
          <w:rFonts w:ascii="Times New Roman" w:hAnsi="Times New Roman" w:cs="Times New Roman"/>
        </w:rPr>
      </w:pPr>
      <w:r>
        <w:rPr>
          <w:rFonts w:ascii="Times New Roman" w:hAnsi="Times New Roman" w:cs="Times New Roman"/>
        </w:rPr>
        <w:t>„22a) Nariadenie Európskeho parlamentu a Rady (ES) č. 1606/2002 z 19. júla 2002 o uplatňovaní medzinárodných účtovných noriem (Úradný vestník Európskych spoločenstiev L 243 z 11. 9. 2002), nariadenie komisie (ES) č. 1725/2003 o prijatí určitých medzinárodných účtovných štandardov  v nadväznosti na nariadenie  (ES) č. 1606/2002 Európskeho parlamentu a Rady  (Úradný vestník Európskych spoločenstiev L 261 z 13. 10. 2003).</w:t>
      </w:r>
    </w:p>
    <w:p>
      <w:pPr>
        <w:ind w:left="360"/>
        <w:rPr>
          <w:rFonts w:ascii="Times New Roman" w:hAnsi="Times New Roman" w:cs="Times New Roman"/>
        </w:rPr>
      </w:pPr>
      <w:r>
        <w:rPr>
          <w:rFonts w:ascii="Times New Roman" w:hAnsi="Times New Roman" w:cs="Times New Roman"/>
        </w:rPr>
        <w:t>22b) Protokol o Štatúte Európskeho systému centrálnych bánk a Európskej centrálnej banky, príloha č. 18 k Zmluve o založení Európskeho spoločenstva (oznámenie č. 185/2004 Z.z.).“.</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18  odsek 5  znie :</w:t>
      </w:r>
    </w:p>
    <w:p>
      <w:pPr>
        <w:pStyle w:val="BodyText"/>
        <w:spacing w:after="0"/>
        <w:ind w:firstLine="0"/>
        <w:rPr>
          <w:rFonts w:ascii="Times New Roman" w:hAnsi="Times New Roman" w:cs="Times New Roman"/>
        </w:rPr>
      </w:pPr>
      <w:r>
        <w:rPr>
          <w:rFonts w:ascii="Times New Roman" w:hAnsi="Times New Roman" w:cs="Times New Roman"/>
        </w:rPr>
        <w:t>„(5) V poznámkach sa uvádzajú informácie, ktoré vysvetľujú a dopĺňajú údaje v súvahe a výkaze ziskov a strát, prípadne ďalšie výkazy a údaje, ktoré ich vysvetľujú a dopĺňajú. V poznámkach sa uvádzajú aj informácie, ktoré  sa týkajú použitia účtovných zásad a účtovných metód a ďalšie  informácie podľa požiadaviek  ustanovených týmto zákonom. V poznámkach uvedie účtovná jednotka tiež informácie o skutočnostiach, ktoré ku dňu, ku  ktorému sa zostavuje účtovná závierka, nevykazuje v ostatných súčastiach účtovnej závierky, ale ich dôsledky menia významným spôsobom pohľad na finančnú situáciu účtovnej jednotky.“.</w:t>
      </w:r>
    </w:p>
    <w:p>
      <w:pPr>
        <w:ind w:left="360"/>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19 ods. 1 písm. a)  tretí bod znie:</w:t>
      </w:r>
    </w:p>
    <w:p>
      <w:pPr>
        <w:rPr>
          <w:rFonts w:ascii="Times New Roman" w:hAnsi="Times New Roman" w:cs="Times New Roman"/>
        </w:rPr>
      </w:pPr>
      <w:r>
        <w:rPr>
          <w:rFonts w:ascii="Times New Roman" w:hAnsi="Times New Roman" w:cs="Times New Roman"/>
        </w:rPr>
        <w:t>„3. priemerný prepočítaný počet zamestnancov v jednotlivom účtovnom období presiahol 20,“.</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19 sa odsek 1 dopĺňa písmenom d</w:t>
      </w:r>
      <w:r>
        <w:rPr>
          <w:rFonts w:ascii="Times New Roman" w:hAnsi="Times New Roman" w:cs="Times New Roman"/>
        </w:rPr>
        <w:t>), ktoré znie:</w:t>
      </w:r>
    </w:p>
    <w:p>
      <w:pPr>
        <w:rPr>
          <w:rFonts w:ascii="Times New Roman" w:hAnsi="Times New Roman" w:cs="Times New Roman"/>
        </w:rPr>
      </w:pPr>
      <w:r>
        <w:rPr>
          <w:rFonts w:ascii="Times New Roman" w:hAnsi="Times New Roman" w:cs="Times New Roman"/>
        </w:rPr>
        <w:t>„d) ktorá zostavuje účtovnú závierku podľa § 17a.“.</w:t>
      </w:r>
    </w:p>
    <w:p>
      <w:pPr>
        <w:ind w:left="360"/>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19 ods. 2 sa slová „konca účtovného obdobia nasledujúceho po účtovnom období“  nahrádzajú slovami „jedného roka od skončenia účtovného obdobia“.</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Poznámka pod čiarou k odkazu 26 znie:</w:t>
      </w:r>
    </w:p>
    <w:p>
      <w:pPr>
        <w:rPr>
          <w:rFonts w:ascii="Times New Roman" w:hAnsi="Times New Roman" w:cs="Times New Roman"/>
        </w:rPr>
      </w:pPr>
      <w:r>
        <w:rPr>
          <w:rFonts w:ascii="Times New Roman" w:hAnsi="Times New Roman" w:cs="Times New Roman"/>
        </w:rPr>
        <w:t>„26) § 50 zákona  č. 595/2003 Z. z.“.</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20 ods. 1  úvodnej vete sa slová „ktorá musí byť overená“ nahrádzajú slovami „ktorej  súlad s účtovnou závierkou zostavenou za to isté účtovné obdobie musí byť overený“.</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 xml:space="preserve"> V § 20 ods. 1 písmeno a)  znie: </w:t>
      </w:r>
    </w:p>
    <w:p>
      <w:pPr>
        <w:ind w:left="360"/>
        <w:rPr>
          <w:rFonts w:ascii="Times New Roman" w:hAnsi="Times New Roman" w:cs="Times New Roman"/>
          <w:sz w:val="28"/>
          <w:szCs w:val="28"/>
        </w:rPr>
      </w:pPr>
    </w:p>
    <w:p>
      <w:pPr>
        <w:ind w:left="360"/>
        <w:rPr>
          <w:rFonts w:ascii="Times New Roman" w:hAnsi="Times New Roman" w:cs="Times New Roman"/>
        </w:rPr>
      </w:pPr>
      <w:r>
        <w:rPr>
          <w:rFonts w:ascii="Times New Roman" w:hAnsi="Times New Roman" w:cs="Times New Roman"/>
        </w:rPr>
        <w:t>„a) vývoji účtovnej jednotky, o stave, v ktorom sa nachádza a o významných rizikách a neistotách, ktorým je účtovná jednotka vystavená; informácia sa poskytuje vo forme vyváženej a obsiahlej analýzy stavu a prognózy vývoja a obsahuje dôležité finančné  a nefinančné  ukazovatele  vrátane informácie   o vplyve činnosti účtovnej jednotky   na životné prostredie a na zamestnanosť, s poukázaním  na príslušné údaje uvedené v účtovnej závierke,“.</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20 ods. 1  písm. d) sa slovo „výdavkoch“ nahrádza slovom „nákladoch“.</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20 ods. 1 písm. e) sa slová „obstarávaní vlastných akcií“ nahrádzajú slovami „nadobúdaní vlastných akcií</w:t>
      </w:r>
      <w:r>
        <w:rPr>
          <w:rFonts w:ascii="Times New Roman" w:hAnsi="Times New Roman" w:cs="Times New Roman"/>
          <w:vertAlign w:val="superscript"/>
        </w:rPr>
        <w:t>27a)“</w:t>
      </w:r>
      <w:r>
        <w:rPr>
          <w:rFonts w:ascii="Times New Roman" w:hAnsi="Times New Roman" w:cs="Times New Roman"/>
        </w:rPr>
        <w:t xml:space="preserve"> a slová „ovládajúcej osoby</w:t>
      </w:r>
      <w:r>
        <w:rPr>
          <w:rFonts w:ascii="Times New Roman" w:hAnsi="Times New Roman" w:cs="Times New Roman"/>
          <w:vertAlign w:val="superscript"/>
        </w:rPr>
        <w:t>6)</w:t>
      </w:r>
      <w:r>
        <w:rPr>
          <w:rFonts w:ascii="Times New Roman" w:hAnsi="Times New Roman" w:cs="Times New Roman"/>
        </w:rPr>
        <w:t>“ sa nahrádzajú slovami „materskej účtovnej jednotky podľa § 22“.</w:t>
      </w:r>
    </w:p>
    <w:p>
      <w:pPr>
        <w:rPr>
          <w:rFonts w:ascii="Times New Roman" w:hAnsi="Times New Roman" w:cs="Times New Roman"/>
        </w:rPr>
      </w:pPr>
      <w:r>
        <w:rPr>
          <w:rFonts w:ascii="Times New Roman" w:hAnsi="Times New Roman" w:cs="Times New Roman"/>
        </w:rPr>
        <w:t>Poznámka pod čiarou k odkazu 27a znie:</w:t>
      </w:r>
    </w:p>
    <w:p>
      <w:pPr>
        <w:rPr>
          <w:rFonts w:ascii="Times New Roman" w:hAnsi="Times New Roman" w:cs="Times New Roman"/>
        </w:rPr>
      </w:pPr>
      <w:r>
        <w:rPr>
          <w:rFonts w:ascii="Times New Roman" w:hAnsi="Times New Roman" w:cs="Times New Roman"/>
        </w:rPr>
        <w:t>„27a) §1</w:t>
      </w:r>
      <w:r>
        <w:rPr>
          <w:rFonts w:ascii="Times New Roman" w:hAnsi="Times New Roman" w:cs="Times New Roman"/>
        </w:rPr>
        <w:t>61d ods. 2 Obchodného zákonníka.“.</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20 odsek 3 znie:</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„(3) Výročná správa účtovnej jednotky podľa odseku 1 musí poskytovať verný a pravdivý obraz  a súlad výročnej správy s účtovnou závierkou účtovnej jednotky musí byť overený audítorom do jedného roka od skončenia účtovného obdobia.“.</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 20 sa dopĺňa odsekom 5, ktorý znie:</w:t>
      </w:r>
    </w:p>
    <w:p>
      <w:pPr>
        <w:rPr>
          <w:rFonts w:ascii="Times New Roman" w:hAnsi="Times New Roman" w:cs="Times New Roman"/>
        </w:rPr>
      </w:pPr>
      <w:r>
        <w:rPr>
          <w:rFonts w:ascii="Times New Roman" w:hAnsi="Times New Roman" w:cs="Times New Roman"/>
        </w:rPr>
        <w:t>„(5) Ak je to pre posúdenie aktív, pasív a finančnej situácie účtovnej jednotky, ktorá používa nástroje podľa osobitného predpisu</w:t>
      </w:r>
      <w:r>
        <w:rPr>
          <w:rFonts w:ascii="Times New Roman" w:hAnsi="Times New Roman" w:cs="Times New Roman"/>
          <w:vertAlign w:val="superscript"/>
        </w:rPr>
        <w:t>11)</w:t>
      </w:r>
      <w:r>
        <w:rPr>
          <w:rFonts w:ascii="Times New Roman" w:hAnsi="Times New Roman" w:cs="Times New Roman"/>
        </w:rPr>
        <w:t xml:space="preserve"> významné, účtovná jednotka je povinná uviesť vo výročnej správe tiež informácie o</w:t>
      </w:r>
    </w:p>
    <w:p>
      <w:pPr>
        <w:numPr>
          <w:ilvl w:val="0"/>
          <w:numId w:val="3"/>
        </w:numPr>
        <w:tabs>
          <w:tab w:val="left" w:pos="720"/>
        </w:tabs>
        <w:rPr>
          <w:rFonts w:ascii="Times New Roman" w:hAnsi="Times New Roman" w:cs="Times New Roman"/>
        </w:rPr>
      </w:pPr>
      <w:r>
        <w:rPr>
          <w:rFonts w:ascii="Times New Roman" w:hAnsi="Times New Roman" w:cs="Times New Roman"/>
        </w:rPr>
        <w:t>cieľoch a metódach riadenia rizík v účtovnej jednotke, vrátane jej politiky pre zabezpečenie hlavných typov plánovaných obchodov, pri ktorých sa použijú zabezpečovacie deriváty,</w:t>
      </w:r>
    </w:p>
    <w:p>
      <w:pPr>
        <w:numPr>
          <w:ilvl w:val="0"/>
          <w:numId w:val="3"/>
        </w:numPr>
        <w:tabs>
          <w:tab w:val="left" w:pos="720"/>
        </w:tabs>
        <w:rPr>
          <w:rFonts w:ascii="Times New Roman" w:hAnsi="Times New Roman" w:cs="Times New Roman"/>
        </w:rPr>
      </w:pPr>
      <w:r>
        <w:rPr>
          <w:rFonts w:ascii="Times New Roman" w:hAnsi="Times New Roman" w:cs="Times New Roman"/>
        </w:rPr>
        <w:t xml:space="preserve">cenových rizikách, úverových rizikách, rizikách likvidity a rizikách súvisiacich s tokom hotovosti, ktorým je účtovná jednotka vystavená.“.  </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 21 a 22 znejú:</w:t>
      </w:r>
    </w:p>
    <w:p>
      <w:pPr>
        <w:ind w:left="4248"/>
        <w:jc w:val="both"/>
        <w:rPr>
          <w:rFonts w:ascii="Times New Roman" w:hAnsi="Times New Roman" w:cs="Times New Roman"/>
        </w:rPr>
      </w:pPr>
      <w:r>
        <w:rPr>
          <w:rFonts w:ascii="Times New Roman" w:hAnsi="Times New Roman" w:cs="Times New Roman"/>
        </w:rPr>
        <w:t>„§ 21</w:t>
      </w:r>
    </w:p>
    <w:p>
      <w:pPr>
        <w:jc w:val="center"/>
        <w:rPr>
          <w:rFonts w:ascii="Times New Roman" w:hAnsi="Times New Roman" w:cs="Times New Roman"/>
        </w:rPr>
      </w:pPr>
      <w:r>
        <w:rPr>
          <w:rFonts w:ascii="Times New Roman" w:hAnsi="Times New Roman" w:cs="Times New Roman"/>
        </w:rPr>
        <w:t>Zverejňovanie údajov</w:t>
      </w:r>
    </w:p>
    <w:p>
      <w:pPr>
        <w:jc w:val="center"/>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 Účtovná   jednotka,  ktorá   je obchodnou spoločnosťou, Exportno-importná banka Slovenskej republiky, družstvo alebo štátny podnik, sú  povinné uložiť riadnu individuálnu účtovnú závierku a mimoriadnu individuálnu účtovnú závierku  a výročnú správu do zbierky listín  obchodného registra do  30 dní po schválení účtovnej závierky, pričom účtovná závierka môže byť uložená ako súčasť výročnej správy.</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(2) Účtovná jednotka, na ktorú sa vzťahuje povinnosť overovania podľa § 19 ods. 1 písm. a), b) a d) zverejňuje  v obchodnom vestníku súvahu a výkaz ziskov a strát z riadnej individuálnej účtovnej závierky a mimoriadnej individuálnej účtovnej závierky do 30 dní po schválení účtovnej závierky. Účtovná jednotka súčasne uvedie, že zverejňuje neúplnú účtovnú závierku. V obchodnom vestníku sa nesmie zverejniť názor audítora, zverejňuje sa len informácia, aký názor správa audíto</w:t>
      </w:r>
      <w:r>
        <w:rPr>
          <w:rFonts w:ascii="Times New Roman" w:hAnsi="Times New Roman" w:cs="Times New Roman"/>
        </w:rPr>
        <w:t>ra obsahuje</w:t>
      </w:r>
      <w:r>
        <w:rPr>
          <w:rFonts w:ascii="Times New Roman" w:hAnsi="Times New Roman" w:cs="Times New Roman"/>
          <w:vertAlign w:val="superscript"/>
        </w:rPr>
        <w:t>28a)</w:t>
      </w:r>
      <w:r>
        <w:rPr>
          <w:rFonts w:ascii="Times New Roman" w:hAnsi="Times New Roman" w:cs="Times New Roman"/>
        </w:rPr>
        <w:t xml:space="preserve">. Ak správa audítora obsahuje skutočnosti, ktoré nemali vplyv vyjadrenie na názoru audítora uvedeného v správe, ale ktoré chcel audítor zdôrazniť, musí byť táto informácia zverejnená.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(3) Účtovná jednotka, na ktorú sa vzťahuje povinnosť zostavovať konsolidovanú účtovnú závierku podľa § 22, je povinná uložiť riadnu konsolidovanú účtovnú závierku a mimoriadnu konsolidovanú účtovnú závierku a konsolidovanú výročnú správu  do zbierky listín  obchodného registra do  jedného roka od skončenia účtovného obdobia, pričom konsolidovaná účtovná závierka môže byť uložená ako súčasť konsolidovanej výročnej správy. </w:t>
      </w:r>
    </w:p>
    <w:p>
      <w:pPr>
        <w:jc w:val="both"/>
        <w:rPr>
          <w:rFonts w:ascii="Times New Roman" w:hAnsi="Times New Roman" w:cs="Times New Roman"/>
        </w:rPr>
      </w:pPr>
      <w:r>
        <w:rPr>
          <w:rFonts w:ascii="Times New Roman" w:hAnsi="Times New Roman" w:cs="Times New Roman"/>
        </w:rPr>
        <w:t>(4) Účtovná jednotka, zverejňuje  v obchodnom vestníku súvahu a výkaz ziskov a strát z riadnej konsolidovanej účtovnej závierky a mimoriadnej konsolidovanej účtovnej závierky do jedného roka od skončenia účtovného obdobia. Účtovná jednotka súčasne uvedie, že zverejňuje neúplnú účtovnú závierku. V obchodnom vestníku sa nesmie zverejniť názor audítora, zverejňuje sa len informácia, aký názor sprá</w:t>
      </w:r>
      <w:r>
        <w:rPr>
          <w:rFonts w:ascii="Times New Roman" w:hAnsi="Times New Roman" w:cs="Times New Roman"/>
        </w:rPr>
        <w:t>va audítora obsahuje</w:t>
      </w:r>
      <w:r>
        <w:rPr>
          <w:rFonts w:ascii="Times New Roman" w:hAnsi="Times New Roman" w:cs="Times New Roman"/>
          <w:vertAlign w:val="superscript"/>
        </w:rPr>
        <w:t>28a)</w:t>
      </w:r>
      <w:r>
        <w:rPr>
          <w:rFonts w:ascii="Times New Roman" w:hAnsi="Times New Roman" w:cs="Times New Roman"/>
        </w:rPr>
        <w:t xml:space="preserve">. Ak správa audítora obsahuje skutočnosti, ktoré nemali vplyv na vyjadrenie názoru audítora uvedeného v správe, ale ktoré chcel audítor zdôrazniť, musí byť táto informácia zverejnená.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(5) Účtovná jednotka uvedená v § 17a, okrem zverejnenia podľa odseku 2  a odseku 3, súčasne zverejní na internete úplnú účtovnú závierku v tom istom rozsahu a  ako bola uložená do zbierky listín obchodného registra podľa odseku 1 </w:t>
      </w:r>
      <w:r>
        <w:rPr>
          <w:rFonts w:ascii="Times New Roman" w:hAnsi="Times New Roman" w:cs="Times New Roman"/>
          <w:bCs/>
        </w:rPr>
        <w:t>a v obchodnom vestníku oznámi internetovú adresu, na ktorej je účtovná z</w:t>
      </w:r>
      <w:r>
        <w:rPr>
          <w:rFonts w:ascii="Times New Roman" w:hAnsi="Times New Roman" w:cs="Times New Roman"/>
          <w:bCs/>
        </w:rPr>
        <w:t>ávierka zverejnená.</w:t>
      </w:r>
      <w:r>
        <w:rPr>
          <w:rFonts w:ascii="Times New Roman" w:hAnsi="Times New Roman" w:cs="Times New Roman"/>
        </w:rPr>
        <w:t xml:space="preserve"> Takýmto spôsobom musí byť účtovná závierka zverejnená minimálne jeden rok od uverejnenia.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(6) Účtovná jednotka uvedená v § 19 ods. 1 písm. c) zverejňuje údaje   z   účtovnej   závierky   spôsobom  ustanoveným  osobitným predpisom</w:t>
      </w:r>
      <w:r>
        <w:rPr>
          <w:rFonts w:ascii="Times New Roman" w:hAnsi="Times New Roman" w:cs="Times New Roman"/>
          <w:vertAlign w:val="superscript"/>
        </w:rPr>
        <w:t>29)</w:t>
      </w:r>
      <w:r>
        <w:rPr>
          <w:rFonts w:ascii="Times New Roman" w:hAnsi="Times New Roman" w:cs="Times New Roman"/>
        </w:rPr>
        <w:t>.</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(7) Účtovná  jednotka,  na ktorú sa vzťahuje  povinnosť  overovania podľa § 19,  nesmie zverejniť  informácie, ktoré  predtým neboli overené audítorom, spôsobom,  ktorý by mohol používateľa  uviesť do omylu, že audítorom overené boli.</w:t>
      </w:r>
    </w:p>
    <w:p>
      <w:pPr>
        <w:rPr>
          <w:rFonts w:ascii="Times New Roman" w:hAnsi="Times New Roman" w:cs="Times New Roman"/>
        </w:rPr>
      </w:pPr>
    </w:p>
    <w:p>
      <w:pPr>
        <w:jc w:val="both"/>
        <w:rPr>
          <w:rFonts w:ascii="Times New Roman" w:hAnsi="Times New Roman" w:cs="Times New Roman"/>
        </w:rPr>
      </w:pPr>
    </w:p>
    <w:p>
      <w:pPr>
        <w:rPr>
          <w:rFonts w:ascii="Times New Roman" w:hAnsi="Times New Roman" w:cs="Times New Roman"/>
        </w:rPr>
      </w:pPr>
    </w:p>
    <w:p>
      <w:pPr>
        <w:ind w:left="360" w:right="-900"/>
        <w:jc w:val="center"/>
        <w:rPr>
          <w:rFonts w:ascii="Times New Roman" w:hAnsi="Times New Roman" w:cs="Times New Roman"/>
        </w:rPr>
      </w:pPr>
      <w:r>
        <w:rPr>
          <w:rFonts w:ascii="Times New Roman" w:hAnsi="Times New Roman" w:cs="Times New Roman"/>
        </w:rPr>
        <w:t>§ 22</w:t>
      </w:r>
    </w:p>
    <w:p>
      <w:pPr>
        <w:ind w:left="360" w:right="-900"/>
        <w:jc w:val="center"/>
        <w:rPr>
          <w:rFonts w:ascii="Times New Roman" w:hAnsi="Times New Roman" w:cs="Times New Roman"/>
        </w:rPr>
      </w:pPr>
      <w:r>
        <w:rPr>
          <w:rFonts w:ascii="Times New Roman" w:hAnsi="Times New Roman" w:cs="Times New Roman"/>
        </w:rPr>
        <w:t>Konsolidovaná účtovná závierka</w:t>
      </w:r>
    </w:p>
    <w:p>
      <w:pPr>
        <w:ind w:left="360" w:right="-900"/>
        <w:jc w:val="center"/>
        <w:rPr>
          <w:rFonts w:ascii="Times New Roman" w:hAnsi="Times New Roman" w:cs="Times New Roman"/>
        </w:rPr>
      </w:pPr>
    </w:p>
    <w:p>
      <w:pPr>
        <w:ind w:right="23"/>
        <w:jc w:val="both"/>
        <w:rPr>
          <w:rFonts w:ascii="Times New Roman" w:hAnsi="Times New Roman" w:cs="Times New Roman"/>
        </w:rPr>
      </w:pPr>
      <w:r>
        <w:rPr>
          <w:rFonts w:ascii="Times New Roman" w:hAnsi="Times New Roman" w:cs="Times New Roman"/>
        </w:rPr>
        <w:t>(1) Konsolidovanou účtovnou závierkou sa rozumie účtovná závierka, ktorá poskytuje informácie o konsolidovanom celku podľa § 6 ods.4. Konsolidovaná účtovná závierka sa zostavuje podľa metód a zásad ustanovených osobitnými predpismi</w:t>
      </w:r>
      <w:r>
        <w:rPr>
          <w:rFonts w:ascii="Times New Roman" w:hAnsi="Times New Roman" w:cs="Times New Roman"/>
          <w:vertAlign w:val="superscript"/>
        </w:rPr>
        <w:t>22a)</w:t>
      </w:r>
      <w:r>
        <w:rPr>
          <w:rFonts w:ascii="Times New Roman" w:hAnsi="Times New Roman" w:cs="Times New Roman"/>
        </w:rPr>
        <w:t xml:space="preserve">. </w:t>
      </w:r>
      <w:r>
        <w:rPr>
          <w:rFonts w:ascii="Times New Roman" w:hAnsi="Times New Roman" w:cs="Times New Roman"/>
        </w:rPr>
        <w:t xml:space="preserve">  </w:t>
      </w:r>
    </w:p>
    <w:p>
      <w:pPr>
        <w:ind w:left="357" w:right="23" w:firstLine="720"/>
        <w:jc w:val="both"/>
        <w:rPr>
          <w:rFonts w:ascii="Times New Roman" w:hAnsi="Times New Roman" w:cs="Times New Roman"/>
        </w:rPr>
      </w:pPr>
    </w:p>
    <w:p>
      <w:pPr>
        <w:ind w:right="23"/>
        <w:jc w:val="both"/>
        <w:rPr>
          <w:rFonts w:ascii="Times New Roman" w:hAnsi="Times New Roman" w:cs="Times New Roman"/>
          <w:strike/>
        </w:rPr>
      </w:pPr>
      <w:r>
        <w:rPr>
          <w:rFonts w:ascii="Times New Roman" w:hAnsi="Times New Roman" w:cs="Times New Roman"/>
        </w:rPr>
        <w:t xml:space="preserve">(2) Konsolidovanú účtovnú závierku a konsolidovanú výročnú správu zostavuje materská účtovná jednotka. </w:t>
      </w:r>
    </w:p>
    <w:p>
      <w:pPr>
        <w:ind w:right="23"/>
        <w:jc w:val="both"/>
        <w:rPr>
          <w:rFonts w:ascii="Times New Roman" w:hAnsi="Times New Roman" w:cs="Times New Roman"/>
          <w:strike/>
        </w:rPr>
      </w:pPr>
    </w:p>
    <w:p>
      <w:pPr>
        <w:ind w:right="23"/>
        <w:jc w:val="both"/>
        <w:rPr>
          <w:rFonts w:ascii="Times New Roman" w:hAnsi="Times New Roman" w:cs="Times New Roman"/>
        </w:rPr>
      </w:pPr>
      <w:r>
        <w:rPr>
          <w:rFonts w:ascii="Times New Roman" w:hAnsi="Times New Roman" w:cs="Times New Roman"/>
        </w:rPr>
        <w:t>(3) Materskou účtovnou jednotkou sa na účely tohto zákona rozumie účtovná jednotka, ktorá  je obchodnou spoločnosťou, štátnym podnikom alebo družstvom,  ktorá v inej účtovnej jednotke, ktorá je obchodnou spoločnosťou a </w:t>
      </w:r>
    </w:p>
    <w:p>
      <w:pPr>
        <w:numPr>
          <w:ilvl w:val="0"/>
          <w:numId w:val="4"/>
        </w:numPr>
        <w:tabs>
          <w:tab w:val="left" w:pos="1080"/>
        </w:tabs>
        <w:ind w:right="23"/>
        <w:jc w:val="both"/>
        <w:rPr>
          <w:rFonts w:ascii="Times New Roman" w:hAnsi="Times New Roman" w:cs="Times New Roman"/>
        </w:rPr>
      </w:pPr>
      <w:r>
        <w:rPr>
          <w:rFonts w:ascii="Times New Roman" w:hAnsi="Times New Roman" w:cs="Times New Roman"/>
        </w:rPr>
        <w:t>má väčšinu hlasovacích práv v účtovnej jednotke, alebo</w:t>
      </w:r>
    </w:p>
    <w:p>
      <w:pPr>
        <w:numPr>
          <w:ilvl w:val="0"/>
          <w:numId w:val="4"/>
        </w:numPr>
        <w:tabs>
          <w:tab w:val="left" w:pos="1080"/>
        </w:tabs>
        <w:ind w:right="23"/>
        <w:jc w:val="both"/>
        <w:rPr>
          <w:rFonts w:ascii="Times New Roman" w:hAnsi="Times New Roman" w:cs="Times New Roman"/>
        </w:rPr>
      </w:pPr>
      <w:r>
        <w:rPr>
          <w:rFonts w:ascii="Times New Roman" w:hAnsi="Times New Roman" w:cs="Times New Roman"/>
        </w:rPr>
        <w:t>má právo vymenúvať alebo odvolávať väčšinu členov štatutárneho orgánu  alebo dozorného orgánu účtovnej jednotky,  a súčasne je jej spoločníkom alebo jej  akcionárom, alebo</w:t>
      </w:r>
    </w:p>
    <w:p>
      <w:pPr>
        <w:numPr>
          <w:ilvl w:val="0"/>
          <w:numId w:val="4"/>
        </w:numPr>
        <w:tabs>
          <w:tab w:val="left" w:pos="1080"/>
        </w:tabs>
        <w:ind w:right="23"/>
        <w:jc w:val="both"/>
        <w:rPr>
          <w:rFonts w:ascii="Times New Roman" w:hAnsi="Times New Roman" w:cs="Times New Roman"/>
        </w:rPr>
      </w:pPr>
      <w:r>
        <w:rPr>
          <w:rFonts w:ascii="Times New Roman" w:hAnsi="Times New Roman" w:cs="Times New Roman"/>
        </w:rPr>
        <w:t>má právo ovládať účtovnú jednotku, ktorej je spoločníkom alebo akcionárom na základe dohody uzavretej  s touto účtovnou jednotkou alebo na základe spoločenskej zmluvy alebo stanov tejto účtovnej jednotky, ak to umožňuje právo štátu, ktorým sa riadi táto účtovná jednotka, alebo</w:t>
      </w:r>
    </w:p>
    <w:p>
      <w:pPr>
        <w:numPr>
          <w:ilvl w:val="0"/>
          <w:numId w:val="4"/>
        </w:numPr>
        <w:tabs>
          <w:tab w:val="left" w:pos="1080"/>
        </w:tabs>
        <w:ind w:right="23"/>
        <w:jc w:val="both"/>
        <w:rPr>
          <w:rFonts w:ascii="Times New Roman" w:hAnsi="Times New Roman" w:cs="Times New Roman"/>
        </w:rPr>
      </w:pPr>
      <w:r>
        <w:rPr>
          <w:rFonts w:ascii="Times New Roman" w:hAnsi="Times New Roman" w:cs="Times New Roman"/>
        </w:rPr>
        <w:t>je spoločníkom alebo akcionárom účtovnej jednotky a väčšina členov štatutárneho orgánu alebo dozorného orgánu účtovnej jednotky vykonávajúcich svoju funkciu v priebehu účtovného obdobia a v bezprostredne predchádzajúcom účtovnom období, až do zostavenia konsolidovanej účtovnej závierky bola vymenovaná výlučne prostredníctvom výkonu hlasovacích práv spoločníka alebo akcionára, ktorý je materskou účtovnou jednotkou alebo</w:t>
      </w:r>
    </w:p>
    <w:p>
      <w:pPr>
        <w:numPr>
          <w:ilvl w:val="0"/>
          <w:numId w:val="4"/>
        </w:numPr>
        <w:tabs>
          <w:tab w:val="left" w:pos="1080"/>
        </w:tabs>
        <w:ind w:right="23"/>
        <w:jc w:val="both"/>
        <w:rPr>
          <w:rFonts w:ascii="Times New Roman" w:hAnsi="Times New Roman" w:cs="Times New Roman"/>
        </w:rPr>
      </w:pPr>
      <w:r>
        <w:rPr>
          <w:rFonts w:ascii="Times New Roman" w:hAnsi="Times New Roman" w:cs="Times New Roman"/>
        </w:rPr>
        <w:t>je spoločníkom alebo ak</w:t>
      </w:r>
      <w:r>
        <w:rPr>
          <w:rFonts w:ascii="Times New Roman" w:hAnsi="Times New Roman" w:cs="Times New Roman"/>
        </w:rPr>
        <w:t>cionárom a na základe dohody s inými jej</w:t>
      </w:r>
      <w:r>
        <w:rPr>
          <w:rFonts w:ascii="Times New Roman" w:hAnsi="Times New Roman" w:cs="Times New Roman"/>
          <w:b/>
          <w:sz w:val="28"/>
          <w:szCs w:val="28"/>
        </w:rPr>
        <w:t xml:space="preserve"> </w:t>
      </w:r>
      <w:r>
        <w:rPr>
          <w:rFonts w:ascii="Times New Roman" w:hAnsi="Times New Roman" w:cs="Times New Roman"/>
        </w:rPr>
        <w:t>spoločníkmi alebo akcionármi má väčšinu hlasovacích práv.</w:t>
      </w:r>
    </w:p>
    <w:p>
      <w:pPr>
        <w:ind w:right="-900"/>
        <w:jc w:val="both"/>
        <w:rPr>
          <w:rFonts w:ascii="Times New Roman" w:hAnsi="Times New Roman" w:cs="Times New Roman"/>
        </w:rPr>
      </w:pPr>
    </w:p>
    <w:p>
      <w:pPr>
        <w:ind w:left="357" w:right="72" w:firstLine="3"/>
        <w:jc w:val="both"/>
        <w:rPr>
          <w:rFonts w:ascii="Times New Roman" w:hAnsi="Times New Roman" w:cs="Times New Roman"/>
        </w:rPr>
      </w:pPr>
      <w:r>
        <w:rPr>
          <w:rFonts w:ascii="Times New Roman" w:hAnsi="Times New Roman" w:cs="Times New Roman"/>
        </w:rPr>
        <w:t>(4) Účtovná jednotka, v ktorej materská účtovná jednotka má práva podľa odseku 3 je dcérska účtovná jednotka.</w:t>
      </w:r>
    </w:p>
    <w:p>
      <w:pPr>
        <w:ind w:left="357" w:right="72" w:firstLine="3"/>
        <w:jc w:val="both"/>
        <w:rPr>
          <w:rFonts w:ascii="Times New Roman" w:hAnsi="Times New Roman" w:cs="Times New Roman"/>
        </w:rPr>
      </w:pPr>
    </w:p>
    <w:p>
      <w:pPr>
        <w:ind w:left="357" w:right="72" w:firstLine="3"/>
        <w:jc w:val="both"/>
        <w:rPr>
          <w:rFonts w:ascii="Times New Roman" w:hAnsi="Times New Roman" w:cs="Times New Roman"/>
        </w:rPr>
      </w:pPr>
      <w:r>
        <w:rPr>
          <w:rFonts w:ascii="Times New Roman" w:hAnsi="Times New Roman" w:cs="Times New Roman"/>
        </w:rPr>
        <w:t>(5) Pri výpočte hlasovacích práv podľa odseku 3 písm. a), b),  d) a e) sa k hlasovacím právam a právam na vymenovanie alebo odvolanie členov štatutárneho orgánu alebo dozorného orgánu pripočítajú</w:t>
      </w:r>
    </w:p>
    <w:p>
      <w:pPr>
        <w:ind w:left="357" w:right="72" w:firstLine="3"/>
        <w:jc w:val="both"/>
        <w:rPr>
          <w:rFonts w:ascii="Times New Roman" w:hAnsi="Times New Roman" w:cs="Times New Roman"/>
        </w:rPr>
      </w:pPr>
      <w:r>
        <w:rPr>
          <w:rFonts w:ascii="Times New Roman" w:hAnsi="Times New Roman" w:cs="Times New Roman"/>
        </w:rPr>
        <w:t>a) práva inej jej dcérskej účtovnej jednotky,</w:t>
      </w:r>
    </w:p>
    <w:p>
      <w:pPr>
        <w:ind w:left="357" w:right="72" w:firstLine="3"/>
        <w:jc w:val="both"/>
        <w:rPr>
          <w:rFonts w:ascii="Times New Roman" w:hAnsi="Times New Roman" w:cs="Times New Roman"/>
        </w:rPr>
      </w:pPr>
      <w:r>
        <w:rPr>
          <w:rFonts w:ascii="Times New Roman" w:hAnsi="Times New Roman" w:cs="Times New Roman"/>
        </w:rPr>
        <w:t>b) fyzickej osoby alebo právnickej osoby, ktorá koná vo vlastnom mene, ale na účet materskej účtovnej jednotky,  alebo inej jej dcérskej  účtovnej jednotky.</w:t>
      </w:r>
    </w:p>
    <w:p>
      <w:pPr>
        <w:ind w:left="360" w:right="-900"/>
        <w:jc w:val="both"/>
        <w:rPr>
          <w:rFonts w:ascii="Times New Roman" w:hAnsi="Times New Roman" w:cs="Times New Roman"/>
        </w:rPr>
      </w:pPr>
    </w:p>
    <w:p>
      <w:pPr>
        <w:ind w:left="357" w:right="23"/>
        <w:jc w:val="both"/>
        <w:rPr>
          <w:rFonts w:ascii="Times New Roman" w:hAnsi="Times New Roman" w:cs="Times New Roman"/>
        </w:rPr>
      </w:pPr>
      <w:r>
        <w:rPr>
          <w:rFonts w:ascii="Times New Roman" w:hAnsi="Times New Roman" w:cs="Times New Roman"/>
        </w:rPr>
        <w:t>(6) Pri výpočte hlasovacích práv podľa odseku 3 písm. a), b), d) a e) sa od hlasovacích práv odpočítajú tie hlasovacie práva, ktoré súvisia s akciami alebo p</w:t>
      </w:r>
      <w:r>
        <w:rPr>
          <w:rFonts w:ascii="Times New Roman" w:hAnsi="Times New Roman" w:cs="Times New Roman"/>
        </w:rPr>
        <w:t>odielmi, ktoré</w:t>
      </w:r>
    </w:p>
    <w:p>
      <w:pPr>
        <w:numPr>
          <w:ilvl w:val="0"/>
          <w:numId w:val="5"/>
        </w:numPr>
        <w:tabs>
          <w:tab w:val="left" w:pos="1080"/>
        </w:tabs>
        <w:ind w:right="23"/>
        <w:jc w:val="both"/>
        <w:rPr>
          <w:rFonts w:ascii="Times New Roman" w:hAnsi="Times New Roman" w:cs="Times New Roman"/>
        </w:rPr>
      </w:pPr>
      <w:r>
        <w:rPr>
          <w:rFonts w:ascii="Times New Roman" w:hAnsi="Times New Roman" w:cs="Times New Roman"/>
        </w:rPr>
        <w:t>sú držané na účet inej účtovnej jednotky ako je  materská účtovná jednotka  alebo dcérska   účtovná jednotka  alebo</w:t>
      </w:r>
    </w:p>
    <w:p>
      <w:pPr>
        <w:numPr>
          <w:ilvl w:val="0"/>
          <w:numId w:val="5"/>
        </w:numPr>
        <w:tabs>
          <w:tab w:val="left" w:pos="1080"/>
        </w:tabs>
        <w:ind w:right="23"/>
        <w:jc w:val="both"/>
        <w:rPr>
          <w:rFonts w:ascii="Times New Roman" w:hAnsi="Times New Roman" w:cs="Times New Roman"/>
        </w:rPr>
      </w:pPr>
      <w:r>
        <w:rPr>
          <w:rFonts w:ascii="Times New Roman" w:hAnsi="Times New Roman" w:cs="Times New Roman"/>
        </w:rPr>
        <w:t>sú držané ako zábezpeka, ak sa tieto hlasovacie práva vykonáva podľa pokynov účtovnej jednotky, ktorá zábezpeku poskytla.</w:t>
      </w:r>
    </w:p>
    <w:p>
      <w:pPr>
        <w:ind w:left="720" w:right="23"/>
        <w:jc w:val="both"/>
        <w:rPr>
          <w:rFonts w:ascii="Times New Roman" w:hAnsi="Times New Roman" w:cs="Times New Roman"/>
        </w:rPr>
      </w:pPr>
    </w:p>
    <w:p>
      <w:pPr>
        <w:ind w:left="357" w:right="23"/>
        <w:jc w:val="both"/>
        <w:rPr>
          <w:rFonts w:ascii="Times New Roman" w:hAnsi="Times New Roman" w:cs="Times New Roman"/>
        </w:rPr>
      </w:pPr>
      <w:r>
        <w:rPr>
          <w:rFonts w:ascii="Times New Roman" w:hAnsi="Times New Roman" w:cs="Times New Roman"/>
        </w:rPr>
        <w:t>(7) Pri  výpočte  hlasovacích práv podľa odseku 3 písm. a), d) a e) sa od celkového počtu hlasovacích práv spoločníkov alebo akcionárov dcérskej  účtovnej jednotky  odpočítajú tie, ktoré súvisia s akciami alebo podielmi, ktoré sú držané touto dcérskou účtovnou jednotkou, niektorou z jej dcérskych  účtovných jednotiek alebo osobou konajúcou vo vlastnom mene, ale na účet týchto účtovných jednotiek.</w:t>
      </w:r>
    </w:p>
    <w:p>
      <w:pPr>
        <w:ind w:right="-902"/>
        <w:jc w:val="both"/>
        <w:rPr>
          <w:rFonts w:ascii="Times New Roman" w:hAnsi="Times New Roman" w:cs="Times New Roman"/>
        </w:rPr>
      </w:pPr>
    </w:p>
    <w:p>
      <w:pPr>
        <w:ind w:left="357" w:right="23"/>
        <w:jc w:val="both"/>
        <w:rPr>
          <w:rFonts w:ascii="Times New Roman" w:hAnsi="Times New Roman" w:cs="Times New Roman"/>
        </w:rPr>
      </w:pPr>
      <w:r>
        <w:rPr>
          <w:rFonts w:ascii="Times New Roman" w:hAnsi="Times New Roman" w:cs="Times New Roman"/>
        </w:rPr>
        <w:t>(8) Na materskú účtovnú jednotku, ktorá je zároveň dcérskou účtovnou jednotkou a jej  materská účtovná jednotka  podlieha právu niektorého členského štátu Európskej únie, sa nevzťahuje povinnosť zostaviť konsolidovanú účtovnú závierku a konsolidovanú výročnú správu (ďalej len „oslobodenie“), ak jej materská účtovná jednotka  má</w:t>
      </w:r>
    </w:p>
    <w:p>
      <w:pPr>
        <w:ind w:left="357" w:right="23"/>
        <w:jc w:val="both"/>
        <w:rPr>
          <w:rFonts w:ascii="Times New Roman" w:hAnsi="Times New Roman" w:cs="Times New Roman"/>
        </w:rPr>
      </w:pPr>
      <w:r>
        <w:rPr>
          <w:rFonts w:ascii="Times New Roman" w:hAnsi="Times New Roman" w:cs="Times New Roman"/>
        </w:rPr>
        <w:t>a) všetky akcie alebo podiely dcérskej účtovnej jednotky alebo</w:t>
      </w:r>
    </w:p>
    <w:p>
      <w:pPr>
        <w:ind w:left="357" w:right="23"/>
        <w:jc w:val="both"/>
        <w:rPr>
          <w:rFonts w:ascii="Times New Roman" w:hAnsi="Times New Roman" w:cs="Times New Roman"/>
        </w:rPr>
      </w:pPr>
      <w:r>
        <w:rPr>
          <w:rFonts w:ascii="Times New Roman" w:hAnsi="Times New Roman" w:cs="Times New Roman"/>
        </w:rPr>
        <w:t>b) najmenej 90 % akcií alebo podielov  dcérskej účtovnej jednotky  a ostatní akcionári alebo spoločníci tejto účtovnej jednotky súhlasili s  oslobodením.</w:t>
      </w:r>
    </w:p>
    <w:p>
      <w:pPr>
        <w:ind w:firstLine="709"/>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(9) Oslobodenie podľa odseku 8 možno uplatniť len ak</w:t>
      </w:r>
    </w:p>
    <w:p>
      <w:pPr>
        <w:numPr>
          <w:ilvl w:val="0"/>
          <w:numId w:val="10"/>
        </w:numPr>
        <w:tabs>
          <w:tab w:val="left" w:pos="1429"/>
        </w:tabs>
        <w:jc w:val="both"/>
        <w:rPr>
          <w:rFonts w:ascii="Times New Roman" w:hAnsi="Times New Roman" w:cs="Times New Roman"/>
        </w:rPr>
      </w:pPr>
      <w:r>
        <w:rPr>
          <w:rFonts w:ascii="Times New Roman" w:hAnsi="Times New Roman" w:cs="Times New Roman"/>
        </w:rPr>
        <w:t xml:space="preserve">dcérska účtovná jednotka  a všetky jej dcérske účtovné jednotky  sú zahrnované do konsolidovanej účtovnej závierky materskej účtovnej jednotky zostavenej podľa právnych predpisov Európskej únie a Európskych spoločenstiev, </w:t>
      </w:r>
    </w:p>
    <w:p>
      <w:pPr>
        <w:numPr>
          <w:ilvl w:val="0"/>
          <w:numId w:val="10"/>
        </w:numPr>
        <w:tabs>
          <w:tab w:val="left" w:pos="1429"/>
        </w:tabs>
        <w:jc w:val="both"/>
        <w:rPr>
          <w:rFonts w:ascii="Times New Roman" w:hAnsi="Times New Roman" w:cs="Times New Roman"/>
        </w:rPr>
      </w:pPr>
      <w:r>
        <w:rPr>
          <w:rFonts w:ascii="Times New Roman" w:hAnsi="Times New Roman" w:cs="Times New Roman"/>
        </w:rPr>
        <w:t xml:space="preserve">konsolidovaná účtovná závierka materskej účtovnej jednotky uvedená v písmene a) a súlad konsolidovanej výročnej správy materskej účtovnej jednotky s účtovnou závierkou sa overuje audítorom podľa právnych predpisov Európskej únie a Európskych spoločenstiev, </w:t>
      </w:r>
    </w:p>
    <w:p>
      <w:pPr>
        <w:numPr>
          <w:ilvl w:val="0"/>
          <w:numId w:val="10"/>
        </w:numPr>
        <w:tabs>
          <w:tab w:val="left" w:pos="1429"/>
        </w:tabs>
        <w:jc w:val="both"/>
        <w:rPr>
          <w:rFonts w:ascii="Times New Roman" w:hAnsi="Times New Roman" w:cs="Times New Roman"/>
        </w:rPr>
      </w:pPr>
      <w:r>
        <w:rPr>
          <w:rFonts w:ascii="Times New Roman" w:hAnsi="Times New Roman" w:cs="Times New Roman"/>
        </w:rPr>
        <w:t>konsolidovaná účtovná závierka materskej účtovnej jednotky uvedená v písmene a) a konsolidovaná výročná správa materskej účtovnej jednotky sa zverejňuje podľa právnych predpisov Európskej únie a Európskych spoločenstiev,</w:t>
      </w:r>
    </w:p>
    <w:p>
      <w:pPr>
        <w:numPr>
          <w:ilvl w:val="0"/>
          <w:numId w:val="10"/>
        </w:numPr>
        <w:tabs>
          <w:tab w:val="left" w:pos="1429"/>
        </w:tabs>
        <w:jc w:val="both"/>
        <w:rPr>
          <w:rFonts w:ascii="Times New Roman" w:hAnsi="Times New Roman" w:cs="Times New Roman"/>
        </w:rPr>
      </w:pPr>
      <w:r>
        <w:rPr>
          <w:rFonts w:ascii="Times New Roman" w:hAnsi="Times New Roman" w:cs="Times New Roman"/>
        </w:rPr>
        <w:t>dcérska účtovná jednotka uvádza v poznámkach k individuálnej účtovnej závierke názov a sídlo materskej účtovnej jednotky  zostavujúcej konsolidovanú účtovnú závierku uvedenú písm. a) a poukáže na to, že bola od povinnosti  oslobodená.</w:t>
      </w:r>
    </w:p>
    <w:p>
      <w:pPr>
        <w:ind w:right="-902"/>
        <w:jc w:val="both"/>
        <w:rPr>
          <w:rFonts w:ascii="Times New Roman" w:hAnsi="Times New Roman" w:cs="Times New Roman"/>
        </w:rPr>
      </w:pPr>
    </w:p>
    <w:p>
      <w:pPr>
        <w:ind w:right="23"/>
        <w:jc w:val="both"/>
        <w:rPr>
          <w:rFonts w:ascii="Times New Roman" w:hAnsi="Times New Roman" w:cs="Times New Roman"/>
        </w:rPr>
      </w:pPr>
      <w:r>
        <w:rPr>
          <w:rFonts w:ascii="Times New Roman" w:hAnsi="Times New Roman" w:cs="Times New Roman"/>
        </w:rPr>
        <w:t xml:space="preserve">(10) Povinnosť zostaviť konsolidovanú účtovnú závierku a konsolidovanú výročnú správu má materská účtovná jednotka v nasledujúcom účtovnom období, ak podľa údajov z posledných individuálnych účtovných závierok materskej účtovnej jednotky a individuálnych účtovných závierok jej  dcérskych  účtovných jednotiek na všetkých  úrovniach konsolidácie v každom z dvoch po sebe nasledujúcich účtovných  obdobiach boli splnené aspoň dve z týchto podmienok:  </w:t>
      </w:r>
    </w:p>
    <w:p>
      <w:pPr>
        <w:numPr>
          <w:ilvl w:val="0"/>
          <w:numId w:val="8"/>
        </w:numPr>
        <w:tabs>
          <w:tab w:val="left" w:pos="1797"/>
        </w:tabs>
        <w:ind w:right="23"/>
        <w:jc w:val="both"/>
        <w:rPr>
          <w:rFonts w:ascii="Times New Roman" w:hAnsi="Times New Roman" w:cs="Times New Roman"/>
        </w:rPr>
      </w:pPr>
      <w:r>
        <w:rPr>
          <w:rFonts w:ascii="Times New Roman" w:hAnsi="Times New Roman" w:cs="Times New Roman"/>
        </w:rPr>
        <w:t>celková suma majetku materskej účtovnej jednoty a dcérskych účtovných jednotiek je väčšia ako 350 000 000 Sk, pričom sumou majetku sa rozumie suma majetku zistená zo súvah v ocenení upravenom o položky podľa § 26 ods. 3,</w:t>
      </w:r>
    </w:p>
    <w:p>
      <w:pPr>
        <w:numPr>
          <w:ilvl w:val="0"/>
          <w:numId w:val="8"/>
        </w:numPr>
        <w:tabs>
          <w:tab w:val="left" w:pos="1797"/>
        </w:tabs>
        <w:ind w:right="23"/>
        <w:jc w:val="both"/>
        <w:rPr>
          <w:rFonts w:ascii="Times New Roman" w:hAnsi="Times New Roman" w:cs="Times New Roman"/>
        </w:rPr>
      </w:pPr>
      <w:r>
        <w:rPr>
          <w:rFonts w:ascii="Times New Roman" w:hAnsi="Times New Roman" w:cs="Times New Roman"/>
        </w:rPr>
        <w:t>čistý obrat materskej účtovnej jednoty a dcérskych účtovných jednotiek je vyšší ako 700 000 000 Sk, pričom čistým obratom na tento účel sú tržby z predaja výrobkov, tovarov a z poskytovania služieb,</w:t>
      </w:r>
    </w:p>
    <w:p>
      <w:pPr>
        <w:numPr>
          <w:ilvl w:val="0"/>
          <w:numId w:val="8"/>
        </w:numPr>
        <w:tabs>
          <w:tab w:val="left" w:pos="1797"/>
        </w:tabs>
        <w:ind w:right="-902"/>
        <w:jc w:val="both"/>
        <w:rPr>
          <w:rFonts w:ascii="Times New Roman" w:hAnsi="Times New Roman" w:cs="Times New Roman"/>
        </w:rPr>
      </w:pPr>
      <w:r>
        <w:rPr>
          <w:rFonts w:ascii="Times New Roman" w:hAnsi="Times New Roman" w:cs="Times New Roman"/>
        </w:rPr>
        <w:t>priemerný prepočítaný počet zamestnancov materskej účtovnej jednotky a </w:t>
      </w:r>
    </w:p>
    <w:p>
      <w:pPr>
        <w:ind w:left="1437" w:right="-902" w:firstLine="360"/>
        <w:jc w:val="both"/>
        <w:rPr>
          <w:rFonts w:ascii="Times New Roman" w:hAnsi="Times New Roman" w:cs="Times New Roman"/>
        </w:rPr>
      </w:pPr>
      <w:r>
        <w:rPr>
          <w:rFonts w:ascii="Times New Roman" w:hAnsi="Times New Roman" w:cs="Times New Roman"/>
        </w:rPr>
        <w:t>dcérskych účtovných jednotiek za účtovné obdobie presiahol 250.</w:t>
      </w:r>
    </w:p>
    <w:p>
      <w:pPr>
        <w:ind w:left="360" w:right="-900"/>
        <w:jc w:val="both"/>
        <w:rPr>
          <w:rFonts w:ascii="Times New Roman" w:hAnsi="Times New Roman" w:cs="Times New Roman"/>
        </w:rPr>
      </w:pPr>
    </w:p>
    <w:p>
      <w:pPr>
        <w:ind w:right="23"/>
        <w:jc w:val="both"/>
        <w:rPr>
          <w:rFonts w:ascii="Times New Roman" w:hAnsi="Times New Roman" w:cs="Times New Roman"/>
        </w:rPr>
      </w:pPr>
      <w:r>
        <w:rPr>
          <w:rFonts w:ascii="Times New Roman" w:hAnsi="Times New Roman" w:cs="Times New Roman"/>
        </w:rPr>
        <w:t>(11) Na účtovnú jednotku, ktorá zostavuje účtovnú závierku podľa § 17a sa odsek 9 nevzťahuje.</w:t>
      </w:r>
    </w:p>
    <w:p>
      <w:pPr>
        <w:ind w:left="357" w:right="-902" w:firstLine="720"/>
        <w:jc w:val="both"/>
        <w:rPr>
          <w:rFonts w:ascii="Times New Roman" w:hAnsi="Times New Roman" w:cs="Times New Roman"/>
        </w:rPr>
      </w:pPr>
    </w:p>
    <w:p>
      <w:pPr>
        <w:ind w:right="-902"/>
        <w:jc w:val="both"/>
        <w:rPr>
          <w:rFonts w:ascii="Times New Roman" w:hAnsi="Times New Roman" w:cs="Times New Roman"/>
        </w:rPr>
      </w:pPr>
      <w:r>
        <w:rPr>
          <w:rFonts w:ascii="Times New Roman" w:hAnsi="Times New Roman" w:cs="Times New Roman"/>
        </w:rPr>
        <w:t>(12) Konsolidovaná účtovná závierka musí byť overená audítorom.</w:t>
      </w:r>
    </w:p>
    <w:p>
      <w:pPr>
        <w:ind w:left="357" w:right="-902" w:firstLine="720"/>
        <w:jc w:val="both"/>
        <w:rPr>
          <w:rFonts w:ascii="Times New Roman" w:hAnsi="Times New Roman" w:cs="Times New Roman"/>
        </w:rPr>
      </w:pPr>
    </w:p>
    <w:p>
      <w:pPr>
        <w:ind w:right="23"/>
        <w:jc w:val="both"/>
        <w:rPr>
          <w:rFonts w:ascii="Times New Roman" w:hAnsi="Times New Roman" w:cs="Times New Roman"/>
        </w:rPr>
      </w:pPr>
      <w:r>
        <w:rPr>
          <w:rFonts w:ascii="Times New Roman" w:hAnsi="Times New Roman" w:cs="Times New Roman"/>
        </w:rPr>
        <w:t>(13) Materská účtovná jednotka  je povinná včas oznámiť dcérskym účtovným jednotkám a ostatným účtovným jednotkám zahrnovaným do konsolidovanej účtovnej závierky informáciu, že má povinnosť zostaviť konsolidovanú účtovnú z</w:t>
      </w:r>
      <w:r>
        <w:rPr>
          <w:rFonts w:ascii="Times New Roman" w:hAnsi="Times New Roman" w:cs="Times New Roman"/>
        </w:rPr>
        <w:t>ávierku.</w:t>
      </w:r>
    </w:p>
    <w:p>
      <w:pPr>
        <w:ind w:left="360" w:right="-900"/>
        <w:jc w:val="both"/>
        <w:rPr>
          <w:rFonts w:ascii="Times New Roman" w:hAnsi="Times New Roman" w:cs="Times New Roman"/>
        </w:rPr>
      </w:pPr>
    </w:p>
    <w:p>
      <w:pPr>
        <w:ind w:right="23"/>
        <w:jc w:val="both"/>
        <w:rPr>
          <w:rFonts w:ascii="Times New Roman" w:hAnsi="Times New Roman" w:cs="Times New Roman"/>
        </w:rPr>
      </w:pPr>
      <w:r>
        <w:rPr>
          <w:rFonts w:ascii="Times New Roman" w:hAnsi="Times New Roman" w:cs="Times New Roman"/>
        </w:rPr>
        <w:t xml:space="preserve">(14) Dcérske účtovné jednotky  a ostatné účtovné jednotky zahrnované do konsolidovanej účtovnej závierky sú povinné včas poskytnúť svoju individuálnu účtovnú závierku a požadované informácie </w:t>
      </w:r>
      <w:r>
        <w:rPr>
          <w:rFonts w:ascii="Times New Roman" w:hAnsi="Times New Roman" w:cs="Times New Roman"/>
          <w:b/>
          <w:sz w:val="28"/>
          <w:szCs w:val="28"/>
        </w:rPr>
        <w:t xml:space="preserve"> </w:t>
      </w:r>
      <w:r>
        <w:rPr>
          <w:rFonts w:ascii="Times New Roman" w:hAnsi="Times New Roman" w:cs="Times New Roman"/>
        </w:rPr>
        <w:t>potrebné na zostavenie konsolidovanej účtovnej závierky materskej  účtovnej jednotke.</w:t>
      </w:r>
    </w:p>
    <w:p>
      <w:pPr>
        <w:ind w:left="360" w:right="-900"/>
        <w:jc w:val="both"/>
        <w:rPr>
          <w:rFonts w:ascii="Times New Roman" w:hAnsi="Times New Roman" w:cs="Times New Roman"/>
        </w:rPr>
      </w:pPr>
    </w:p>
    <w:p>
      <w:pPr>
        <w:ind w:right="23"/>
        <w:jc w:val="both"/>
        <w:rPr>
          <w:rFonts w:ascii="Times New Roman" w:hAnsi="Times New Roman" w:cs="Times New Roman"/>
        </w:rPr>
      </w:pPr>
      <w:r>
        <w:rPr>
          <w:rFonts w:ascii="Times New Roman" w:hAnsi="Times New Roman" w:cs="Times New Roman"/>
        </w:rPr>
        <w:t>(15) Na konsolidovanú výročnú správu sa  § 20 vzťahuje  primerane. Ak má účtovná jednotka povinnosť zostaviť individuálnu výročnú správu a konsolidovanú výročnú správu, možno údaje z individuálnej výročnej správy a údaje z konsolidovanej výročnej správy spojiť do jednej výročnej správy.</w:t>
      </w:r>
    </w:p>
    <w:p>
      <w:pPr>
        <w:ind w:right="23"/>
        <w:jc w:val="both"/>
        <w:rPr>
          <w:rFonts w:ascii="Times New Roman" w:hAnsi="Times New Roman" w:cs="Times New Roman"/>
        </w:rPr>
      </w:pPr>
    </w:p>
    <w:p>
      <w:pPr>
        <w:ind w:right="23"/>
        <w:jc w:val="both"/>
        <w:rPr>
          <w:rFonts w:ascii="Times New Roman" w:hAnsi="Times New Roman" w:cs="Times New Roman"/>
        </w:rPr>
      </w:pPr>
      <w:r>
        <w:rPr>
          <w:rFonts w:ascii="Times New Roman" w:hAnsi="Times New Roman" w:cs="Times New Roman"/>
        </w:rPr>
        <w:t>(16) Na zostavenie mimoriadnej konsolidovanej účtovnej závierky a priebežnej konsolidovanej účtovnej závierky sa odseky 1 až 15 vzťahujú rovnako.“.</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Poznámka pod čiarou k odkazu 28a znie:</w:t>
      </w:r>
    </w:p>
    <w:p>
      <w:pPr>
        <w:jc w:val="both"/>
        <w:rPr>
          <w:rFonts w:ascii="Times New Roman" w:hAnsi="Times New Roman" w:cs="Times New Roman"/>
        </w:rPr>
      </w:pPr>
      <w:r>
        <w:rPr>
          <w:rFonts w:ascii="Times New Roman" w:hAnsi="Times New Roman" w:cs="Times New Roman"/>
        </w:rPr>
        <w:t>„28a)  §15 ods. 6 písm. e) zákona č. 466/2002 Z.z. o audítoroch a Slovenskej komore audítorov.“.</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 xml:space="preserve"> § 23 sa  vypúšťa.</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24 odsek 2 znie:</w:t>
      </w:r>
    </w:p>
    <w:p>
      <w:pPr>
        <w:jc w:val="both"/>
        <w:rPr>
          <w:rFonts w:ascii="Times New Roman" w:hAnsi="Times New Roman" w:cs="Times New Roman"/>
        </w:rPr>
      </w:pPr>
      <w:r>
        <w:rPr>
          <w:rFonts w:ascii="Times New Roman" w:hAnsi="Times New Roman" w:cs="Times New Roman"/>
        </w:rPr>
        <w:t>„(2) Ak tento zákon neustanovuje inak, majetok a záväzky vyjadrené v cudzej mene prepočítava účtovná jednotka na slovenskú menu kurzom vyhláseným Národnou bankou Slovenska platným ku dňu uskutočnenia účtovného prípadu, ku dňu, ku ktorému sa zostavuje účtovná závierka a  k inému dňu, ak to ustanovuje osobitný predpis</w:t>
      </w:r>
      <w:r>
        <w:rPr>
          <w:rFonts w:ascii="Times New Roman" w:hAnsi="Times New Roman" w:cs="Times New Roman"/>
          <w:vertAlign w:val="superscript"/>
        </w:rPr>
        <w:t>34)</w:t>
      </w:r>
      <w:r>
        <w:rPr>
          <w:rFonts w:ascii="Times New Roman" w:hAnsi="Times New Roman" w:cs="Times New Roman"/>
        </w:rPr>
        <w:t>.“.</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24 sa za odsek 3 vkladá nový odsek 4, ktorý zn</w:t>
      </w:r>
      <w:r>
        <w:rPr>
          <w:rFonts w:ascii="Times New Roman" w:hAnsi="Times New Roman" w:cs="Times New Roman"/>
        </w:rPr>
        <w:t>ie:</w:t>
      </w:r>
    </w:p>
    <w:p>
      <w:pPr>
        <w:rPr>
          <w:rFonts w:ascii="Times New Roman" w:hAnsi="Times New Roman" w:cs="Times New Roman"/>
        </w:rPr>
      </w:pPr>
      <w:r>
        <w:rPr>
          <w:rFonts w:ascii="Times New Roman" w:hAnsi="Times New Roman" w:cs="Times New Roman"/>
        </w:rPr>
        <w:t>„(4) Pri prevode peňažných prostriedkov z účtu zriadeného v cudzej mene na účet zriadený v slovenskej mene a z účtu zriadeného v slovenskej mene na účet zriadený v cudzej mene sa použije kurz  podľa odseku 3.“.</w:t>
      </w:r>
    </w:p>
    <w:p>
      <w:pPr>
        <w:rPr>
          <w:rFonts w:ascii="Times New Roman" w:hAnsi="Times New Roman" w:cs="Times New Roman"/>
        </w:rPr>
      </w:pPr>
      <w:r>
        <w:rPr>
          <w:rFonts w:ascii="Times New Roman" w:hAnsi="Times New Roman" w:cs="Times New Roman"/>
        </w:rPr>
        <w:t>Doterajší odsek 4 sa označuje ako odsek 5</w:t>
      </w:r>
      <w:r>
        <w:rPr>
          <w:rFonts w:ascii="Times New Roman" w:hAnsi="Times New Roman" w:cs="Times New Roman"/>
        </w:rPr>
        <w:t>.</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25 sa odsek 1  dopĺňa písmenom e), ktoré znie:</w:t>
      </w:r>
    </w:p>
    <w:p>
      <w:pPr>
        <w:rPr>
          <w:rFonts w:ascii="Times New Roman" w:hAnsi="Times New Roman" w:cs="Times New Roman"/>
        </w:rPr>
      </w:pPr>
      <w:r>
        <w:rPr>
          <w:rFonts w:ascii="Times New Roman" w:hAnsi="Times New Roman" w:cs="Times New Roman"/>
        </w:rPr>
        <w:t>„e) reálnou hodnotou podľa § 27 ods. 2 majetok a záväzky nadobudnuté vkladom alebo kúpou podniku  alebo jeho časti.“.</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25 ods. 3  prvá veta znie:</w:t>
      </w:r>
    </w:p>
    <w:p>
      <w:pPr>
        <w:rPr>
          <w:rFonts w:ascii="Times New Roman" w:hAnsi="Times New Roman" w:cs="Times New Roman"/>
        </w:rPr>
      </w:pPr>
      <w:r>
        <w:rPr>
          <w:rFonts w:ascii="Times New Roman" w:hAnsi="Times New Roman" w:cs="Times New Roman"/>
        </w:rPr>
        <w:t>„ Ak je to v súlade s požiadavkou verného a pravdivého zobrazenia podľa § 7 ods. 1 pri majetku, ktorým je rovnaký druh zásob vedený na sklade, rovnaký  druh cenných papierov  vedený v portfóliu  účtovnej jednotky a pri  peňažných prostriedkoch v  rovnakej cudzej mene v pokladnici účtovnej jednotky,  možno za  spôsob ocenenia  podľa odseku  1 považovať aj ocenenie  úbytku  cenou  zistenou  váženým  aritmetickým priemerom alebo spôsobom,  keď prvá cena  na ocenenie prírastku  príslušného druhu majetku  sa použije ako  prvá cena na  ocenenie úbytku tohto majetk</w:t>
      </w:r>
      <w:r>
        <w:rPr>
          <w:rFonts w:ascii="Times New Roman" w:hAnsi="Times New Roman" w:cs="Times New Roman"/>
        </w:rPr>
        <w:t>u.“.</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26 ods. 5 sa na konci pripájajú tieto slová: „ a tvorby rezerv podľa osobitného predpisu</w:t>
      </w:r>
      <w:r>
        <w:rPr>
          <w:rFonts w:ascii="Times New Roman" w:hAnsi="Times New Roman" w:cs="Times New Roman"/>
          <w:vertAlign w:val="superscript"/>
        </w:rPr>
        <w:t>35a)</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Poznámka pod čiarou k odkazu 35a znie:</w:t>
      </w:r>
    </w:p>
    <w:p>
      <w:pPr>
        <w:rPr>
          <w:rFonts w:ascii="Times New Roman" w:hAnsi="Times New Roman" w:cs="Times New Roman"/>
        </w:rPr>
      </w:pPr>
      <w:r>
        <w:rPr>
          <w:rFonts w:ascii="Times New Roman" w:hAnsi="Times New Roman" w:cs="Times New Roman"/>
        </w:rPr>
        <w:t>„35a) § 20 ods. 9 písm. b) a d) zákona č. 595/2003 Z. z.“.</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Poznámka pod čiarou k odkazu 36 znie:</w:t>
      </w:r>
    </w:p>
    <w:p>
      <w:pPr>
        <w:rPr>
          <w:rFonts w:ascii="Times New Roman" w:hAnsi="Times New Roman" w:cs="Times New Roman"/>
        </w:rPr>
      </w:pPr>
      <w:r>
        <w:rPr>
          <w:rFonts w:ascii="Times New Roman" w:hAnsi="Times New Roman" w:cs="Times New Roman"/>
        </w:rPr>
        <w:t xml:space="preserve">„ 36) § 20 zákona č. 595/2003 Z.z.“. </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27 ods. 1 písm. a) sa za slovo „spoločnostiach“ vkladá čiarka a slová „ pre ktoré je účtovná jednotka materskou účtovnou jednotkou, alebo v ktorých účtovná jednotka má podstatný vplyv, ktorým sa rozumie najmenej dvadsaťpercentn</w:t>
      </w:r>
      <w:r>
        <w:rPr>
          <w:rFonts w:ascii="Times New Roman" w:hAnsi="Times New Roman" w:cs="Times New Roman"/>
        </w:rPr>
        <w:t xml:space="preserve">ý podiel na jej hlasovacích právach,“. </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 xml:space="preserve"> V § 27 ods. 1 písm. d) sa vypúšťajú slová „splynutím alebo rozdelením“.</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 xml:space="preserve">V § 27 ods. 2 písm. c) sa nad slovom „predpisu“ odkaz 38 nahrádza odkazom 39. </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Poznámka pod čiarou k odkazu  39 znie:</w:t>
      </w:r>
    </w:p>
    <w:p>
      <w:pPr>
        <w:rPr>
          <w:rFonts w:ascii="Times New Roman" w:hAnsi="Times New Roman" w:cs="Times New Roman"/>
        </w:rPr>
      </w:pPr>
      <w:r>
        <w:rPr>
          <w:rFonts w:ascii="Times New Roman" w:hAnsi="Times New Roman" w:cs="Times New Roman"/>
        </w:rPr>
        <w:t>„39) § 95 zákona č. 59</w:t>
      </w:r>
      <w:r>
        <w:rPr>
          <w:rFonts w:ascii="Times New Roman" w:hAnsi="Times New Roman" w:cs="Times New Roman"/>
        </w:rPr>
        <w:t>4/2003 o kolektívnom investovaní a o zmene a doplnení niektorých zákonov.“.</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27 sa za odsek 6 vkladá nový odsek 7, ktorý znie:</w:t>
      </w:r>
    </w:p>
    <w:p>
      <w:pPr>
        <w:rPr>
          <w:rFonts w:ascii="Times New Roman" w:hAnsi="Times New Roman" w:cs="Times New Roman"/>
        </w:rPr>
      </w:pPr>
      <w:r>
        <w:rPr>
          <w:rFonts w:ascii="Times New Roman" w:hAnsi="Times New Roman" w:cs="Times New Roman"/>
        </w:rPr>
        <w:t>„(7) V prípadoch neuvedených v odseku 6 sa pod kvalifikovaným odhadom rozumie aj iný odborný odhad.“.</w:t>
      </w:r>
    </w:p>
    <w:p>
      <w:pPr>
        <w:rPr>
          <w:rFonts w:ascii="Times New Roman" w:hAnsi="Times New Roman" w:cs="Times New Roman"/>
        </w:rPr>
      </w:pPr>
      <w:r>
        <w:rPr>
          <w:rFonts w:ascii="Times New Roman" w:hAnsi="Times New Roman" w:cs="Times New Roman"/>
        </w:rPr>
        <w:t>Doterajšie odseky 7 a 8</w:t>
      </w:r>
      <w:r>
        <w:rPr>
          <w:rFonts w:ascii="Times New Roman" w:hAnsi="Times New Roman" w:cs="Times New Roman"/>
        </w:rPr>
        <w:t xml:space="preserve"> sa označujú ako odseky 8 a 9.</w:t>
      </w:r>
    </w:p>
    <w:p>
      <w:pPr>
        <w:rPr>
          <w:rFonts w:ascii="Times New Roman" w:hAnsi="Times New Roman" w:cs="Times New Roman"/>
        </w:rPr>
      </w:pPr>
      <w:r>
        <w:rPr>
          <w:rFonts w:ascii="Times New Roman" w:hAnsi="Times New Roman" w:cs="Times New Roman"/>
        </w:rPr>
        <w:t xml:space="preserve"> </w:t>
      </w:r>
    </w:p>
    <w:p>
      <w:pPr>
        <w:numPr>
          <w:ilvl w:val="0"/>
          <w:numId w:val="1"/>
        </w:numPr>
        <w:tabs>
          <w:tab w:val="left" w:pos="360"/>
        </w:tabs>
        <w:rPr>
          <w:rFonts w:ascii="Times New Roman" w:hAnsi="Times New Roman" w:cs="Times New Roman"/>
        </w:rPr>
      </w:pPr>
      <w:r>
        <w:rPr>
          <w:rFonts w:ascii="Times New Roman" w:hAnsi="Times New Roman" w:cs="Times New Roman"/>
        </w:rPr>
        <w:t>V § 27 ods. 9 prvej vete sa slovo „objektívne“ nahrádza slovom „spoľahlivo“ a tretej vete sa za slovo „spoločnostiach“ vkladá čiarka a slová „ pre ktoré je účtovná jednotka materskou účtovnou jednotkou alebo v ktorých účtov</w:t>
      </w:r>
      <w:r>
        <w:rPr>
          <w:rFonts w:ascii="Times New Roman" w:hAnsi="Times New Roman" w:cs="Times New Roman"/>
        </w:rPr>
        <w:t xml:space="preserve">ná jednotka má podstatný vplyv“. </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 xml:space="preserve">V § 28 ods. 1 sa vypúšťa slovo „hnuteľným“ a  slová „na základe prejavu vôle“. </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28 odsek 4  znie:</w:t>
      </w:r>
    </w:p>
    <w:p>
      <w:pPr>
        <w:rPr>
          <w:rFonts w:ascii="Times New Roman" w:hAnsi="Times New Roman" w:cs="Times New Roman"/>
        </w:rPr>
      </w:pPr>
      <w:r>
        <w:rPr>
          <w:rFonts w:ascii="Times New Roman" w:hAnsi="Times New Roman" w:cs="Times New Roman"/>
        </w:rPr>
        <w:t>„(4) Hmotný majetok okrem zásob odpisuje účtovná jednotka s ohľadom na opotrebovanie zodpovedajúce bežným podmienkam jeho používania. Nehmotný majetok, ktorým sú goodwill, aktivované zriaďovacie náklady a  náklady na vývoj  musí účtovná jednotka odpísať najneskôr do piatich rokov od jeho obstarania. Záporný goodwill musí účtovná jednotka odpísať najneskôr do piatich rokov od jeho obstarania. Ak neboli zriaďovacie náklady a náklady na vývoj úplne odpísané, môže účtovná jednotka vyplácať dividendy, podiely a tantiémy iba vtedy, ak úhrnná výška výsledku hospodárenia a  fondov tvorených zo  zisku    určeného na vyplácanie je vyššia ako celková výška neodpísaných zriaďovacích nákladov a nákladov na vývoj. Nehmotný majetok vytvorený vlastnou činnosťou sa neaktivuje okrem zriaďovacích nákladov, softvéru a nákladov na vývoj, ktoré sa aktivujú v súlade s postupmi účtovania.“.</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29  ods. 2 sa vypúšťa tretia a štvrtá veta.</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30 ods. 4 prvej vete za slovo „majetku“ vkladajú slová „okrem zásob“ a  za prvú vetu sa vkladá nová druhá veta, ktorá znie: „Fyzickú inventúru zásob môže účtovná jednotka  vykonávať kedykoľvek v priebehu účto</w:t>
      </w:r>
      <w:r>
        <w:rPr>
          <w:rFonts w:ascii="Times New Roman" w:hAnsi="Times New Roman" w:cs="Times New Roman"/>
        </w:rPr>
        <w:t>vného obdobia.“.</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31 ods. 5 druhej vete sa vypúšťajú slová „ods.1“.</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 xml:space="preserve"> V § 35 ods. 2 sa slová „ odseku 4“ nahrádzajú slovami „ odseku 3“.</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38 ods.1  úvodná veta znie:</w:t>
      </w:r>
    </w:p>
    <w:p>
      <w:pPr>
        <w:rPr>
          <w:rFonts w:ascii="Times New Roman" w:hAnsi="Times New Roman" w:cs="Times New Roman"/>
        </w:rPr>
      </w:pPr>
      <w:r>
        <w:rPr>
          <w:rFonts w:ascii="Times New Roman" w:hAnsi="Times New Roman" w:cs="Times New Roman"/>
        </w:rPr>
        <w:t xml:space="preserve">„Za porušenie ustanovení tohto zákona, s výnimkou podľa odseku 2, môže daňový úrad  uložiť pokutu do 1% celkovej sumy majetku“. </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38 ods. 1 písm. a) sa za slovo „súvahy“ vkladá slovo „zostavenej“.</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38 ods. 1 písm. c) sa slovo „neupravenom“ nahrádza slovom „upravenom“.</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38 ods. 2 úvodnej vete sa za slová „§ 17 ods. 3, 4“  vkladá čiarka a slová „§ 17a “.</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38 ods. 2 písm. a) sa za slovo „súvahy“ vkladá slovo „zostavenej“.</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38 ods. 2 písm. c) sa slovo „neupravenom“ nahrádza slovom „upravenom“.</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38 sa za odsek 2 vkladá nový odsek 3, ktorý znie:</w:t>
      </w:r>
    </w:p>
    <w:p>
      <w:pPr>
        <w:rPr>
          <w:rFonts w:ascii="Times New Roman" w:hAnsi="Times New Roman" w:cs="Times New Roman"/>
        </w:rPr>
      </w:pPr>
      <w:r>
        <w:rPr>
          <w:rFonts w:ascii="Times New Roman" w:hAnsi="Times New Roman" w:cs="Times New Roman"/>
        </w:rPr>
        <w:t>„(3) Za porušenie povinností ustanovených týmto zákonom sa nepovažuje účtovanie a vykazovanie, ktoré je v súlade s osobitnými predpismi</w:t>
      </w:r>
      <w:r>
        <w:rPr>
          <w:rFonts w:ascii="Times New Roman" w:hAnsi="Times New Roman" w:cs="Times New Roman"/>
          <w:vertAlign w:val="superscript"/>
        </w:rPr>
        <w:t xml:space="preserve"> 22a)</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Doterajšie odseky 3 až 8 sa označujú ako odseky 4 až 9.</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38 ods. 4 sa slová „pravidlách kontrolnej činnosti“ nahrádzajú slovami „daňovej kontrole“ a poznámka pod čiarou 47a  znie:</w:t>
      </w:r>
    </w:p>
    <w:p>
      <w:pPr>
        <w:rPr>
          <w:rFonts w:ascii="Times New Roman" w:hAnsi="Times New Roman" w:cs="Times New Roman"/>
        </w:rPr>
      </w:pPr>
      <w:r>
        <w:rPr>
          <w:rFonts w:ascii="Times New Roman" w:hAnsi="Times New Roman" w:cs="Times New Roman"/>
        </w:rPr>
        <w:t>„47a) Zákon Slovenskej národnej rady č. 511/1992 Zb. o správe daní a poplatkov a o zmenách v sústave územných finančných orgánov v znení neskorších predpisov.“.</w:t>
      </w:r>
    </w:p>
    <w:p>
      <w:pPr>
        <w:rPr>
          <w:rFonts w:ascii="Times New Roman" w:hAnsi="Times New Roman" w:cs="Times New Roman"/>
          <w:color w:val="FF6600"/>
        </w:rPr>
      </w:pPr>
    </w:p>
    <w:p>
      <w:pPr>
        <w:numPr>
          <w:ilvl w:val="0"/>
          <w:numId w:val="1"/>
        </w:numPr>
        <w:tabs>
          <w:tab w:val="left" w:pos="360"/>
        </w:tabs>
        <w:rPr>
          <w:rFonts w:ascii="Times New Roman" w:hAnsi="Times New Roman" w:cs="Times New Roman"/>
        </w:rPr>
      </w:pPr>
      <w:r>
        <w:rPr>
          <w:rFonts w:ascii="Times New Roman" w:hAnsi="Times New Roman" w:cs="Times New Roman"/>
        </w:rPr>
        <w:t>V § 38 ods. 5 sa slová „odsekov 1 a 2“ nahrádz</w:t>
      </w:r>
      <w:r>
        <w:rPr>
          <w:rFonts w:ascii="Times New Roman" w:hAnsi="Times New Roman" w:cs="Times New Roman"/>
        </w:rPr>
        <w:t>ajú slovami „odsekov 1, 2 a 7“.</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38 ods. 7 sa za slová „úhrn majetku“ vkladajú slová „podľa odsekov 1 a 2“ a na konci sa pripájajú tieto slová: „do 100 000 000 Sk“.</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V § 38 ods. 9 sa slová „všeobecný predpis o správnom konaní</w:t>
      </w:r>
      <w:r>
        <w:rPr>
          <w:rFonts w:ascii="Times New Roman" w:hAnsi="Times New Roman" w:cs="Times New Roman"/>
          <w:vertAlign w:val="superscript"/>
        </w:rPr>
        <w:t>48)</w:t>
      </w:r>
      <w:r>
        <w:rPr>
          <w:rFonts w:ascii="Times New Roman" w:hAnsi="Times New Roman" w:cs="Times New Roman"/>
        </w:rPr>
        <w:t>“ nahrádzajú slovami „os</w:t>
      </w:r>
      <w:r>
        <w:rPr>
          <w:rFonts w:ascii="Times New Roman" w:hAnsi="Times New Roman" w:cs="Times New Roman"/>
        </w:rPr>
        <w:t>obitný predpis</w:t>
      </w:r>
      <w:r>
        <w:rPr>
          <w:rFonts w:ascii="Times New Roman" w:hAnsi="Times New Roman" w:cs="Times New Roman"/>
          <w:vertAlign w:val="superscript"/>
        </w:rPr>
        <w:t>47a)</w:t>
      </w:r>
      <w:r>
        <w:rPr>
          <w:rFonts w:ascii="Times New Roman" w:hAnsi="Times New Roman" w:cs="Times New Roman"/>
        </w:rPr>
        <w:t>“.</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Poznámka pod čiarou k odkazu 48 sa vypúšťa.</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 xml:space="preserve">  Za § 38 sa vkladá § 38a, ktorý znie:</w:t>
      </w:r>
    </w:p>
    <w:p>
      <w:pP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 38a</w:t>
      </w:r>
    </w:p>
    <w:p>
      <w:pPr>
        <w:jc w:val="center"/>
        <w:rPr>
          <w:rFonts w:ascii="Times New Roman" w:hAnsi="Times New Roman" w:cs="Times New Roman"/>
        </w:rPr>
      </w:pPr>
    </w:p>
    <w:p>
      <w:pPr>
        <w:rPr>
          <w:rFonts w:ascii="Times New Roman" w:hAnsi="Times New Roman" w:cs="Times New Roman"/>
        </w:rPr>
      </w:pPr>
      <w:r>
        <w:rPr>
          <w:rFonts w:ascii="Times New Roman" w:hAnsi="Times New Roman" w:cs="Times New Roman"/>
        </w:rPr>
        <w:t>Na konanie daňových úradov  o uložení pokút za porušenie povinností podľa zákona č. 563/Zb. o účtovníctve v znení neskorších predpisov sa vzťahuje § 37 zákona č. 563/1991 Zb. o účtovníctve v znení zákona č. 336/1999 Z.z.“.</w:t>
      </w:r>
    </w:p>
    <w:p>
      <w:pPr>
        <w:rPr>
          <w:rFonts w:ascii="Times New Roman" w:hAnsi="Times New Roman" w:cs="Times New Roman"/>
        </w:rPr>
      </w:pPr>
    </w:p>
    <w:p>
      <w:pPr>
        <w:numPr>
          <w:ilvl w:val="0"/>
          <w:numId w:val="1"/>
        </w:numPr>
        <w:tabs>
          <w:tab w:val="left" w:pos="360"/>
        </w:tabs>
        <w:rPr>
          <w:rFonts w:ascii="Times New Roman" w:hAnsi="Times New Roman" w:cs="Times New Roman"/>
        </w:rPr>
      </w:pPr>
      <w:r>
        <w:rPr>
          <w:rFonts w:ascii="Times New Roman" w:hAnsi="Times New Roman" w:cs="Times New Roman"/>
        </w:rPr>
        <w:t>Za § 39a sa vkladajú § 39b a  39c, ktoré znejú:</w:t>
      </w:r>
    </w:p>
    <w:p>
      <w:pP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 39b</w:t>
      </w:r>
    </w:p>
    <w:p>
      <w:pPr>
        <w:jc w:val="center"/>
        <w:rPr>
          <w:rFonts w:ascii="Times New Roman" w:hAnsi="Times New Roman" w:cs="Times New Roman"/>
        </w:rPr>
      </w:pPr>
    </w:p>
    <w:p>
      <w:pPr>
        <w:rPr>
          <w:rFonts w:ascii="Times New Roman" w:hAnsi="Times New Roman" w:cs="Times New Roman"/>
        </w:rPr>
      </w:pPr>
      <w:r>
        <w:rPr>
          <w:rFonts w:ascii="Times New Roman" w:hAnsi="Times New Roman" w:cs="Times New Roman"/>
        </w:rPr>
        <w:t>(1) Podľa tohto zákona sa konsolidovaná účtovná závierka zostavuje po prvýkrát za  prvé účtovné obdobie, ktoré sa začína  1. januára 2005.</w:t>
      </w:r>
    </w:p>
    <w:p>
      <w:pPr>
        <w:rPr>
          <w:rFonts w:ascii="Times New Roman" w:hAnsi="Times New Roman" w:cs="Times New Roman"/>
        </w:rPr>
      </w:pPr>
      <w:r>
        <w:rPr>
          <w:rFonts w:ascii="Times New Roman" w:hAnsi="Times New Roman" w:cs="Times New Roman"/>
        </w:rPr>
        <w:t>(2) Podľa § 17a sa individuálna účtovná závierka zostavuje po prvýkrát za prvé účtovné obdobie, ktoré sa začína 1. januára 2006.</w:t>
      </w:r>
    </w:p>
    <w:p>
      <w:pPr>
        <w:rPr>
          <w:rFonts w:ascii="Times New Roman" w:hAnsi="Times New Roman" w:cs="Times New Roman"/>
        </w:rPr>
      </w:pPr>
      <w:r>
        <w:rPr>
          <w:rFonts w:ascii="Times New Roman" w:hAnsi="Times New Roman" w:cs="Times New Roman"/>
        </w:rPr>
        <w:t xml:space="preserve">(3) Podľa § 17b zostavuje Národná banka Slovenska účtovnú závierku po prvýkrát za účtovné obdobie, ktoré sa začína 1. januára 2006. </w:t>
      </w:r>
    </w:p>
    <w:p>
      <w:pPr>
        <w:rPr>
          <w:rFonts w:ascii="Times New Roman" w:hAnsi="Times New Roman" w:cs="Times New Roman"/>
        </w:rPr>
      </w:pPr>
      <w:r>
        <w:rPr>
          <w:rFonts w:ascii="Times New Roman" w:hAnsi="Times New Roman" w:cs="Times New Roman"/>
        </w:rPr>
        <w:t>(4) Na konania začaté pred 1. januárom 2005 sa vzťahuje doterajší predpis.</w:t>
      </w:r>
    </w:p>
    <w:p>
      <w:pP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 39c</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Týmto zákonom sa preberajú právne akty Európskych spoločenstiev a Európskej únie uvedené v prílohe.“.</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70. Zákon sa dopĺňa prílohou, ktorá znie:</w:t>
      </w:r>
      <w:r>
        <w:rPr>
          <w:rFonts w:ascii="Times New Roman" w:hAnsi="Times New Roman" w:cs="Times New Roman"/>
        </w:rPr>
        <w:t xml:space="preserve"> </w:t>
      </w:r>
    </w:p>
    <w:p>
      <w:pPr>
        <w:ind w:left="3540"/>
        <w:rPr>
          <w:rFonts w:ascii="Times New Roman" w:hAnsi="Times New Roman" w:cs="Times New Roman"/>
        </w:rPr>
      </w:pPr>
    </w:p>
    <w:p>
      <w:pPr>
        <w:ind w:left="3540"/>
        <w:rPr>
          <w:rFonts w:ascii="Times New Roman" w:hAnsi="Times New Roman" w:cs="Times New Roman"/>
        </w:rPr>
      </w:pPr>
      <w:r>
        <w:rPr>
          <w:rFonts w:ascii="Times New Roman" w:hAnsi="Times New Roman" w:cs="Times New Roman"/>
        </w:rPr>
        <w:t xml:space="preserve">„Príloha k zákonu č. 431/2002 Z. z. v znení neskorších predpisov </w:t>
      </w: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ZOZNAM  PREBRATÝCH  PRÁVNYCH  AKTOV  EURÓPSKYCH SPOLOČENSTIEV  A EURÓPSKEJ ÚNIE</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 xml:space="preserve">Týmto zákonom sa preberajú tieto právne akty: </w:t>
      </w:r>
    </w:p>
    <w:p>
      <w:pPr>
        <w:numPr>
          <w:ilvl w:val="1"/>
          <w:numId w:val="15"/>
        </w:numPr>
        <w:tabs>
          <w:tab w:val="left" w:pos="360"/>
          <w:tab w:val="left" w:pos="720"/>
        </w:tabs>
        <w:ind w:left="360"/>
        <w:jc w:val="both"/>
        <w:rPr>
          <w:rFonts w:ascii="Times New Roman" w:hAnsi="Times New Roman" w:cs="Times New Roman"/>
        </w:rPr>
      </w:pPr>
      <w:r>
        <w:rPr>
          <w:rFonts w:ascii="Times New Roman" w:hAnsi="Times New Roman" w:cs="Times New Roman"/>
        </w:rPr>
        <w:t>Štvrtá smernica Rady  78/660/EHS z 25. júla 1978 založená na článku 54 (3) g) zmluvy o účtovnej závierke niektorých typov spoločností (Úradný vestník Európskych spoločenstiev L 222, 14. 8. 1978) v znení smernice Rady  90/604/EHS z 8. novembra 1990 (Úradný vestník Európskych spoločenstiev L 317, 16. 11. 1990), v znení smernice Rady  90/605/EHS z  8. novembra 1990 (Úradný vestník Európskych spoločenstiev L 317, 16. 11. 1990), v znení smernice Rady 94/8/ES z 21. marca 1994 (Úradný vestník Európskych spoločenstiev L 82,  25. 3. 1994), v znení smernice Rady 1999/60/ES zo 17. júna 1999 (Úradný vestník Európskych spoločenstiev L 162, 26. 6. 1999) a v znení smernice Európskeho parlamentu a Rady  2003/38/ES z 13. mája 2003 (Úradný vestník Európskej únie L120, 15. 5. 2003),</w:t>
      </w:r>
    </w:p>
    <w:p>
      <w:pPr>
        <w:ind w:left="360" w:firstLine="348"/>
        <w:jc w:val="both"/>
        <w:rPr>
          <w:rFonts w:ascii="Times New Roman" w:hAnsi="Times New Roman" w:cs="Times New Roman"/>
        </w:rPr>
      </w:pPr>
    </w:p>
    <w:p>
      <w:pPr>
        <w:numPr>
          <w:ilvl w:val="1"/>
          <w:numId w:val="15"/>
        </w:numPr>
        <w:tabs>
          <w:tab w:val="left" w:pos="360"/>
          <w:tab w:val="left" w:pos="720"/>
        </w:tabs>
        <w:ind w:left="360"/>
        <w:jc w:val="both"/>
        <w:rPr>
          <w:rFonts w:ascii="Times New Roman" w:hAnsi="Times New Roman" w:cs="Times New Roman"/>
        </w:rPr>
      </w:pPr>
      <w:r>
        <w:rPr>
          <w:rFonts w:ascii="Times New Roman" w:hAnsi="Times New Roman" w:cs="Times New Roman"/>
        </w:rPr>
        <w:t>Siedma smernica Rady  83/349/EHS z 13. júna 1983  založená na článku 54 (3) g) zmluvy o spoločných účtoch (Úradný vestník Európskych spoločenstiev L 193, 18. 7. 1983) v znení smernice Rady  90/605/EHS z 8. novembra 1990 (Úradný vestník Európskych spoločenstiev L 317, 16. 11. 1990), v znení smernice Európskeho parlamentu a Rady 2001/65 ES z 27. septembra 2001 (Úradný vestník Európskych spoločenstiev L 283, 27. 10. 2001) a v znení smernice Európskeho parlamentu a Rady  2003/51/ES z 18. júna 2003 (Úradný vestník Európskej únie L178, 17. 7. 2003),</w:t>
      </w:r>
    </w:p>
    <w:p>
      <w:pPr>
        <w:jc w:val="both"/>
        <w:rPr>
          <w:rFonts w:ascii="Times New Roman" w:hAnsi="Times New Roman" w:cs="Times New Roman"/>
        </w:rPr>
      </w:pPr>
    </w:p>
    <w:p>
      <w:pPr>
        <w:numPr>
          <w:ilvl w:val="1"/>
          <w:numId w:val="15"/>
        </w:numPr>
        <w:tabs>
          <w:tab w:val="left" w:pos="360"/>
          <w:tab w:val="left" w:pos="720"/>
        </w:tabs>
        <w:ind w:left="360"/>
        <w:jc w:val="both"/>
        <w:rPr>
          <w:rFonts w:ascii="Times New Roman" w:hAnsi="Times New Roman" w:cs="Times New Roman"/>
        </w:rPr>
      </w:pPr>
      <w:r>
        <w:rPr>
          <w:rFonts w:ascii="Times New Roman" w:hAnsi="Times New Roman" w:cs="Times New Roman"/>
        </w:rPr>
        <w:t>Smernica Rady  86/635/EHS z 8. decembra 1986 o výročných účtoch bánk a iných finančných inštitúcií (Úradný vestník Európskych spoločenstiev L 372,  31. 12. 1986) v znení smernice Európskeho parlamentu a Rady  2003/51/ES z 18. júna 2003 (Úradný vestník Európskej úni</w:t>
      </w:r>
      <w:r>
        <w:rPr>
          <w:rFonts w:ascii="Times New Roman" w:hAnsi="Times New Roman" w:cs="Times New Roman"/>
        </w:rPr>
        <w:t>e L178, 17. 7. 2003).</w:t>
      </w:r>
    </w:p>
    <w:p>
      <w:pPr>
        <w:ind w:left="708"/>
        <w:jc w:val="both"/>
        <w:rPr>
          <w:rFonts w:ascii="Times New Roman" w:hAnsi="Times New Roman" w:cs="Times New Roman"/>
        </w:rPr>
      </w:pPr>
    </w:p>
    <w:p>
      <w:pPr>
        <w:numPr>
          <w:ilvl w:val="1"/>
          <w:numId w:val="15"/>
        </w:numPr>
        <w:tabs>
          <w:tab w:val="left" w:pos="360"/>
          <w:tab w:val="left" w:pos="720"/>
        </w:tabs>
        <w:ind w:left="360"/>
        <w:jc w:val="both"/>
        <w:rPr>
          <w:rFonts w:ascii="Times New Roman" w:hAnsi="Times New Roman" w:cs="Times New Roman"/>
        </w:rPr>
      </w:pPr>
      <w:r>
        <w:rPr>
          <w:rFonts w:ascii="Times New Roman" w:hAnsi="Times New Roman" w:cs="Times New Roman"/>
        </w:rPr>
        <w:t>Smernica Rady  91/674/EHS z 19. decembra 1991 týkajúca sa ročných účtov a konsolidovaných účtov poisťovacích podnikov (Úradný vestník Európskych spoločenstiev L 374, 31. 12. 1991) v znení smernice Európskeho parlamentu a Rady  2003/5</w:t>
      </w:r>
      <w:r>
        <w:rPr>
          <w:rFonts w:ascii="Times New Roman" w:hAnsi="Times New Roman" w:cs="Times New Roman"/>
        </w:rPr>
        <w:t>1/ES z 18. júna 2003 (Úradný vestník Európskej únie L 178,  17. 7. 2003).“.</w:t>
      </w:r>
    </w:p>
    <w:p>
      <w:pPr>
        <w:ind w:left="708"/>
        <w:jc w:val="both"/>
        <w:rPr>
          <w:rFonts w:ascii="Times New Roman" w:hAnsi="Times New Roman" w:cs="Times New Roman"/>
        </w:rPr>
      </w:pPr>
    </w:p>
    <w:p>
      <w:pPr>
        <w:ind w:left="708"/>
        <w:jc w:val="both"/>
        <w:rPr>
          <w:rFonts w:ascii="Times New Roman" w:hAnsi="Times New Roman" w:cs="Times New Roman"/>
        </w:rPr>
      </w:pPr>
    </w:p>
    <w:p>
      <w:pPr>
        <w:ind w:left="708"/>
        <w:jc w:val="both"/>
        <w:rPr>
          <w:rFonts w:ascii="Times New Roman" w:hAnsi="Times New Roman" w:cs="Times New Roman"/>
        </w:rPr>
      </w:pPr>
    </w:p>
    <w:p>
      <w:pPr>
        <w:ind w:left="708"/>
        <w:jc w:val="both"/>
        <w:rPr>
          <w:rFonts w:ascii="Times New Roman" w:hAnsi="Times New Roman" w:cs="Times New Roman"/>
        </w:rPr>
      </w:pPr>
    </w:p>
    <w:p>
      <w:pPr>
        <w:ind w:left="708"/>
        <w:jc w:val="both"/>
        <w:rPr>
          <w:rFonts w:ascii="Times New Roman" w:hAnsi="Times New Roman" w:cs="Times New Roman"/>
        </w:rPr>
      </w:pPr>
    </w:p>
    <w:p>
      <w:pPr>
        <w:ind w:left="360"/>
        <w:jc w:val="center"/>
        <w:rPr>
          <w:rFonts w:ascii="Times New Roman" w:hAnsi="Times New Roman" w:cs="Times New Roman"/>
        </w:rPr>
      </w:pPr>
      <w:r>
        <w:rPr>
          <w:rFonts w:ascii="Times New Roman" w:hAnsi="Times New Roman" w:cs="Times New Roman"/>
        </w:rPr>
        <w:t>Čl. II</w:t>
      </w:r>
    </w:p>
    <w:p>
      <w:pPr>
        <w:ind w:left="360"/>
        <w:rPr>
          <w:rFonts w:ascii="Times New Roman" w:hAnsi="Times New Roman" w:cs="Times New Roman"/>
        </w:rPr>
      </w:pPr>
    </w:p>
    <w:p>
      <w:pPr>
        <w:ind w:left="360"/>
        <w:rPr>
          <w:rFonts w:ascii="Times New Roman" w:hAnsi="Times New Roman" w:cs="Times New Roman"/>
        </w:rPr>
      </w:pPr>
    </w:p>
    <w:p>
      <w:pPr>
        <w:rPr>
          <w:rFonts w:ascii="Times New Roman" w:hAnsi="Times New Roman" w:cs="Times New Roman"/>
        </w:rPr>
      </w:pPr>
      <w:r>
        <w:rPr>
          <w:rFonts w:ascii="Times New Roman" w:hAnsi="Times New Roman" w:cs="Times New Roman"/>
        </w:rPr>
        <w:t>Tento zákon nadobúda účinnosť 1. januára 2005 okrem bodu 24, ktorý nadobúda účinnosť 1. januára 2006.</w:t>
      </w:r>
    </w:p>
    <w:p>
      <w:pPr>
        <w:ind w:left="708"/>
        <w:jc w:val="both"/>
        <w:rPr>
          <w:rFonts w:ascii="Times New Roman" w:hAnsi="Times New Roman" w:cs="Times New Roman"/>
        </w:rPr>
      </w:pPr>
    </w:p>
    <w:p>
      <w:pPr>
        <w:ind w:left="708"/>
        <w:jc w:val="both"/>
        <w:rPr>
          <w:rFonts w:ascii="Times New Roman" w:hAnsi="Times New Roman" w:cs="Times New Roman"/>
        </w:rPr>
      </w:pPr>
    </w:p>
    <w:p>
      <w:pPr>
        <w:ind w:left="708"/>
        <w:jc w:val="both"/>
        <w:rPr>
          <w:rFonts w:ascii="Times New Roman" w:hAnsi="Times New Roman" w:cs="Times New Roman"/>
        </w:rPr>
      </w:pPr>
    </w:p>
    <w:p>
      <w:pPr>
        <w:ind w:left="708"/>
        <w:jc w:val="both"/>
        <w:rPr>
          <w:rFonts w:ascii="Times New Roman" w:hAnsi="Times New Roman" w:cs="Times New Roman"/>
        </w:rPr>
      </w:pPr>
    </w:p>
    <w:p>
      <w:pPr>
        <w:ind w:left="708"/>
        <w:jc w:val="both"/>
        <w:rPr>
          <w:rFonts w:ascii="Times New Roman" w:hAnsi="Times New Roman" w:cs="Times New Roman"/>
        </w:rPr>
      </w:pPr>
    </w:p>
    <w:p>
      <w:pPr>
        <w:ind w:left="708"/>
        <w:jc w:val="both"/>
        <w:rPr>
          <w:rFonts w:ascii="Times New Roman" w:hAnsi="Times New Roman" w:cs="Times New Roman"/>
        </w:rPr>
      </w:pPr>
    </w:p>
    <w:p>
      <w:pPr>
        <w:ind w:left="708"/>
        <w:jc w:val="both"/>
        <w:rPr>
          <w:rFonts w:ascii="Times New Roman" w:hAnsi="Times New Roman" w:cs="Times New Roman"/>
        </w:rPr>
      </w:pPr>
    </w:p>
    <w:sectPr>
      <w:footerReference w:type="even" r:id="rId4"/>
      <w:footerReference w:type="default" r:id="rId5"/>
      <w:pgSz w:w="11906" w:h="16838"/>
      <w:pgMar w:top="899" w:right="926"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12</w:t>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52313"/>
    <w:multiLevelType w:val="hybridMultilevel"/>
    <w:tmpl w:val="C8E21F6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8E5AE6"/>
    <w:multiLevelType w:val="hybridMultilevel"/>
    <w:tmpl w:val="D5DAB1F0"/>
    <w:lvl w:ilvl="0">
      <w:start w:val="1"/>
      <w:numFmt w:val="lowerLetter"/>
      <w:lvlText w:val="%1)"/>
      <w:lvlJc w:val="left"/>
      <w:pPr>
        <w:tabs>
          <w:tab w:val="num" w:pos="1429"/>
        </w:tabs>
        <w:ind w:left="1429" w:hanging="360"/>
      </w:pPr>
      <w:rPr>
        <w:color w:val="auto"/>
      </w:rPr>
    </w:lvl>
    <w:lvl w:ilvl="1">
      <w:start w:val="7"/>
      <w:numFmt w:val="decimal"/>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
    <w:nsid w:val="12922578"/>
    <w:multiLevelType w:val="singleLevel"/>
    <w:tmpl w:val="FD44AC64"/>
    <w:lvl w:ilvl="0">
      <w:start w:val="1"/>
      <w:numFmt w:val="decimal"/>
      <w:lvlText w:val="(%1)"/>
      <w:lvlJc w:val="left"/>
      <w:pPr>
        <w:tabs>
          <w:tab w:val="num" w:pos="1040"/>
        </w:tabs>
        <w:ind w:left="0" w:firstLine="680"/>
      </w:pPr>
      <w:rPr>
        <w:rFonts w:ascii="Times New Roman" w:hAnsi="Times New Roman"/>
        <w:b w:val="0"/>
        <w:i w:val="0"/>
        <w:sz w:val="24"/>
        <w:rtl w:val="0"/>
      </w:rPr>
    </w:lvl>
  </w:abstractNum>
  <w:abstractNum w:abstractNumId="3">
    <w:nsid w:val="12A034FC"/>
    <w:multiLevelType w:val="hybridMultilevel"/>
    <w:tmpl w:val="21DEA7A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4A3691B"/>
    <w:multiLevelType w:val="hybridMultilevel"/>
    <w:tmpl w:val="129649F8"/>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1B0C57E5"/>
    <w:multiLevelType w:val="hybridMultilevel"/>
    <w:tmpl w:val="66F8B280"/>
    <w:lvl w:ilvl="0">
      <w:start w:val="1"/>
      <w:numFmt w:val="lowerLetter"/>
      <w:lvlText w:val="%1)"/>
      <w:lvlJc w:val="left"/>
      <w:pPr>
        <w:tabs>
          <w:tab w:val="num" w:pos="1680"/>
        </w:tabs>
        <w:ind w:left="1680" w:hanging="360"/>
      </w:pPr>
    </w:lvl>
    <w:lvl w:ilvl="1">
      <w:start w:val="1"/>
      <w:numFmt w:val="lowerLetter"/>
      <w:lvlText w:val="%2."/>
      <w:lvlJc w:val="left"/>
      <w:pPr>
        <w:tabs>
          <w:tab w:val="num" w:pos="2400"/>
        </w:tabs>
        <w:ind w:left="2400" w:hanging="360"/>
      </w:pPr>
    </w:lvl>
    <w:lvl w:ilvl="2">
      <w:start w:val="1"/>
      <w:numFmt w:val="lowerRoman"/>
      <w:lvlText w:val="%3."/>
      <w:lvlJc w:val="right"/>
      <w:pPr>
        <w:tabs>
          <w:tab w:val="num" w:pos="3120"/>
        </w:tabs>
        <w:ind w:left="3120" w:hanging="180"/>
      </w:pPr>
    </w:lvl>
    <w:lvl w:ilvl="3">
      <w:start w:val="1"/>
      <w:numFmt w:val="decimal"/>
      <w:lvlText w:val="%4."/>
      <w:lvlJc w:val="left"/>
      <w:pPr>
        <w:tabs>
          <w:tab w:val="num" w:pos="3840"/>
        </w:tabs>
        <w:ind w:left="3840" w:hanging="360"/>
      </w:pPr>
    </w:lvl>
    <w:lvl w:ilvl="4">
      <w:start w:val="1"/>
      <w:numFmt w:val="lowerLetter"/>
      <w:lvlText w:val="%5."/>
      <w:lvlJc w:val="left"/>
      <w:pPr>
        <w:tabs>
          <w:tab w:val="num" w:pos="4560"/>
        </w:tabs>
        <w:ind w:left="4560" w:hanging="360"/>
      </w:pPr>
    </w:lvl>
    <w:lvl w:ilvl="5">
      <w:start w:val="1"/>
      <w:numFmt w:val="lowerRoman"/>
      <w:lvlText w:val="%6."/>
      <w:lvlJc w:val="right"/>
      <w:pPr>
        <w:tabs>
          <w:tab w:val="num" w:pos="5280"/>
        </w:tabs>
        <w:ind w:left="5280" w:hanging="180"/>
      </w:pPr>
    </w:lvl>
    <w:lvl w:ilvl="6">
      <w:start w:val="1"/>
      <w:numFmt w:val="decimal"/>
      <w:lvlText w:val="%7."/>
      <w:lvlJc w:val="left"/>
      <w:pPr>
        <w:tabs>
          <w:tab w:val="num" w:pos="6000"/>
        </w:tabs>
        <w:ind w:left="6000" w:hanging="360"/>
      </w:pPr>
    </w:lvl>
    <w:lvl w:ilvl="7">
      <w:start w:val="1"/>
      <w:numFmt w:val="lowerLetter"/>
      <w:lvlText w:val="%8."/>
      <w:lvlJc w:val="left"/>
      <w:pPr>
        <w:tabs>
          <w:tab w:val="num" w:pos="6720"/>
        </w:tabs>
        <w:ind w:left="6720" w:hanging="360"/>
      </w:pPr>
    </w:lvl>
    <w:lvl w:ilvl="8">
      <w:start w:val="1"/>
      <w:numFmt w:val="lowerRoman"/>
      <w:lvlText w:val="%9."/>
      <w:lvlJc w:val="right"/>
      <w:pPr>
        <w:tabs>
          <w:tab w:val="num" w:pos="7440"/>
        </w:tabs>
        <w:ind w:left="7440" w:hanging="180"/>
      </w:pPr>
    </w:lvl>
  </w:abstractNum>
  <w:abstractNum w:abstractNumId="6">
    <w:nsid w:val="1DD40CA8"/>
    <w:multiLevelType w:val="hybridMultilevel"/>
    <w:tmpl w:val="46DA76B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E2357C9"/>
    <w:multiLevelType w:val="singleLevel"/>
    <w:tmpl w:val="C7DE110C"/>
    <w:lvl w:ilvl="0">
      <w:start w:val="1"/>
      <w:numFmt w:val="lowerLetter"/>
      <w:lvlText w:val="%1)"/>
      <w:lvlJc w:val="left"/>
      <w:pPr>
        <w:tabs>
          <w:tab w:val="num" w:pos="360"/>
        </w:tabs>
        <w:ind w:left="360" w:hanging="360"/>
      </w:pPr>
    </w:lvl>
  </w:abstractNum>
  <w:abstractNum w:abstractNumId="8">
    <w:nsid w:val="2F453132"/>
    <w:multiLevelType w:val="hybridMultilevel"/>
    <w:tmpl w:val="371EE3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12A480E"/>
    <w:multiLevelType w:val="hybridMultilevel"/>
    <w:tmpl w:val="2EA4D14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349861FA"/>
    <w:multiLevelType w:val="hybridMultilevel"/>
    <w:tmpl w:val="DA941E68"/>
    <w:lvl w:ilvl="0">
      <w:start w:val="1"/>
      <w:numFmt w:val="lowerLetter"/>
      <w:lvlText w:val="%1)"/>
      <w:lvlJc w:val="left"/>
      <w:pPr>
        <w:tabs>
          <w:tab w:val="num" w:pos="720"/>
        </w:tabs>
        <w:ind w:left="720" w:hanging="360"/>
      </w:pPr>
      <w:rPr>
        <w:color w:val="auto"/>
      </w:rPr>
    </w:lvl>
    <w:lvl w:ilvl="1">
      <w:start w:val="1"/>
      <w:numFmt w:val="decimal"/>
      <w:lvlText w:val="%2."/>
      <w:lvlJc w:val="left"/>
      <w:pPr>
        <w:tabs>
          <w:tab w:val="num" w:pos="720"/>
        </w:tabs>
        <w:ind w:left="720"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E087458"/>
    <w:multiLevelType w:val="hybridMultilevel"/>
    <w:tmpl w:val="3E7EC19C"/>
    <w:lvl w:ilvl="0">
      <w:start w:val="1"/>
      <w:numFmt w:val="lowerLetter"/>
      <w:lvlText w:val="%1)"/>
      <w:lvlJc w:val="left"/>
      <w:pPr>
        <w:tabs>
          <w:tab w:val="num" w:pos="1797"/>
        </w:tabs>
        <w:ind w:left="1797" w:hanging="360"/>
      </w:pPr>
    </w:lvl>
    <w:lvl w:ilvl="1">
      <w:start w:val="1"/>
      <w:numFmt w:val="lowerLetter"/>
      <w:lvlText w:val="%2."/>
      <w:lvlJc w:val="left"/>
      <w:pPr>
        <w:tabs>
          <w:tab w:val="num" w:pos="2517"/>
        </w:tabs>
        <w:ind w:left="2517" w:hanging="360"/>
      </w:pPr>
    </w:lvl>
    <w:lvl w:ilvl="2">
      <w:start w:val="1"/>
      <w:numFmt w:val="lowerRoman"/>
      <w:lvlText w:val="%3."/>
      <w:lvlJc w:val="right"/>
      <w:pPr>
        <w:tabs>
          <w:tab w:val="num" w:pos="3237"/>
        </w:tabs>
        <w:ind w:left="3237" w:hanging="180"/>
      </w:pPr>
    </w:lvl>
    <w:lvl w:ilvl="3">
      <w:start w:val="1"/>
      <w:numFmt w:val="decimal"/>
      <w:lvlText w:val="%4."/>
      <w:lvlJc w:val="left"/>
      <w:pPr>
        <w:tabs>
          <w:tab w:val="num" w:pos="3957"/>
        </w:tabs>
        <w:ind w:left="3957" w:hanging="360"/>
      </w:pPr>
    </w:lvl>
    <w:lvl w:ilvl="4">
      <w:start w:val="1"/>
      <w:numFmt w:val="lowerLetter"/>
      <w:lvlText w:val="%5."/>
      <w:lvlJc w:val="left"/>
      <w:pPr>
        <w:tabs>
          <w:tab w:val="num" w:pos="4677"/>
        </w:tabs>
        <w:ind w:left="4677" w:hanging="360"/>
      </w:pPr>
    </w:lvl>
    <w:lvl w:ilvl="5">
      <w:start w:val="1"/>
      <w:numFmt w:val="lowerRoman"/>
      <w:lvlText w:val="%6."/>
      <w:lvlJc w:val="right"/>
      <w:pPr>
        <w:tabs>
          <w:tab w:val="num" w:pos="5397"/>
        </w:tabs>
        <w:ind w:left="5397" w:hanging="180"/>
      </w:pPr>
    </w:lvl>
    <w:lvl w:ilvl="6">
      <w:start w:val="1"/>
      <w:numFmt w:val="decimal"/>
      <w:lvlText w:val="%7."/>
      <w:lvlJc w:val="left"/>
      <w:pPr>
        <w:tabs>
          <w:tab w:val="num" w:pos="6117"/>
        </w:tabs>
        <w:ind w:left="6117" w:hanging="360"/>
      </w:pPr>
    </w:lvl>
    <w:lvl w:ilvl="7">
      <w:start w:val="1"/>
      <w:numFmt w:val="lowerLetter"/>
      <w:lvlText w:val="%8."/>
      <w:lvlJc w:val="left"/>
      <w:pPr>
        <w:tabs>
          <w:tab w:val="num" w:pos="6837"/>
        </w:tabs>
        <w:ind w:left="6837" w:hanging="360"/>
      </w:pPr>
    </w:lvl>
    <w:lvl w:ilvl="8">
      <w:start w:val="1"/>
      <w:numFmt w:val="lowerRoman"/>
      <w:lvlText w:val="%9."/>
      <w:lvlJc w:val="right"/>
      <w:pPr>
        <w:tabs>
          <w:tab w:val="num" w:pos="7557"/>
        </w:tabs>
        <w:ind w:left="7557" w:hanging="180"/>
      </w:pPr>
    </w:lvl>
  </w:abstractNum>
  <w:abstractNum w:abstractNumId="12">
    <w:nsid w:val="4FF6595C"/>
    <w:multiLevelType w:val="singleLevel"/>
    <w:tmpl w:val="FD44AC64"/>
    <w:lvl w:ilvl="0">
      <w:start w:val="1"/>
      <w:numFmt w:val="decimal"/>
      <w:lvlText w:val="(%1)"/>
      <w:lvlJc w:val="left"/>
      <w:pPr>
        <w:tabs>
          <w:tab w:val="num" w:pos="1040"/>
        </w:tabs>
        <w:ind w:left="0" w:firstLine="680"/>
      </w:pPr>
      <w:rPr>
        <w:rFonts w:ascii="Times New Roman" w:hAnsi="Times New Roman"/>
        <w:b w:val="0"/>
        <w:i w:val="0"/>
        <w:sz w:val="24"/>
        <w:rtl w:val="0"/>
      </w:rPr>
    </w:lvl>
  </w:abstractNum>
  <w:abstractNum w:abstractNumId="13">
    <w:nsid w:val="5B2560D0"/>
    <w:multiLevelType w:val="multilevel"/>
    <w:tmpl w:val="77DC93A4"/>
    <w:lvl w:ilvl="0">
      <w:start w:val="1"/>
      <w:numFmt w:val="low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0D7374D"/>
    <w:multiLevelType w:val="hybridMultilevel"/>
    <w:tmpl w:val="20B8856A"/>
    <w:lvl w:ilvl="0">
      <w:start w:val="1"/>
      <w:numFmt w:val="lowerLetter"/>
      <w:lvlText w:val="%1)"/>
      <w:lvlJc w:val="left"/>
      <w:pPr>
        <w:tabs>
          <w:tab w:val="num" w:pos="1429"/>
        </w:tabs>
        <w:ind w:left="1429" w:hanging="360"/>
      </w:pPr>
    </w:lvl>
    <w:lvl w:ilvl="1">
      <w:start w:val="2"/>
      <w:numFmt w:val="decimal"/>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5">
    <w:nsid w:val="79AF71A6"/>
    <w:multiLevelType w:val="hybridMultilevel"/>
    <w:tmpl w:val="766C9220"/>
    <w:lvl w:ilvl="0">
      <w:start w:val="1"/>
      <w:numFmt w:val="lowerLetter"/>
      <w:lvlText w:val="%1)"/>
      <w:lvlJc w:val="left"/>
      <w:pPr>
        <w:tabs>
          <w:tab w:val="num" w:pos="1797"/>
        </w:tabs>
        <w:ind w:left="1797" w:hanging="360"/>
      </w:pPr>
    </w:lvl>
    <w:lvl w:ilvl="1">
      <w:start w:val="1"/>
      <w:numFmt w:val="lowerLetter"/>
      <w:lvlText w:val="%2."/>
      <w:lvlJc w:val="left"/>
      <w:pPr>
        <w:tabs>
          <w:tab w:val="num" w:pos="2517"/>
        </w:tabs>
        <w:ind w:left="2517" w:hanging="360"/>
      </w:pPr>
    </w:lvl>
    <w:lvl w:ilvl="2">
      <w:start w:val="1"/>
      <w:numFmt w:val="lowerRoman"/>
      <w:lvlText w:val="%3."/>
      <w:lvlJc w:val="right"/>
      <w:pPr>
        <w:tabs>
          <w:tab w:val="num" w:pos="3237"/>
        </w:tabs>
        <w:ind w:left="3237" w:hanging="180"/>
      </w:pPr>
    </w:lvl>
    <w:lvl w:ilvl="3">
      <w:start w:val="1"/>
      <w:numFmt w:val="decimal"/>
      <w:lvlText w:val="%4."/>
      <w:lvlJc w:val="left"/>
      <w:pPr>
        <w:tabs>
          <w:tab w:val="num" w:pos="3957"/>
        </w:tabs>
        <w:ind w:left="3957" w:hanging="360"/>
      </w:pPr>
    </w:lvl>
    <w:lvl w:ilvl="4">
      <w:start w:val="1"/>
      <w:numFmt w:val="lowerLetter"/>
      <w:lvlText w:val="%5."/>
      <w:lvlJc w:val="left"/>
      <w:pPr>
        <w:tabs>
          <w:tab w:val="num" w:pos="4677"/>
        </w:tabs>
        <w:ind w:left="4677" w:hanging="360"/>
      </w:pPr>
    </w:lvl>
    <w:lvl w:ilvl="5">
      <w:start w:val="1"/>
      <w:numFmt w:val="lowerRoman"/>
      <w:lvlText w:val="%6."/>
      <w:lvlJc w:val="right"/>
      <w:pPr>
        <w:tabs>
          <w:tab w:val="num" w:pos="5397"/>
        </w:tabs>
        <w:ind w:left="5397" w:hanging="180"/>
      </w:pPr>
    </w:lvl>
    <w:lvl w:ilvl="6">
      <w:start w:val="1"/>
      <w:numFmt w:val="decimal"/>
      <w:lvlText w:val="%7."/>
      <w:lvlJc w:val="left"/>
      <w:pPr>
        <w:tabs>
          <w:tab w:val="num" w:pos="6117"/>
        </w:tabs>
        <w:ind w:left="6117" w:hanging="360"/>
      </w:pPr>
    </w:lvl>
    <w:lvl w:ilvl="7">
      <w:start w:val="1"/>
      <w:numFmt w:val="lowerLetter"/>
      <w:lvlText w:val="%8."/>
      <w:lvlJc w:val="left"/>
      <w:pPr>
        <w:tabs>
          <w:tab w:val="num" w:pos="6837"/>
        </w:tabs>
        <w:ind w:left="6837" w:hanging="360"/>
      </w:pPr>
    </w:lvl>
    <w:lvl w:ilvl="8">
      <w:start w:val="1"/>
      <w:numFmt w:val="lowerRoman"/>
      <w:lvlText w:val="%9."/>
      <w:lvlJc w:val="right"/>
      <w:pPr>
        <w:tabs>
          <w:tab w:val="num" w:pos="7557"/>
        </w:tabs>
        <w:ind w:left="7557" w:hanging="180"/>
      </w:pPr>
    </w:lvl>
  </w:abstractNum>
  <w:num w:numId="1">
    <w:abstractNumId w:val="0"/>
  </w:num>
  <w:num w:numId="2">
    <w:abstractNumId w:val="6"/>
  </w:num>
  <w:num w:numId="3">
    <w:abstractNumId w:val="3"/>
  </w:num>
  <w:num w:numId="4">
    <w:abstractNumId w:val="9"/>
  </w:num>
  <w:num w:numId="5">
    <w:abstractNumId w:val="4"/>
  </w:num>
  <w:num w:numId="6">
    <w:abstractNumId w:val="5"/>
  </w:num>
  <w:num w:numId="7">
    <w:abstractNumId w:val="11"/>
  </w:num>
  <w:num w:numId="8">
    <w:abstractNumId w:val="15"/>
  </w:num>
  <w:num w:numId="9">
    <w:abstractNumId w:val="14"/>
  </w:num>
  <w:num w:numId="10">
    <w:abstractNumId w:val="1"/>
  </w:num>
  <w:num w:numId="11">
    <w:abstractNumId w:val="8"/>
  </w:num>
  <w:num w:numId="12">
    <w:abstractNumId w:val="12"/>
  </w:num>
  <w:num w:numId="13">
    <w:abstractNumId w:val="7"/>
  </w:num>
  <w:num w:numId="14">
    <w:abstractNumId w:val="2"/>
  </w:num>
  <w:num w:numId="15">
    <w:abstractNumId w:val="10"/>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BodyText">
    <w:name w:val="Body Text"/>
    <w:basedOn w:val="Normal"/>
    <w:pPr>
      <w:spacing w:after="120"/>
      <w:ind w:firstLine="709"/>
      <w:jc w:val="both"/>
    </w:pPr>
    <w:rPr>
      <w:szCs w:val="20"/>
    </w:rPr>
  </w:style>
  <w:style w:type="paragraph" w:customStyle="1" w:styleId="Textbubliny">
    <w:name w:val="Text bubliny"/>
    <w:basedOn w:val="Normal"/>
    <w:semiHidden/>
    <w:pPr>
      <w:jc w:val="left"/>
    </w:pPr>
    <w:rPr>
      <w:rFonts w:ascii="Tahoma" w:hAnsi="Tahoma" w:cs="Tahoma"/>
      <w:sz w:val="16"/>
      <w:szCs w:val="16"/>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jc w:val="left"/>
    </w:pPr>
    <w:rPr>
      <w:sz w:val="20"/>
      <w:szCs w:val="20"/>
    </w:rPr>
  </w:style>
  <w:style w:type="paragraph" w:styleId="BodyText3">
    <w:name w:val="Body Text 3"/>
    <w:basedOn w:val="Normal"/>
    <w:pPr>
      <w:spacing w:after="120"/>
      <w:jc w:val="left"/>
    </w:pPr>
    <w:rPr>
      <w:sz w:val="16"/>
      <w:szCs w:val="16"/>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TotalTime>
  <Pages>12</Pages>
  <Words>4379</Words>
  <Characters>24963</Characters>
  <Application>Microsoft Office Word</Application>
  <DocSecurity>0</DocSecurity>
  <Lines>0</Lines>
  <Paragraphs>0</Paragraphs>
  <ScaleCrop>false</ScaleCrop>
  <Company>MFSR</Company>
  <LinksUpToDate>false</LinksUpToDate>
  <CharactersWithSpaces>30656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User</dc:creator>
  <cp:lastModifiedBy>Marta Gulárová</cp:lastModifiedBy>
  <cp:revision>3</cp:revision>
  <cp:lastPrinted>2004-06-21T10:00:00Z</cp:lastPrinted>
  <dcterms:created xsi:type="dcterms:W3CDTF">2004-06-21T11:26:00Z</dcterms:created>
  <dcterms:modified xsi:type="dcterms:W3CDTF">2004-06-22T05:00:00Z</dcterms:modified>
</cp:coreProperties>
</file>