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>
      <w:pPr>
        <w:pStyle w:val="Titl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volebné obdobie</w:t>
      </w:r>
    </w:p>
    <w:p>
      <w:pPr>
        <w:pStyle w:val="Title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>
      <w:pPr>
        <w:pStyle w:val="Title"/>
        <w:rPr>
          <w:rFonts w:ascii="Times New Roman" w:hAnsi="Times New Roman" w:cs="Times New Roman"/>
          <w:b/>
          <w:bCs/>
        </w:rPr>
      </w:pPr>
    </w:p>
    <w:p>
      <w:pPr>
        <w:pStyle w:val="Titl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766</w:t>
      </w:r>
    </w:p>
    <w:p>
      <w:pPr>
        <w:pStyle w:val="Title"/>
        <w:rPr>
          <w:rFonts w:ascii="Times New Roman" w:hAnsi="Times New Roman" w:cs="Times New Roman"/>
          <w:b/>
          <w:bCs/>
        </w:rPr>
      </w:pPr>
    </w:p>
    <w:p>
      <w:pPr>
        <w:pStyle w:val="Titl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VLÁDNY NÁVRH</w:t>
      </w:r>
    </w:p>
    <w:p>
      <w:pPr>
        <w:pStyle w:val="Heading1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á k o n</w:t>
      </w:r>
    </w:p>
    <w:p>
      <w:pPr>
        <w:rPr>
          <w:rFonts w:ascii="Times New Roman" w:hAnsi="Times New Roman" w:cs="Times New Roman"/>
        </w:rPr>
      </w:pPr>
    </w:p>
    <w:p>
      <w:pPr>
        <w:pStyle w:val="BodyTextIndent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   ......  2004,</w:t>
      </w:r>
    </w:p>
    <w:p>
      <w:pPr>
        <w:pStyle w:val="BodyTextIndent"/>
        <w:ind w:hanging="4254"/>
        <w:jc w:val="center"/>
        <w:rPr>
          <w:rFonts w:ascii="Times New Roman" w:hAnsi="Times New Roman" w:cs="Times New Roman"/>
          <w:b/>
          <w:color w:val="000000"/>
        </w:rPr>
      </w:pPr>
    </w:p>
    <w:p>
      <w:pPr>
        <w:pStyle w:val="BodyTextIndent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ktorým sa mení a dopĺňa zákon č. 370/1997 Z. z. o vojenskej službe </w:t>
      </w:r>
    </w:p>
    <w:p>
      <w:pPr>
        <w:pStyle w:val="BodyTextIndent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 znení</w:t>
      </w:r>
      <w:r>
        <w:rPr>
          <w:rFonts w:ascii="Times New Roman" w:hAnsi="Times New Roman" w:cs="Times New Roman"/>
          <w:b/>
          <w:color w:val="000000"/>
        </w:rPr>
        <w:t xml:space="preserve"> neskorších predpisov</w:t>
      </w:r>
    </w:p>
    <w:p>
      <w:pPr>
        <w:pStyle w:val="BodyTextIndent"/>
        <w:jc w:val="center"/>
        <w:rPr>
          <w:rFonts w:ascii="Times New Roman" w:hAnsi="Times New Roman" w:cs="Times New Roman"/>
          <w:color w:val="000000"/>
        </w:rPr>
      </w:pPr>
    </w:p>
    <w:p>
      <w:pPr>
        <w:pStyle w:val="BodyTextIndent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Národná rada Slovenskej republiky sa uzniesla na tomto zákone: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I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Zákon č. 370/1997 Z. z. o vojenskej službe v znení zákona č. 10/2000 Z. z., zákona           č. 400/2000 Z. z., zákona č. 263/2002 Z. z., zákona č. 320/2002 Z. z., zákona č. 321/2002 Z. z.,  zákona č. 512/2002 Z. z. a zákona č. 545/2003 Z. z. sa mení a dopĺňa takto: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V poznámke pod čiarou k odkazu 25 sa citácia „§ 18 zákona č. 143/1992 Zb. o plate a odmene za pracovnú pohotovosť v rozpočtových a v niektorých ďalších organizáciách a orgánoch v znení neskorších predpisov“ nahrádza citáciou „§ 3 zákona č. 428/2002 Z. z. o ochrane osobných    úd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jov“.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V § 9 odsek 2 znie: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„(2) Na účely zisťovania, či občan spĺňa podmienky prijatia do služobného pomeru, je služobný orgán oprávnený podľa osobitného predpisu</w:t>
      </w:r>
      <w:r>
        <w:rPr>
          <w:rFonts w:ascii="Times New Roman" w:hAnsi="Times New Roman" w:cs="Times New Roman"/>
          <w:color w:val="000000"/>
          <w:vertAlign w:val="superscript"/>
        </w:rPr>
        <w:t>27a</w:t>
      </w:r>
      <w:r>
        <w:rPr>
          <w:rFonts w:ascii="Times New Roman" w:hAnsi="Times New Roman" w:cs="Times New Roman"/>
          <w:color w:val="000000"/>
        </w:rPr>
        <w:t>) zhromažďovať a uschovávať inform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</w:rPr>
        <w:t>cie o občanovi uvedené v § 8. Osobné údaje blízkych osôb, ak súvisia so vznikom služobného pomeru obč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na, možno zhromažďovať a spracúvať iba s ich súhlasom.</w:t>
      </w:r>
      <w:r>
        <w:rPr>
          <w:rFonts w:ascii="Times New Roman" w:hAnsi="Times New Roman" w:cs="Times New Roman"/>
          <w:color w:val="000000"/>
          <w:vertAlign w:val="superscript"/>
        </w:rPr>
        <w:t>27b)</w:t>
      </w:r>
      <w:r>
        <w:rPr>
          <w:rFonts w:ascii="Times New Roman" w:hAnsi="Times New Roman" w:cs="Times New Roman"/>
          <w:color w:val="000000"/>
        </w:rPr>
        <w:t>“.</w:t>
      </w:r>
    </w:p>
    <w:p>
      <w:pPr>
        <w:spacing w:before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Poznámky pod čiarou k odkazom 27a a 27b znejú: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color w:val="000000"/>
          <w:vertAlign w:val="superscript"/>
        </w:rPr>
        <w:t>27a</w:t>
      </w:r>
      <w:r>
        <w:rPr>
          <w:rFonts w:ascii="Times New Roman" w:hAnsi="Times New Roman" w:cs="Times New Roman"/>
          <w:color w:val="000000"/>
        </w:rPr>
        <w:t>) § 2 ods.2 zákona č. 428/2002 Z. z. o ochrane osobných údajov.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vertAlign w:val="superscript"/>
        </w:rPr>
        <w:t>27b</w:t>
      </w:r>
      <w:r>
        <w:rPr>
          <w:rFonts w:ascii="Times New Roman" w:hAnsi="Times New Roman" w:cs="Times New Roman"/>
          <w:color w:val="000000"/>
        </w:rPr>
        <w:t>) § 7 zákona č. 428/2002 Z. z.“.</w:t>
      </w:r>
    </w:p>
    <w:p>
      <w:pPr>
        <w:ind w:left="284" w:hanging="284"/>
        <w:jc w:val="both"/>
        <w:rPr>
          <w:rFonts w:ascii="Times New Roman" w:hAnsi="Times New Roman" w:cs="Times New Roman"/>
          <w:color w:val="000000"/>
        </w:rPr>
      </w:pPr>
    </w:p>
    <w:p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V § 12 ods. 3 sa slová „prevezme záväzok na stály služobný pomer“ nahrádzajú slovami     „p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žiadal o prijatie do stáleho služobného pomeru“.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V § 12 ods. 5 písmeno d) znie:</w:t>
      </w:r>
    </w:p>
    <w:p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„d) požiadal o prijatie do stáleho služobného pomeru.“.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 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V § 19 ods. 2 sa vypúšťajú slová „jednotlivých druhov vojsk a služieb“.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V § 19 sa vypúšťa odsek 3.</w:t>
      </w:r>
    </w:p>
    <w:p>
      <w:pPr>
        <w:spacing w:before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Doterajšie odseky 4 až 7 sa označujú ako odseky 3 až 6.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 V § 19 ods. 4 sa vypúšťa prvá veta.</w:t>
      </w:r>
    </w:p>
    <w:p>
      <w:pPr>
        <w:jc w:val="both"/>
        <w:rPr>
          <w:rFonts w:ascii="Times New Roman" w:hAnsi="Times New Roman" w:cs="Times New Roman"/>
          <w:color w:val="FF0000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V § 25 sa za odsek 1 vkladá nový odsek 2, ktorý znie:</w:t>
      </w:r>
    </w:p>
    <w:p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„(2) Profesionálnemu vojakovi možno prerušiť výkon profesionálnej služby na čas      výkonu funkcie pozorovateľa alebo inšpektora Organizácie spojených národov alebo na čas    v</w:t>
      </w:r>
      <w:r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>konu funkcie v inej medzinárodnej organizácii.“.</w:t>
      </w:r>
    </w:p>
    <w:p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Doterajšie odseky 2 a 3 sa označujú ako odseky 3 a 4.</w:t>
        <w:tab/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V § 26 ods. 2 písm. a) sa slová „po zrušení“ nahrádzajú slovami „pri organizačnej</w:t>
      </w:r>
      <w:r>
        <w:rPr>
          <w:rFonts w:ascii="Times New Roman" w:hAnsi="Times New Roman" w:cs="Times New Roman"/>
        </w:rPr>
        <w:t xml:space="preserve"> zmene  týk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júcej sa“.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  <w:color w:val="000000"/>
        </w:rPr>
        <w:t xml:space="preserve"> V § 26 sa odsek 2 dopĺňa písmenom k), ktoré znie: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color w:val="000000"/>
        </w:rPr>
        <w:t xml:space="preserve">) mu zaniklo </w:t>
      </w:r>
      <w:r>
        <w:rPr>
          <w:rFonts w:ascii="Times New Roman" w:hAnsi="Times New Roman" w:cs="Times New Roman"/>
        </w:rPr>
        <w:t>určenie</w:t>
      </w:r>
      <w:r>
        <w:rPr>
          <w:rFonts w:ascii="Times New Roman" w:hAnsi="Times New Roman" w:cs="Times New Roman"/>
          <w:b/>
          <w:color w:val="0000FF"/>
        </w:rPr>
        <w:t xml:space="preserve"> </w:t>
      </w:r>
      <w:r>
        <w:rPr>
          <w:rFonts w:ascii="Times New Roman" w:hAnsi="Times New Roman" w:cs="Times New Roman"/>
          <w:color w:val="000000"/>
        </w:rPr>
        <w:t>oboznamovať sa s utajovanými skutočnosťami podľa osobitn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</w:rPr>
        <w:t>ho predpisu</w:t>
      </w:r>
      <w:r>
        <w:rPr>
          <w:rFonts w:ascii="Times New Roman" w:hAnsi="Times New Roman" w:cs="Times New Roman"/>
          <w:color w:val="000000"/>
          <w:vertAlign w:val="superscript"/>
        </w:rPr>
        <w:t>39a</w:t>
      </w:r>
      <w:r>
        <w:rPr>
          <w:rFonts w:ascii="Times New Roman" w:hAnsi="Times New Roman" w:cs="Times New Roman"/>
          <w:color w:val="000000"/>
        </w:rPr>
        <w:t>) a súčasne sa nerozhodlo o jeho ustanovení do inej fun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</w:rPr>
        <w:t>cie.“.</w:t>
      </w:r>
    </w:p>
    <w:p>
      <w:pPr>
        <w:spacing w:before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Poznámka pod čia</w:t>
      </w:r>
      <w:r>
        <w:rPr>
          <w:rFonts w:ascii="Times New Roman" w:hAnsi="Times New Roman" w:cs="Times New Roman"/>
          <w:color w:val="000000"/>
        </w:rPr>
        <w:t>rou k odkazu 39a znie:</w:t>
      </w:r>
    </w:p>
    <w:p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color w:val="000000"/>
          <w:vertAlign w:val="superscript"/>
        </w:rPr>
        <w:t>39a</w:t>
      </w:r>
      <w:r>
        <w:rPr>
          <w:rFonts w:ascii="Times New Roman" w:hAnsi="Times New Roman" w:cs="Times New Roman"/>
          <w:color w:val="000000"/>
        </w:rPr>
        <w:t>)</w:t>
        <w:tab/>
      </w:r>
      <w:r>
        <w:rPr>
          <w:rFonts w:ascii="Times New Roman" w:hAnsi="Times New Roman" w:cs="Times New Roman"/>
        </w:rPr>
        <w:t>§ 41 ods. 1 písm. a), d) a d) zákona č. 215/2004 Z. z. o ochrane utajovaných skutočností a o zmene a doplnení niektorých zákonov.“.</w:t>
      </w:r>
    </w:p>
    <w:p>
      <w:pPr>
        <w:ind w:left="567" w:hanging="567"/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11. §</w:t>
      </w:r>
      <w:r>
        <w:rPr>
          <w:rFonts w:ascii="Times New Roman" w:hAnsi="Times New Roman" w:cs="Times New Roman"/>
          <w:color w:val="000000"/>
        </w:rPr>
        <w:t xml:space="preserve"> 29 sa dopĺňa odsekom 8, ktorý znie: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 „(8) Služobné hodnotenie prokurátora vojenskej pro</w:t>
      </w:r>
      <w:r>
        <w:rPr>
          <w:rFonts w:ascii="Times New Roman" w:hAnsi="Times New Roman" w:cs="Times New Roman"/>
          <w:color w:val="000000"/>
        </w:rPr>
        <w:t>kuratúry a sudcu vojenského súdu sa vypracúva len pred ich vymenovaním alebo povýšením do vyššej vojenskej hodnosti alebo, ak to ustanovuje osobitný predpis.</w:t>
      </w:r>
      <w:r>
        <w:rPr>
          <w:rFonts w:ascii="Times New Roman" w:hAnsi="Times New Roman" w:cs="Times New Roman"/>
          <w:color w:val="000000"/>
          <w:vertAlign w:val="superscript"/>
        </w:rPr>
        <w:t>39b</w:t>
      </w:r>
      <w:r>
        <w:rPr>
          <w:rFonts w:ascii="Times New Roman" w:hAnsi="Times New Roman" w:cs="Times New Roman"/>
          <w:color w:val="000000"/>
        </w:rPr>
        <w:t>)“.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Poznámka pod čiarou k odkazu 39b znie:</w:t>
      </w:r>
    </w:p>
    <w:p>
      <w:pPr>
        <w:ind w:left="567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color w:val="000000"/>
          <w:vertAlign w:val="superscript"/>
        </w:rPr>
        <w:t>39b</w:t>
      </w:r>
      <w:r>
        <w:rPr>
          <w:rFonts w:ascii="Times New Roman" w:hAnsi="Times New Roman" w:cs="Times New Roman"/>
          <w:color w:val="000000"/>
        </w:rPr>
        <w:t>)</w:t>
        <w:tab/>
        <w:t>Napríklad § 31 zákona č. 154/2001 Z. z. o prokurátoroch a právnych čakateľoch            pr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kuratúry, § 27 zákona č. 385/2000 Z. z. o sudcoch a prísediacich a o zmene a doplnení niektorých zák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nov v znení neskorších predpisov.“.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  <w:b/>
          <w:color w:val="0000FF"/>
        </w:rPr>
        <w:t xml:space="preserve"> </w:t>
      </w:r>
      <w:r>
        <w:rPr>
          <w:rFonts w:ascii="Times New Roman" w:hAnsi="Times New Roman" w:cs="Times New Roman"/>
          <w:color w:val="000000"/>
        </w:rPr>
        <w:t>V § 32 sa odsek 1 dopĺňa písmenom j), ktoré znie: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„j) m</w:t>
      </w:r>
      <w:r>
        <w:rPr>
          <w:rFonts w:ascii="Times New Roman" w:hAnsi="Times New Roman" w:cs="Times New Roman"/>
          <w:color w:val="000000"/>
        </w:rPr>
        <w:t xml:space="preserve">u zaniklo </w:t>
      </w:r>
      <w:r>
        <w:rPr>
          <w:rFonts w:ascii="Times New Roman" w:hAnsi="Times New Roman" w:cs="Times New Roman"/>
        </w:rPr>
        <w:t>určenie oboznamovať</w:t>
      </w:r>
      <w:r>
        <w:rPr>
          <w:rFonts w:ascii="Times New Roman" w:hAnsi="Times New Roman" w:cs="Times New Roman"/>
          <w:color w:val="000000"/>
        </w:rPr>
        <w:t xml:space="preserve"> sa s utajovanými skutočnosťami</w:t>
      </w:r>
      <w:r>
        <w:rPr>
          <w:rFonts w:ascii="Times New Roman" w:hAnsi="Times New Roman" w:cs="Times New Roman"/>
          <w:color w:val="000000"/>
          <w:vertAlign w:val="superscript"/>
        </w:rPr>
        <w:t>39a</w:t>
      </w:r>
      <w:r>
        <w:rPr>
          <w:rFonts w:ascii="Times New Roman" w:hAnsi="Times New Roman" w:cs="Times New Roman"/>
          <w:color w:val="000000"/>
        </w:rPr>
        <w:t>) a nie je pre 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ho iné vhodné zaradenie.“.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  <w:color w:val="000000"/>
        </w:rPr>
        <w:t xml:space="preserve"> V § 32 sa odsek 2 dopĺňa písmenom f), ktoré znie: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„f) nespĺňa kvalifikačné predpoklady vzdelania alebo kvalifikačné požiadavky na výkon funkcie, do ktorej je ustanovený, a ak ho nemožno ustanoviť do inej funkcie.“. 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  <w:color w:val="000000"/>
        </w:rPr>
        <w:t xml:space="preserve"> V § 34 ods. 3 písm. b) sa spojka „a“ za slovom „h)“ nahrádza čiarkou a za slovo „i)“ sa vkl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jú slová „a j)“.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15. §</w:t>
      </w:r>
      <w:r>
        <w:rPr>
          <w:rFonts w:ascii="Times New Roman" w:hAnsi="Times New Roman" w:cs="Times New Roman"/>
          <w:color w:val="000000"/>
        </w:rPr>
        <w:t xml:space="preserve"> 43 sa dopĺňa  odsekmi 6 a 7, ktoré znejú: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„(6) Podanie možno vziať späť len s písomným súhlasom služobného orgánu alebo     na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riadeného vojaka, ktorý je oprávnený podanie prijať. Takýto súhlas môže dať aj služobný orgán alebo na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riadený vojak, ktorý je oprávnený vo veci rozhodnúť.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  <w:tab/>
        <w:t>(7) Podanie možno vziať späť podľa odseku 6 len dovtedy, pokiaľ služobný orgán alebo nadriad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ný vojak nerozhodol vo veci.“. 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  <w:color w:val="000000"/>
        </w:rPr>
        <w:t xml:space="preserve"> § 77 sa dopĺňa odsekom 7, ktorý znie: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  <w:tab/>
        <w:t>„(7) Ustanovenia odseku 2 písm. h) a i) a odseku 3 sa nevzťahujú na generálske           ho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nosti.“.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17. V</w:t>
      </w:r>
      <w:r>
        <w:rPr>
          <w:rFonts w:ascii="Times New Roman" w:hAnsi="Times New Roman" w:cs="Times New Roman"/>
          <w:color w:val="000000"/>
        </w:rPr>
        <w:t xml:space="preserve"> § 81 p</w:t>
      </w:r>
      <w:r>
        <w:rPr>
          <w:rFonts w:ascii="Times New Roman" w:hAnsi="Times New Roman" w:cs="Times New Roman"/>
          <w:color w:val="000000"/>
        </w:rPr>
        <w:t>ísm. d) sa  na konci pripájajú tieto slová: „s výnimkou generálskych hodností“.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  <w:color w:val="000000"/>
        </w:rPr>
        <w:t xml:space="preserve"> V § 82 ods. 1 sa slová „brigádny generál“ nahrádzajú slovami „vojakovi s generálskou     ho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nosťou“.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pStyle w:val="BodyText"/>
        <w:ind w:left="36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19.</w:t>
      </w:r>
      <w:r>
        <w:rPr>
          <w:rFonts w:ascii="Times New Roman" w:hAnsi="Times New Roman" w:cs="Times New Roman"/>
          <w:color w:val="000000"/>
        </w:rPr>
        <w:t xml:space="preserve"> V § 99 odsek 1 znie:</w:t>
      </w:r>
    </w:p>
    <w:p>
      <w:pPr>
        <w:pStyle w:val="BodyText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„(1) Do prvej poddôstojníckej hodnosti, práporčíckej hodnosti, dôstojníckej hodnosti a generálskej hodnosti je vojak vymenúvaný; do ostatných vojenských hodností je vojak            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vyšovaný, ak tento zákon neustanovuje inak.“.</w:t>
      </w:r>
    </w:p>
    <w:p>
      <w:pPr>
        <w:pStyle w:val="BodyText2"/>
        <w:rPr>
          <w:rFonts w:ascii="Times New Roman" w:hAnsi="Times New Roman" w:cs="Times New Roman"/>
          <w:color w:val="000000"/>
        </w:rPr>
      </w:pPr>
    </w:p>
    <w:p>
      <w:pPr>
        <w:pStyle w:val="BodyTex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20. Doterajší</w:t>
      </w:r>
      <w:r>
        <w:rPr>
          <w:rFonts w:ascii="Times New Roman" w:hAnsi="Times New Roman" w:cs="Times New Roman"/>
          <w:color w:val="000000"/>
        </w:rPr>
        <w:t xml:space="preserve"> text § 100 sa označuje ako odsek 1 a dopĺňa sa odsekom</w:t>
      </w:r>
      <w:r>
        <w:rPr>
          <w:rFonts w:ascii="Times New Roman" w:hAnsi="Times New Roman" w:cs="Times New Roman"/>
          <w:color w:val="000000"/>
        </w:rPr>
        <w:t xml:space="preserve"> 2, ktorý znie:</w:t>
      </w:r>
    </w:p>
    <w:p>
      <w:pPr>
        <w:pStyle w:val="BodyTex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„(2) Ustanovenie odseku 1 sa nevzťahuje na vymenúvanie alebo povyšovanie              pr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fesionálneho vojaka do generálskej hodnosti.“.</w:t>
      </w:r>
    </w:p>
    <w:p>
      <w:pPr>
        <w:pStyle w:val="BodyText"/>
        <w:jc w:val="both"/>
        <w:rPr>
          <w:rFonts w:ascii="Times New Roman" w:hAnsi="Times New Roman" w:cs="Times New Roman"/>
          <w:color w:val="000000"/>
        </w:rPr>
      </w:pPr>
    </w:p>
    <w:p>
      <w:pPr>
        <w:pStyle w:val="BodyTex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/>
          <w:color w:val="000000"/>
        </w:rPr>
        <w:t xml:space="preserve"> V § 107 sa za odsek 4 vkladá nový odsek 5, ktorý znie:</w:t>
      </w:r>
    </w:p>
    <w:p>
      <w:pPr>
        <w:pStyle w:val="BodyTex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 „(5) Služobný orgán pri prerušení výkonu profesionálnej služby podľa § 25 ods. 2 m</w:t>
      </w:r>
      <w:r>
        <w:rPr>
          <w:rFonts w:ascii="Times New Roman" w:hAnsi="Times New Roman" w:cs="Times New Roman"/>
          <w:color w:val="000000"/>
        </w:rPr>
        <w:t>ô</w:t>
      </w:r>
      <w:r>
        <w:rPr>
          <w:rFonts w:ascii="Times New Roman" w:hAnsi="Times New Roman" w:cs="Times New Roman"/>
          <w:color w:val="000000"/>
        </w:rPr>
        <w:t>že profesionálnemu vojakovi v personálnom rozkaze o prerušení výkonu profesionálnej služby    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voliť nosenie vojenskej rovnošaty.“.</w:t>
      </w:r>
    </w:p>
    <w:p>
      <w:pPr>
        <w:pStyle w:val="BodyText"/>
        <w:spacing w:before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Doterajšie odseky 5 až 7 sa označujú ako odseky 6 až 8.</w:t>
      </w:r>
    </w:p>
    <w:p>
      <w:pPr>
        <w:pStyle w:val="BodyText"/>
        <w:jc w:val="both"/>
        <w:rPr>
          <w:rFonts w:ascii="Times New Roman" w:hAnsi="Times New Roman" w:cs="Times New Roman"/>
          <w:color w:val="000000"/>
        </w:rPr>
      </w:pPr>
    </w:p>
    <w:p>
      <w:pPr>
        <w:pStyle w:val="BodyTex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22.</w:t>
      </w:r>
      <w:r>
        <w:rPr>
          <w:rFonts w:ascii="Times New Roman" w:hAnsi="Times New Roman" w:cs="Times New Roman"/>
          <w:color w:val="000000"/>
        </w:rPr>
        <w:t xml:space="preserve"> V § 109 odsek 2 zni</w:t>
      </w:r>
      <w:r>
        <w:rPr>
          <w:rFonts w:ascii="Times New Roman" w:hAnsi="Times New Roman" w:cs="Times New Roman"/>
          <w:color w:val="000000"/>
        </w:rPr>
        <w:t>e:</w:t>
      </w:r>
    </w:p>
    <w:p>
      <w:pPr>
        <w:pStyle w:val="BodyTex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„(2) O rovnomernom rozvrhnutí času zamestnania v týždni a o nerovnomernom           ro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vrhnutí času zamestnania v týždni rozhoduje služobný orgán písomným vojenským rozkazom, v ktorom určí aj začiatok a koniec času zamestnania v jednotlivých dňoch. Dĺžka času            z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mestnania počas 24 hodín nesmie presiahnuť 12 hodín okrem výkonu špecifických činností, pre  kt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ré určí výnimku z tejto dĺžky času zamestnania minister.“. </w:t>
      </w:r>
    </w:p>
    <w:p>
      <w:pPr>
        <w:pStyle w:val="BodyText"/>
        <w:rPr>
          <w:rFonts w:ascii="Times New Roman" w:hAnsi="Times New Roman" w:cs="Times New Roman"/>
          <w:color w:val="000000"/>
        </w:rPr>
      </w:pPr>
    </w:p>
    <w:p>
      <w:pPr>
        <w:pStyle w:val="BodyTex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23.</w:t>
      </w:r>
      <w:r>
        <w:rPr>
          <w:rFonts w:ascii="Times New Roman" w:hAnsi="Times New Roman" w:cs="Times New Roman"/>
          <w:color w:val="000000"/>
        </w:rPr>
        <w:t xml:space="preserve"> V § 109 sa  za odsek 4 vkladá nový odsek 5, ktorý znie:</w:t>
      </w:r>
    </w:p>
    <w:p>
      <w:pPr>
        <w:pStyle w:val="BodyTex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  <w:tab/>
        <w:t>„(5) Ak zamestnanie trvá nepretržite viac ako 12 hodín a menej ako 24 hodín, musí čas nepretržitého odpočinku trvať aspoň 8 hodín.“.</w:t>
      </w:r>
    </w:p>
    <w:p>
      <w:pPr>
        <w:pStyle w:val="BodyText"/>
        <w:spacing w:before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Doterajší odsek 5 sa označuje ako odsek 6.</w:t>
      </w:r>
    </w:p>
    <w:p>
      <w:pPr>
        <w:pStyle w:val="BodyText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24.</w:t>
      </w:r>
      <w:r>
        <w:rPr>
          <w:rFonts w:ascii="Times New Roman" w:hAnsi="Times New Roman" w:cs="Times New Roman"/>
          <w:color w:val="000000"/>
        </w:rPr>
        <w:t xml:space="preserve"> V § 139b ods. 1 písm. b) sa za slová „alebo pri výcviku“ vkladajú slová „výkonného letca a výkonného výsadkára“ a vypúšťajú sa slová „ktorý trvá nepr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tržite 12 hodín“.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25.</w:t>
      </w:r>
      <w:r>
        <w:rPr>
          <w:rFonts w:ascii="Times New Roman" w:hAnsi="Times New Roman" w:cs="Times New Roman"/>
          <w:color w:val="000000"/>
        </w:rPr>
        <w:t xml:space="preserve"> § 140 vrátane nadpisu znie:</w:t>
      </w: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„§ 140</w:t>
      </w: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Osobný spis vojaka a osobné údaje vojaka</w:t>
      </w:r>
    </w:p>
    <w:p>
      <w:pPr>
        <w:jc w:val="center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(1) Všetky písomnosti súvisiace so vznikom, zmenami a skončením vojenskej služby v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jaka sa z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kladajú do jeho osobného spisu. Osobný spis vojaka vedie služobný orgán.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(2) Služobný orgán poskytne vojakovi na jeho žiadosť odpisy písomností, ktoré sú ulož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né v jeho osobnom spise a umožní mu robiť si výpisy z písomností a fotokópie písomností ulož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ných </w:t>
      </w:r>
      <w:r>
        <w:rPr>
          <w:rFonts w:ascii="Times New Roman" w:hAnsi="Times New Roman" w:cs="Times New Roman"/>
          <w:color w:val="000000"/>
        </w:rPr>
        <w:t>v jeho osobnom spise.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(3) Služobný orgán je oprávnený spracúvať osobné údaje</w:t>
      </w:r>
      <w:r>
        <w:rPr>
          <w:rFonts w:ascii="Times New Roman" w:hAnsi="Times New Roman" w:cs="Times New Roman"/>
          <w:color w:val="000000"/>
          <w:vertAlign w:val="superscript"/>
        </w:rPr>
        <w:t>27a</w:t>
      </w:r>
      <w:r>
        <w:rPr>
          <w:rFonts w:ascii="Times New Roman" w:hAnsi="Times New Roman" w:cs="Times New Roman"/>
          <w:color w:val="000000"/>
        </w:rPr>
        <w:t>) vojaka súvisiace so vzn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kom, zmenami, skončením vojenskej služby, s jeho právami a vzniknutými nárokmi. Služobný orgán môže spracúvať aj osobné údaje blízkych osôb vojaka, ak</w:t>
      </w:r>
      <w:r>
        <w:rPr>
          <w:rFonts w:ascii="Times New Roman" w:hAnsi="Times New Roman" w:cs="Times New Roman"/>
          <w:color w:val="000000"/>
        </w:rPr>
        <w:t xml:space="preserve"> tieto osobné údaje súvisia so vznikom, zm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nami, skončením vojenskej služby vojaka, s jeho právami a vzniknutými nárokmi, ak blízke osoby súhlasia s ich sprac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</w:rPr>
        <w:t>vaním.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(4) Na poskytovanie osobných údajov vojaka alebo jeho blízkych príbuzných osôb sa vzťahuj</w:t>
      </w:r>
      <w:r>
        <w:rPr>
          <w:rFonts w:ascii="Times New Roman" w:hAnsi="Times New Roman" w:cs="Times New Roman"/>
          <w:color w:val="000000"/>
        </w:rPr>
        <w:t>e osobitný predpis.</w:t>
      </w:r>
      <w:r>
        <w:rPr>
          <w:rFonts w:ascii="Times New Roman" w:hAnsi="Times New Roman" w:cs="Times New Roman"/>
          <w:color w:val="000000"/>
          <w:vertAlign w:val="superscript"/>
        </w:rPr>
        <w:t>70da</w:t>
      </w:r>
      <w:r>
        <w:rPr>
          <w:rFonts w:ascii="Times New Roman" w:hAnsi="Times New Roman" w:cs="Times New Roman"/>
          <w:color w:val="000000"/>
        </w:rPr>
        <w:t>)“.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Poznámka pod čiarou k odkazu 70da znie:</w:t>
      </w:r>
    </w:p>
    <w:p>
      <w:pPr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color w:val="000000"/>
          <w:vertAlign w:val="superscript"/>
        </w:rPr>
        <w:t>70da</w:t>
      </w:r>
      <w:r>
        <w:rPr>
          <w:rFonts w:ascii="Times New Roman" w:hAnsi="Times New Roman" w:cs="Times New Roman"/>
          <w:color w:val="000000"/>
        </w:rPr>
        <w:t>)</w:t>
        <w:tab/>
        <w:t>Zákon č. 428/2002 Z. z.“.</w:t>
      </w: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pStyle w:val="BodyTex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26.</w:t>
      </w:r>
      <w:r>
        <w:rPr>
          <w:rFonts w:ascii="Times New Roman" w:hAnsi="Times New Roman" w:cs="Times New Roman"/>
          <w:color w:val="000000"/>
        </w:rPr>
        <w:t xml:space="preserve"> V § 141 ods. 1 sa vypúšťajú slová „ktorý je v služobnom pomere najmenej dva roky“.</w:t>
      </w:r>
    </w:p>
    <w:p>
      <w:pPr>
        <w:pStyle w:val="BodyText"/>
        <w:rPr>
          <w:rFonts w:ascii="Times New Roman" w:hAnsi="Times New Roman" w:cs="Times New Roman"/>
          <w:color w:val="000000"/>
        </w:rPr>
      </w:pPr>
    </w:p>
    <w:p>
      <w:pPr>
        <w:pStyle w:val="BodyTex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27.</w:t>
      </w:r>
      <w:r>
        <w:rPr>
          <w:rFonts w:ascii="Times New Roman" w:hAnsi="Times New Roman" w:cs="Times New Roman"/>
          <w:color w:val="000000"/>
        </w:rPr>
        <w:t xml:space="preserve"> V § 141 ods. 4 sa za slová „a) až c)“ vkladajú slová „a j) a o</w:t>
      </w:r>
      <w:r>
        <w:rPr>
          <w:rFonts w:ascii="Times New Roman" w:hAnsi="Times New Roman" w:cs="Times New Roman"/>
          <w:color w:val="000000"/>
        </w:rPr>
        <w:t>ds. 2 písm. b)“.</w:t>
      </w:r>
    </w:p>
    <w:p>
      <w:pPr>
        <w:pStyle w:val="BodyText"/>
        <w:rPr>
          <w:rFonts w:ascii="Times New Roman" w:hAnsi="Times New Roman" w:cs="Times New Roman"/>
          <w:color w:val="000000"/>
        </w:rPr>
      </w:pPr>
    </w:p>
    <w:p>
      <w:pPr>
        <w:pStyle w:val="BodyTex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28.</w:t>
      </w:r>
      <w:r>
        <w:rPr>
          <w:rFonts w:ascii="Times New Roman" w:hAnsi="Times New Roman" w:cs="Times New Roman"/>
          <w:color w:val="000000"/>
        </w:rPr>
        <w:t xml:space="preserve"> V § 144 ods. 3 sa vypúšťajú slová „a profesionálnemu vojakovi, ktorý je zaradený v prápore   rýchleho nasadenia“.</w:t>
      </w:r>
    </w:p>
    <w:p>
      <w:pPr>
        <w:pStyle w:val="BodyText"/>
        <w:rPr>
          <w:rFonts w:ascii="Times New Roman" w:hAnsi="Times New Roman" w:cs="Times New Roman"/>
          <w:color w:val="000000"/>
        </w:rPr>
      </w:pPr>
    </w:p>
    <w:p>
      <w:pPr>
        <w:pStyle w:val="BodyText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29.</w:t>
      </w:r>
      <w:r>
        <w:rPr>
          <w:rFonts w:ascii="Times New Roman" w:hAnsi="Times New Roman" w:cs="Times New Roman"/>
          <w:color w:val="000000"/>
        </w:rPr>
        <w:t xml:space="preserve"> § 149a  znie:</w:t>
      </w: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„§ 149a</w:t>
      </w:r>
    </w:p>
    <w:p>
      <w:pPr>
        <w:jc w:val="center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(1) Prieskumným konaním sa posudzuje zdravotná spôsobilosť </w:t>
      </w:r>
      <w:r>
        <w:rPr>
          <w:rFonts w:ascii="Times New Roman" w:hAnsi="Times New Roman" w:cs="Times New Roman"/>
          <w:color w:val="000000"/>
          <w:vertAlign w:val="superscript"/>
        </w:rPr>
        <w:t>70e</w:t>
      </w:r>
      <w:r>
        <w:rPr>
          <w:rFonts w:ascii="Times New Roman" w:hAnsi="Times New Roman" w:cs="Times New Roman"/>
          <w:color w:val="000000"/>
        </w:rPr>
        <w:t>) vojaka vo výkone v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skej služby, na výkon vojenskej služby alebo na výkon funkcie, do ktorej je ustanovený alebo zarad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ný z dôvodu zmeny jeho zdravotného stavu a ktorá má vplyv na výkon vojenskej služby alebo na výkon funkcie, do ktorej je ustanovený alebo zaradený. Zdravotná spôsobilosť sa zisťuje na základe lekárskej prehliadky, ktorú možno doplniť odborným vyše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rením.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(2) Prieskumné konanie sa vykonáva na základe rozhodnutia služobného orgánu alebo na zákl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de žiadosti vojaka vo výkone vojenskej služby.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(3) V prvom stupni prieskumné konanie vykonáva správna komisia, ktorou je lekárska komisia vojenského zdravotníckeho zariadenia (ďalej len „prieskumná komisia“) zriadená      m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nistrom. Prieskumná komisia rozhoduje nadpolovičnou väčšinou hlasov svojich členov.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(4) Na základe výs</w:t>
      </w:r>
      <w:r>
        <w:rPr>
          <w:rFonts w:ascii="Times New Roman" w:hAnsi="Times New Roman" w:cs="Times New Roman"/>
          <w:color w:val="000000"/>
        </w:rPr>
        <w:t>ledkov lekárskej prehliadky prieskumná komisia vydá písomné ro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>tie o</w:t>
      </w:r>
    </w:p>
    <w:p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</w:t>
        <w:tab/>
        <w:t>spôsobilosti vykonávať vojenskú službu s výrokom „SPÔSOBILÝ“,</w:t>
      </w:r>
    </w:p>
    <w:p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</w:t>
        <w:tab/>
        <w:t>dočasnej nespôsobilosti vykonávať vojenskú službu s výrokom „DOČASNE                       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SPÔSOBILÝ“,</w:t>
      </w:r>
    </w:p>
    <w:p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c)</w:t>
        <w:tab/>
        <w:t>trvalej nespôsobilosti vykonávať vojenskú službu s výrokom „NESPÔSOB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LÝ“,</w:t>
      </w:r>
    </w:p>
    <w:p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d)</w:t>
        <w:tab/>
        <w:t>spôsobilosti vykonávať funkciu, do ktorej je ustanovený alebo zaradený s výrokom         „SP</w:t>
      </w:r>
      <w:r>
        <w:rPr>
          <w:rFonts w:ascii="Times New Roman" w:hAnsi="Times New Roman" w:cs="Times New Roman"/>
          <w:color w:val="000000"/>
        </w:rPr>
        <w:t>Ô</w:t>
      </w:r>
      <w:r>
        <w:rPr>
          <w:rFonts w:ascii="Times New Roman" w:hAnsi="Times New Roman" w:cs="Times New Roman"/>
          <w:color w:val="000000"/>
        </w:rPr>
        <w:t>SOBILÝ“,</w:t>
      </w:r>
    </w:p>
    <w:p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e)</w:t>
        <w:tab/>
        <w:t>dočasnej nespôsobilosti vykonávať funkciu, do ktorej je ustanovený alebo zaradený s výrokom „DOČASNE NESPÔSOBILÝ“ ,</w:t>
      </w:r>
    </w:p>
    <w:p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f)</w:t>
        <w:tab/>
        <w:t>trvalej nespôsobilosti vykonávať funkciu, do ktorej je ustanovený alebo zaradený       s výrokom „NESPÔSOB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LÝ“.</w:t>
      </w:r>
    </w:p>
    <w:p>
      <w:pPr>
        <w:pStyle w:val="BodyTex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(5) Ustanovenie odseku 4 písm. b) a d) až f) sa nevzťahuje na vojakov prípravnej        slu</w:t>
      </w:r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</w:rPr>
        <w:t>by.“.</w:t>
      </w:r>
    </w:p>
    <w:p>
      <w:pPr>
        <w:pStyle w:val="BodyText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30.</w:t>
      </w:r>
      <w:r>
        <w:rPr>
          <w:rFonts w:ascii="Times New Roman" w:hAnsi="Times New Roman" w:cs="Times New Roman"/>
          <w:color w:val="000000"/>
        </w:rPr>
        <w:t xml:space="preserve"> §</w:t>
      </w:r>
      <w:r>
        <w:rPr>
          <w:rFonts w:ascii="Times New Roman" w:hAnsi="Times New Roman" w:cs="Times New Roman"/>
          <w:color w:val="000000"/>
        </w:rPr>
        <w:t xml:space="preserve"> 181 vrátane nadpisu znie:</w:t>
      </w: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„§ 181</w:t>
      </w: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Použitie ustanovení Zákonníka práce</w:t>
      </w:r>
    </w:p>
    <w:p>
      <w:pPr>
        <w:jc w:val="center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(1) Na služobný pomer profesionálneho vojaka sa primerane použijú aj ustanovenia § 1 ods. 2, § 15, § 17 ods. 1 a 3, § 18, § 19 ods. 1, § 20, § 32 až 38, § 39 ods. 1, § 85 ods. 5, § 98   ods. 1 a 8, § 134, § 152 ods. 1 až 4, § 166 až 170, § 192 až 194, § 196, § 197, § 198 ods. 1    písm. d), § 207 ods. 3, § 213, § 214 ods. 1 a 4, § 217 až 222, § 251 ods. 1 a 2, § 252a ods. 1         a § 253 zákona č. 311/2001 Z. z. Zákonník práce v znení</w:t>
      </w:r>
      <w:r>
        <w:rPr>
          <w:rFonts w:ascii="Times New Roman" w:hAnsi="Times New Roman" w:cs="Times New Roman"/>
          <w:color w:val="000000"/>
        </w:rPr>
        <w:t xml:space="preserve"> neskorších predpisov.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(2) Na prípravnú službu vojakov prípravnej služby sa primerane použijú aj ustanovenia    § 1 ods. 2, § 15, § 17, § 18, § 19 ods. 1, § 32, § 33 ods. 1, 2 a 4, § 34 až 38, § 39 ods. 1, § 134,     § 192 až 194, § 196, § 197, § 198 ods. 1 písm. d), § 207 ods. 3, § 213, § 214 ods. 1 a 4, § 217 až 222, § 251 ods. 1a 2, § 252a ods. 1 a § 253 zákona č. 311/2001 Z. z.  Zákonník práce v znení  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skorších predpisov.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(3) Na vojenskú službu vojakov povinnej vojenskej služby sa primerane použijú </w:t>
      </w:r>
      <w:r>
        <w:rPr>
          <w:rFonts w:ascii="Times New Roman" w:hAnsi="Times New Roman" w:cs="Times New Roman"/>
          <w:color w:val="000000"/>
        </w:rPr>
        <w:t>aj     ust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novenia § 1 ods. 2, § 15, § 17, § 18, § 19 ods. 1, § 32, § 33 ods. 1, 2 a 4, § 34, § 36 až 38,      § 39 ods. 1, § 134, § 192 až 209, § 211, § 213, § 214 ods. 1 a 4, § 217 až 222, § 251 ods. 1 a 2,    § 252a ods. 1 a § 253 zákona č. 311/2001 Z. </w:t>
      </w:r>
      <w:r>
        <w:rPr>
          <w:rFonts w:ascii="Times New Roman" w:hAnsi="Times New Roman" w:cs="Times New Roman"/>
          <w:color w:val="000000"/>
        </w:rPr>
        <w:t>z.  Zákonník práce v znení neskorších predpisov.“.</w:t>
      </w:r>
    </w:p>
    <w:p>
      <w:pPr>
        <w:pStyle w:val="BodyText"/>
        <w:rPr>
          <w:rFonts w:ascii="Times New Roman" w:hAnsi="Times New Roman" w:cs="Times New Roman"/>
          <w:color w:val="000000"/>
        </w:rPr>
      </w:pPr>
    </w:p>
    <w:p>
      <w:pPr>
        <w:pStyle w:val="BodyText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31.</w:t>
      </w:r>
      <w:r>
        <w:rPr>
          <w:rFonts w:ascii="Times New Roman" w:hAnsi="Times New Roman" w:cs="Times New Roman"/>
          <w:color w:val="000000"/>
        </w:rPr>
        <w:tab/>
        <w:t>V § 187 odsek 3 znie:</w:t>
      </w:r>
    </w:p>
    <w:p>
      <w:pPr>
        <w:pStyle w:val="BodyText"/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„(3) Profesionálneho vojaka, ktorý dosiahol poddôstojnícku hodnosť alebo hodnosť   mužstva, možno s jeho písomným súhlasom, ak je to v súlade s potrebami ozbrojených síl,     us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noviť do funkcie s plánovanou nižšou poddôstojníckou hodnosťou alebo s plánovanou nižšou hodno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ťou mužstva, než akú dosiahol.“.</w:t>
      </w:r>
    </w:p>
    <w:p>
      <w:pPr>
        <w:pStyle w:val="BodyText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32. V</w:t>
      </w:r>
      <w:r>
        <w:rPr>
          <w:rFonts w:ascii="Times New Roman" w:hAnsi="Times New Roman" w:cs="Times New Roman"/>
          <w:color w:val="000000"/>
        </w:rPr>
        <w:t xml:space="preserve"> § 187 ods. 5 druhá veta znie: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„Služobný orgán môže tohto profesionálneho vojaka vymenovať do predtým dosiahnutej vojen</w:t>
      </w:r>
      <w:r>
        <w:rPr>
          <w:rFonts w:ascii="Times New Roman" w:hAnsi="Times New Roman" w:cs="Times New Roman"/>
          <w:color w:val="000000"/>
        </w:rPr>
        <w:t>skej hodnosti, ak je ustanovený do funkcie, pre ktorú je plánovaná takáto alebo vyššia     v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jenská hodnosť.“.</w:t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II</w:t>
      </w:r>
    </w:p>
    <w:p>
      <w:pPr>
        <w:pStyle w:val="BodyTextIndent"/>
        <w:rPr>
          <w:rFonts w:ascii="Times New Roman" w:hAnsi="Times New Roman" w:cs="Times New Roman"/>
          <w:color w:val="000000"/>
        </w:rPr>
      </w:pPr>
    </w:p>
    <w:p>
      <w:pPr>
        <w:pStyle w:val="BodyTextInden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Tento zákon nadobúda účinnosť 1. </w:t>
      </w:r>
      <w:r>
        <w:rPr>
          <w:rFonts w:ascii="Times New Roman" w:hAnsi="Times New Roman" w:cs="Times New Roman"/>
        </w:rPr>
        <w:t xml:space="preserve">septembra </w:t>
      </w:r>
      <w:r>
        <w:rPr>
          <w:rFonts w:ascii="Times New Roman" w:hAnsi="Times New Roman" w:cs="Times New Roman"/>
          <w:color w:val="000000"/>
        </w:rPr>
        <w:t>2004.</w:t>
      </w:r>
    </w:p>
    <w:p>
      <w:pPr>
        <w:pStyle w:val="Header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 </w:t>
      </w:r>
    </w:p>
    <w:sectPr>
      <w:headerReference w:type="even" r:id="rId4"/>
      <w:head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C38"/>
    <w:multiLevelType w:val="singleLevel"/>
    <w:tmpl w:val="041B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5426F7"/>
    <w:multiLevelType w:val="singleLevel"/>
    <w:tmpl w:val="1BBC6F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>
    <w:nsid w:val="020B19E3"/>
    <w:multiLevelType w:val="singleLevel"/>
    <w:tmpl w:val="041B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24C3C3F"/>
    <w:multiLevelType w:val="singleLevel"/>
    <w:tmpl w:val="041B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28C6C8E"/>
    <w:multiLevelType w:val="hybridMultilevel"/>
    <w:tmpl w:val="6A3A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4431E3F"/>
    <w:multiLevelType w:val="singleLevel"/>
    <w:tmpl w:val="33F0EFB4"/>
    <w:lvl w:ilvl="0">
      <w:start w:val="1"/>
      <w:numFmt w:val="decimal"/>
      <w:lvlText w:val="(%1)"/>
      <w:lvlJc w:val="left"/>
      <w:pPr>
        <w:tabs>
          <w:tab w:val="num" w:pos="1128"/>
        </w:tabs>
        <w:ind w:left="1128" w:hanging="360"/>
      </w:pPr>
    </w:lvl>
  </w:abstractNum>
  <w:abstractNum w:abstractNumId="6">
    <w:nsid w:val="0847397A"/>
    <w:multiLevelType w:val="singleLevel"/>
    <w:tmpl w:val="041B000F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481542"/>
    <w:multiLevelType w:val="singleLevel"/>
    <w:tmpl w:val="041B000F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68624F"/>
    <w:multiLevelType w:val="singleLevel"/>
    <w:tmpl w:val="041B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C3502AC"/>
    <w:multiLevelType w:val="singleLevel"/>
    <w:tmpl w:val="8EA8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EE22E10"/>
    <w:multiLevelType w:val="singleLevel"/>
    <w:tmpl w:val="B82ABA3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b w:val="0"/>
        <w:rtl w:val="0"/>
      </w:rPr>
    </w:lvl>
  </w:abstractNum>
  <w:abstractNum w:abstractNumId="11">
    <w:nsid w:val="0F8D3DF7"/>
    <w:multiLevelType w:val="singleLevel"/>
    <w:tmpl w:val="041B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FE6279E"/>
    <w:multiLevelType w:val="singleLevel"/>
    <w:tmpl w:val="041B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1965644"/>
    <w:multiLevelType w:val="singleLevel"/>
    <w:tmpl w:val="041B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5E76657"/>
    <w:multiLevelType w:val="singleLevel"/>
    <w:tmpl w:val="041B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6281E65"/>
    <w:multiLevelType w:val="singleLevel"/>
    <w:tmpl w:val="041B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AC538BD"/>
    <w:multiLevelType w:val="singleLevel"/>
    <w:tmpl w:val="E81C2660"/>
    <w:lvl w:ilvl="0">
      <w:start w:val="2"/>
      <w:numFmt w:val="decimal"/>
      <w:lvlText w:val="(%1)"/>
      <w:lvlJc w:val="left"/>
      <w:pPr>
        <w:tabs>
          <w:tab w:val="num" w:pos="1128"/>
        </w:tabs>
        <w:ind w:left="1128" w:hanging="360"/>
      </w:pPr>
    </w:lvl>
  </w:abstractNum>
  <w:abstractNum w:abstractNumId="17">
    <w:nsid w:val="1CDA05C4"/>
    <w:multiLevelType w:val="singleLevel"/>
    <w:tmpl w:val="041B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0051B19"/>
    <w:multiLevelType w:val="singleLevel"/>
    <w:tmpl w:val="7B7263E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9">
    <w:nsid w:val="21C24AC6"/>
    <w:multiLevelType w:val="singleLevel"/>
    <w:tmpl w:val="041B000F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4DA0568"/>
    <w:multiLevelType w:val="hybridMultilevel"/>
    <w:tmpl w:val="52B8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124B76"/>
    <w:multiLevelType w:val="singleLevel"/>
    <w:tmpl w:val="041B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255E383F"/>
    <w:multiLevelType w:val="singleLevel"/>
    <w:tmpl w:val="041B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277B65C7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2AE2596F"/>
    <w:multiLevelType w:val="hybridMultilevel"/>
    <w:tmpl w:val="6996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1410"/>
        </w:tabs>
        <w:ind w:left="1410" w:hanging="69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0043DBF"/>
    <w:multiLevelType w:val="singleLevel"/>
    <w:tmpl w:val="2F24F21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6">
    <w:nsid w:val="300E3F09"/>
    <w:multiLevelType w:val="singleLevel"/>
    <w:tmpl w:val="041B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0876624"/>
    <w:multiLevelType w:val="singleLevel"/>
    <w:tmpl w:val="041B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34003143"/>
    <w:multiLevelType w:val="singleLevel"/>
    <w:tmpl w:val="041B000F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35B63FDA"/>
    <w:multiLevelType w:val="singleLevel"/>
    <w:tmpl w:val="041B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364C30EF"/>
    <w:multiLevelType w:val="singleLevel"/>
    <w:tmpl w:val="041B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3702151D"/>
    <w:multiLevelType w:val="singleLevel"/>
    <w:tmpl w:val="041B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39250A03"/>
    <w:multiLevelType w:val="singleLevel"/>
    <w:tmpl w:val="041B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3B2115B2"/>
    <w:multiLevelType w:val="singleLevel"/>
    <w:tmpl w:val="0B087E70"/>
    <w:lvl w:ilvl="0">
      <w:start w:val="2"/>
      <w:numFmt w:val="decimal"/>
      <w:lvlText w:val="(%1)"/>
      <w:lvlJc w:val="left"/>
      <w:pPr>
        <w:tabs>
          <w:tab w:val="num" w:pos="1128"/>
        </w:tabs>
        <w:ind w:left="1128" w:hanging="360"/>
      </w:pPr>
      <w:rPr>
        <w:b/>
        <w:rtl w:val="0"/>
      </w:rPr>
    </w:lvl>
  </w:abstractNum>
  <w:abstractNum w:abstractNumId="34">
    <w:nsid w:val="3D290CE3"/>
    <w:multiLevelType w:val="hybridMultilevel"/>
    <w:tmpl w:val="2258E6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5">
    <w:nsid w:val="3DEA0635"/>
    <w:multiLevelType w:val="singleLevel"/>
    <w:tmpl w:val="7A884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:rtl w:val="0"/>
      </w:rPr>
    </w:lvl>
  </w:abstractNum>
  <w:abstractNum w:abstractNumId="36">
    <w:nsid w:val="3EA45775"/>
    <w:multiLevelType w:val="singleLevel"/>
    <w:tmpl w:val="42B6D5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7">
    <w:nsid w:val="3FF85B4C"/>
    <w:multiLevelType w:val="singleLevel"/>
    <w:tmpl w:val="041B000F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423A7BF5"/>
    <w:multiLevelType w:val="singleLevel"/>
    <w:tmpl w:val="041B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42D643C0"/>
    <w:multiLevelType w:val="hybridMultilevel"/>
    <w:tmpl w:val="1ADE39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32C20C9"/>
    <w:multiLevelType w:val="singleLevel"/>
    <w:tmpl w:val="041B000F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435F6316"/>
    <w:multiLevelType w:val="singleLevel"/>
    <w:tmpl w:val="041B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43D3303A"/>
    <w:multiLevelType w:val="multilevel"/>
    <w:tmpl w:val="B1463DBA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3FF45B1"/>
    <w:multiLevelType w:val="singleLevel"/>
    <w:tmpl w:val="1F9E79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4">
    <w:nsid w:val="447B6B58"/>
    <w:multiLevelType w:val="hybridMultilevel"/>
    <w:tmpl w:val="BE0C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869230F"/>
    <w:multiLevelType w:val="singleLevel"/>
    <w:tmpl w:val="041B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487F745B"/>
    <w:multiLevelType w:val="singleLevel"/>
    <w:tmpl w:val="041B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4A641712"/>
    <w:multiLevelType w:val="multilevel"/>
    <w:tmpl w:val="8D0EB640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AA844CC"/>
    <w:multiLevelType w:val="singleLevel"/>
    <w:tmpl w:val="041B000F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4BDC0B10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0">
    <w:nsid w:val="50D07977"/>
    <w:multiLevelType w:val="singleLevel"/>
    <w:tmpl w:val="4184F98A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51">
    <w:nsid w:val="52AB2EED"/>
    <w:multiLevelType w:val="singleLevel"/>
    <w:tmpl w:val="041B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557A6A0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558B0ACE"/>
    <w:multiLevelType w:val="singleLevel"/>
    <w:tmpl w:val="041B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>
    <w:nsid w:val="55DF018B"/>
    <w:multiLevelType w:val="hybridMultilevel"/>
    <w:tmpl w:val="7500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69313BA"/>
    <w:multiLevelType w:val="singleLevel"/>
    <w:tmpl w:val="04B61E4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</w:abstractNum>
  <w:abstractNum w:abstractNumId="56">
    <w:nsid w:val="59D8007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7">
    <w:nsid w:val="5CAC7344"/>
    <w:multiLevelType w:val="singleLevel"/>
    <w:tmpl w:val="041B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>
    <w:nsid w:val="5FC855A3"/>
    <w:multiLevelType w:val="singleLevel"/>
    <w:tmpl w:val="041B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60E87B8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0">
    <w:nsid w:val="641F36D5"/>
    <w:multiLevelType w:val="hybridMultilevel"/>
    <w:tmpl w:val="2310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49A323C"/>
    <w:multiLevelType w:val="singleLevel"/>
    <w:tmpl w:val="041B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65983DF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>
    <w:nsid w:val="69F24150"/>
    <w:multiLevelType w:val="singleLevel"/>
    <w:tmpl w:val="041B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6D5C356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5">
    <w:nsid w:val="6E1E46F5"/>
    <w:multiLevelType w:val="singleLevel"/>
    <w:tmpl w:val="D5B2AB1A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66">
    <w:nsid w:val="6E714346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7">
    <w:nsid w:val="6FFF5EF9"/>
    <w:multiLevelType w:val="hybridMultilevel"/>
    <w:tmpl w:val="E1C84A50"/>
    <w:lvl w:ilvl="0">
      <w:start w:val="3"/>
      <w:numFmt w:val="lowerLetter"/>
      <w:lvlText w:val="%1)"/>
      <w:lvlJc w:val="left"/>
      <w:pPr>
        <w:tabs>
          <w:tab w:val="num" w:pos="704"/>
        </w:tabs>
        <w:ind w:left="704" w:hanging="360"/>
      </w:pPr>
    </w:lvl>
    <w:lvl w:ilvl="1">
      <w:start w:val="5"/>
      <w:numFmt w:val="decimal"/>
      <w:lvlText w:val="%2."/>
      <w:lvlJc w:val="left"/>
      <w:pPr>
        <w:tabs>
          <w:tab w:val="num" w:pos="1424"/>
        </w:tabs>
        <w:ind w:left="1424" w:hanging="360"/>
      </w:pPr>
    </w:lvl>
    <w:lvl w:ilvl="2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68">
    <w:nsid w:val="718E2029"/>
    <w:multiLevelType w:val="singleLevel"/>
    <w:tmpl w:val="041B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9">
    <w:nsid w:val="719E026A"/>
    <w:multiLevelType w:val="singleLevel"/>
    <w:tmpl w:val="041B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>
    <w:nsid w:val="739A269C"/>
    <w:multiLevelType w:val="multilevel"/>
    <w:tmpl w:val="DBF4D9B6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485650F"/>
    <w:multiLevelType w:val="hybridMultilevel"/>
    <w:tmpl w:val="6A3AD0CE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>
    <w:nsid w:val="750504A6"/>
    <w:multiLevelType w:val="singleLevel"/>
    <w:tmpl w:val="041B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77107A25"/>
    <w:multiLevelType w:val="singleLevel"/>
    <w:tmpl w:val="041B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>
    <w:nsid w:val="77FF44A2"/>
    <w:multiLevelType w:val="singleLevel"/>
    <w:tmpl w:val="041B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>
    <w:nsid w:val="784671B4"/>
    <w:multiLevelType w:val="singleLevel"/>
    <w:tmpl w:val="041B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>
    <w:nsid w:val="789665FB"/>
    <w:multiLevelType w:val="hybridMultilevel"/>
    <w:tmpl w:val="5B9A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E7C4215"/>
    <w:multiLevelType w:val="hybridMultilevel"/>
    <w:tmpl w:val="DA28B4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9"/>
  </w:num>
  <w:num w:numId="2">
    <w:abstractNumId w:val="64"/>
  </w:num>
  <w:num w:numId="3">
    <w:abstractNumId w:val="18"/>
  </w:num>
  <w:num w:numId="4">
    <w:abstractNumId w:val="56"/>
  </w:num>
  <w:num w:numId="5">
    <w:abstractNumId w:val="66"/>
  </w:num>
  <w:num w:numId="6">
    <w:abstractNumId w:val="10"/>
  </w:num>
  <w:num w:numId="7">
    <w:abstractNumId w:val="49"/>
  </w:num>
  <w:num w:numId="8">
    <w:abstractNumId w:val="5"/>
  </w:num>
  <w:num w:numId="9">
    <w:abstractNumId w:val="52"/>
  </w:num>
  <w:num w:numId="10">
    <w:abstractNumId w:val="33"/>
  </w:num>
  <w:num w:numId="11">
    <w:abstractNumId w:val="16"/>
  </w:num>
  <w:num w:numId="12">
    <w:abstractNumId w:val="60"/>
  </w:num>
  <w:num w:numId="13">
    <w:abstractNumId w:val="54"/>
  </w:num>
  <w:num w:numId="14">
    <w:abstractNumId w:val="44"/>
  </w:num>
  <w:num w:numId="15">
    <w:abstractNumId w:val="39"/>
  </w:num>
  <w:num w:numId="16">
    <w:abstractNumId w:val="71"/>
  </w:num>
  <w:num w:numId="17">
    <w:abstractNumId w:val="4"/>
  </w:num>
  <w:num w:numId="18">
    <w:abstractNumId w:val="24"/>
  </w:num>
  <w:num w:numId="19">
    <w:abstractNumId w:val="76"/>
  </w:num>
  <w:num w:numId="20">
    <w:abstractNumId w:val="20"/>
  </w:num>
  <w:num w:numId="21">
    <w:abstractNumId w:val="67"/>
  </w:num>
  <w:num w:numId="22">
    <w:abstractNumId w:val="77"/>
  </w:num>
  <w:num w:numId="23">
    <w:abstractNumId w:val="65"/>
  </w:num>
  <w:num w:numId="24">
    <w:abstractNumId w:val="43"/>
  </w:num>
  <w:num w:numId="25">
    <w:abstractNumId w:val="25"/>
  </w:num>
  <w:num w:numId="26">
    <w:abstractNumId w:val="62"/>
  </w:num>
  <w:num w:numId="27">
    <w:abstractNumId w:val="1"/>
  </w:num>
  <w:num w:numId="28">
    <w:abstractNumId w:val="0"/>
  </w:num>
  <w:num w:numId="29">
    <w:abstractNumId w:val="9"/>
  </w:num>
  <w:num w:numId="30">
    <w:abstractNumId w:val="38"/>
  </w:num>
  <w:num w:numId="31">
    <w:abstractNumId w:val="14"/>
  </w:num>
  <w:num w:numId="32">
    <w:abstractNumId w:val="75"/>
  </w:num>
  <w:num w:numId="33">
    <w:abstractNumId w:val="35"/>
  </w:num>
  <w:num w:numId="34">
    <w:abstractNumId w:val="50"/>
  </w:num>
  <w:num w:numId="35">
    <w:abstractNumId w:val="8"/>
  </w:num>
  <w:num w:numId="36">
    <w:abstractNumId w:val="30"/>
  </w:num>
  <w:num w:numId="37">
    <w:abstractNumId w:val="3"/>
  </w:num>
  <w:num w:numId="38">
    <w:abstractNumId w:val="73"/>
  </w:num>
  <w:num w:numId="39">
    <w:abstractNumId w:val="22"/>
  </w:num>
  <w:num w:numId="40">
    <w:abstractNumId w:val="11"/>
  </w:num>
  <w:num w:numId="41">
    <w:abstractNumId w:val="68"/>
  </w:num>
  <w:num w:numId="42">
    <w:abstractNumId w:val="63"/>
  </w:num>
  <w:num w:numId="43">
    <w:abstractNumId w:val="47"/>
  </w:num>
  <w:num w:numId="44">
    <w:abstractNumId w:val="23"/>
  </w:num>
  <w:num w:numId="45">
    <w:abstractNumId w:val="55"/>
  </w:num>
  <w:num w:numId="46">
    <w:abstractNumId w:val="29"/>
  </w:num>
  <w:num w:numId="47">
    <w:abstractNumId w:val="15"/>
  </w:num>
  <w:num w:numId="48">
    <w:abstractNumId w:val="46"/>
  </w:num>
  <w:num w:numId="49">
    <w:abstractNumId w:val="21"/>
  </w:num>
  <w:num w:numId="50">
    <w:abstractNumId w:val="19"/>
  </w:num>
  <w:num w:numId="51">
    <w:abstractNumId w:val="40"/>
  </w:num>
  <w:num w:numId="52">
    <w:abstractNumId w:val="70"/>
  </w:num>
  <w:num w:numId="53">
    <w:abstractNumId w:val="36"/>
  </w:num>
  <w:num w:numId="54">
    <w:abstractNumId w:val="72"/>
  </w:num>
  <w:num w:numId="55">
    <w:abstractNumId w:val="74"/>
  </w:num>
  <w:num w:numId="56">
    <w:abstractNumId w:val="27"/>
  </w:num>
  <w:num w:numId="57">
    <w:abstractNumId w:val="51"/>
  </w:num>
  <w:num w:numId="58">
    <w:abstractNumId w:val="2"/>
  </w:num>
  <w:num w:numId="59">
    <w:abstractNumId w:val="53"/>
  </w:num>
  <w:num w:numId="60">
    <w:abstractNumId w:val="42"/>
  </w:num>
  <w:num w:numId="61">
    <w:abstractNumId w:val="61"/>
  </w:num>
  <w:num w:numId="62">
    <w:abstractNumId w:val="69"/>
  </w:num>
  <w:num w:numId="63">
    <w:abstractNumId w:val="48"/>
  </w:num>
  <w:num w:numId="64">
    <w:abstractNumId w:val="6"/>
  </w:num>
  <w:num w:numId="65">
    <w:abstractNumId w:val="37"/>
  </w:num>
  <w:num w:numId="66">
    <w:abstractNumId w:val="57"/>
  </w:num>
  <w:num w:numId="67">
    <w:abstractNumId w:val="45"/>
  </w:num>
  <w:num w:numId="68">
    <w:abstractNumId w:val="31"/>
  </w:num>
  <w:num w:numId="69">
    <w:abstractNumId w:val="26"/>
  </w:num>
  <w:num w:numId="70">
    <w:abstractNumId w:val="7"/>
  </w:num>
  <w:num w:numId="71">
    <w:abstractNumId w:val="28"/>
  </w:num>
  <w:num w:numId="72">
    <w:abstractNumId w:val="32"/>
  </w:num>
  <w:num w:numId="73">
    <w:abstractNumId w:val="41"/>
  </w:num>
  <w:num w:numId="74">
    <w:abstractNumId w:val="12"/>
  </w:num>
  <w:num w:numId="75">
    <w:abstractNumId w:val="17"/>
  </w:num>
  <w:num w:numId="76">
    <w:abstractNumId w:val="58"/>
  </w:num>
  <w:num w:numId="77">
    <w:abstractNumId w:val="13"/>
  </w:num>
  <w:num w:numId="7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noProof/>
    </w:rPr>
  </w:style>
  <w:style w:type="paragraph" w:styleId="Heading2">
    <w:name w:val="heading 2"/>
    <w:basedOn w:val="Normal"/>
    <w:next w:val="Normal"/>
    <w:uiPriority w:val="9"/>
    <w:qFormat/>
    <w:pPr>
      <w:keepNext/>
      <w:ind w:left="5954"/>
      <w:jc w:val="left"/>
      <w:outlineLvl w:val="1"/>
    </w:pPr>
    <w:rPr>
      <w:b/>
      <w:noProof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b/>
      <w:noProof/>
    </w:rPr>
  </w:style>
  <w:style w:type="paragraph" w:styleId="Heading4">
    <w:name w:val="heading 4"/>
    <w:basedOn w:val="Normal"/>
    <w:next w:val="Normal"/>
    <w:uiPriority w:val="9"/>
    <w:qFormat/>
    <w:pPr>
      <w:keepNext/>
      <w:jc w:val="both"/>
      <w:outlineLvl w:val="3"/>
    </w:pPr>
    <w:rPr>
      <w:b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left"/>
    </w:pPr>
    <w:rPr>
      <w:noProof/>
    </w:rPr>
  </w:style>
  <w:style w:type="paragraph" w:styleId="BodyTextIndent">
    <w:name w:val="Body Text Indent"/>
    <w:basedOn w:val="Normal"/>
    <w:pPr>
      <w:jc w:val="both"/>
    </w:pPr>
    <w:rPr>
      <w:noProof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noProof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</w:style>
  <w:style w:type="paragraph" w:styleId="BodyTextIndent2">
    <w:name w:val="Body Text Indent 2"/>
    <w:basedOn w:val="Normal"/>
    <w:pPr>
      <w:ind w:firstLine="705"/>
      <w:jc w:val="both"/>
    </w:pPr>
  </w:style>
  <w:style w:type="paragraph" w:styleId="FootnoteText">
    <w:name w:val="footnote text"/>
    <w:basedOn w:val="Normal"/>
    <w:semiHidden/>
    <w:pPr>
      <w:jc w:val="left"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3">
    <w:name w:val="Body Text Indent 3"/>
    <w:basedOn w:val="Normal"/>
    <w:pPr>
      <w:ind w:firstLine="708"/>
      <w:jc w:val="both"/>
    </w:pPr>
  </w:style>
  <w:style w:type="paragraph" w:styleId="BodyText3">
    <w:name w:val="Body Text 3"/>
    <w:basedOn w:val="Normal"/>
    <w:pPr>
      <w:spacing w:after="120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uiPriority w:val="10"/>
    <w:qFormat/>
    <w:pPr>
      <w:jc w:val="center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1618</Words>
  <Characters>9227</Characters>
  <Application>Microsoft Office Word</Application>
  <DocSecurity>0</DocSecurity>
  <Lines>0</Lines>
  <Paragraphs>0</Paragraphs>
  <ScaleCrop>false</ScaleCrop>
  <Company>MOSR</Company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 OBRANY</dc:title>
  <dc:creator>Mosr</dc:creator>
  <cp:lastModifiedBy>Admin</cp:lastModifiedBy>
  <cp:revision>4</cp:revision>
  <cp:lastPrinted>2004-06-21T11:51:00Z</cp:lastPrinted>
  <dcterms:created xsi:type="dcterms:W3CDTF">2004-06-21T10:58:00Z</dcterms:created>
  <dcterms:modified xsi:type="dcterms:W3CDTF">2004-06-21T11:52:00Z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-720984378</vt:i4>
  </property>
  <property fmtid="{D5CDD505-2E9C-101B-9397-08002B2CF9AE}" pid="3" name="_AuthorEmail">
    <vt:lpwstr>CahojovaM@mod.gov.sk</vt:lpwstr>
  </property>
  <property fmtid="{D5CDD505-2E9C-101B-9397-08002B2CF9AE}" pid="4" name="_AuthorEmailDisplayName">
    <vt:lpwstr>Cahojova Marcela</vt:lpwstr>
  </property>
  <property fmtid="{D5CDD505-2E9C-101B-9397-08002B2CF9AE}" pid="5" name="_EmailSubject">
    <vt:lpwstr>novela zák. č. 370/1997 Z. z.</vt:lpwstr>
  </property>
  <property fmtid="{D5CDD505-2E9C-101B-9397-08002B2CF9AE}" pid="6" name="_PreviousAdHocReviewCycleID">
    <vt:i4>-1569922791</vt:i4>
  </property>
</Properties>
</file>