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pStyle w:val="Heading1"/>
        <w:rPr>
          <w:rFonts w:ascii="Times New Roman" w:hAnsi="Times New Roman" w:cs="Times New Roman"/>
          <w:sz w:val="24"/>
          <w:lang w:val="sk-SK"/>
        </w:rPr>
      </w:pPr>
      <w:r>
        <w:rPr>
          <w:rFonts w:ascii="Times New Roman" w:hAnsi="Times New Roman" w:cs="Times New Roman"/>
          <w:sz w:val="24"/>
          <w:lang w:val="sk-SK"/>
        </w:rPr>
        <w:t>Osobitná časť</w:t>
      </w:r>
    </w:p>
    <w:p>
      <w:pPr>
        <w:tabs>
          <w:tab w:val="left" w:pos="0"/>
        </w:tabs>
        <w:jc w:val="both"/>
        <w:rPr>
          <w:rFonts w:ascii="Times New Roman" w:hAnsi="Times New Roman" w:cs="Times New Roman"/>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bodom 1 až 3</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ab/>
        <w:t>Činnosti uvedené v § 2 ods. 2 písm. c), d) a k) zákona o bankách sa zosúlaďujú s činnosťami uvedenými v zákone o cenných papieroch.</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bodu 4</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ab/>
        <w:t>Ustanovenie § 2 ods. 4 sa upresňuje vo vzťahu k zahraničným bankám so sídlom v členskom štáte Európskej únie, na ktoré sa vzťahujú výhody jedného bankového povolenia podľa práva Európskej únie uvedené v § 11 až 20 zákona o bankách.</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bodu 5</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ab/>
        <w:t>Účelom zmeny navrhovanej v § 2 ods. 8 je v súlade s právom Európskej únie vytvoriť rovnaké podmienky v oblasti povoľovania vzniku nových bankových subjektov (pobočiek zahraničných bank), výkonu bankových činností na základe jednotného bankového povolenia ako aj v oblasti výkonu bankového dohľadu aj vo vzťahu ku krajinám, ktoré nie sú členmi Európskej únie, ale sú členmi európskeho hospodárskeho priestoru (Island, Nórsko a Lichtenštajnsko).</w:t>
      </w:r>
    </w:p>
    <w:p>
      <w:pPr>
        <w:tabs>
          <w:tab w:val="left" w:pos="0"/>
        </w:tabs>
        <w:jc w:val="both"/>
        <w:rPr>
          <w:rFonts w:ascii="Times New Roman" w:hAnsi="Times New Roman" w:cs="Times New Roman"/>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bodu 6</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ab/>
        <w:t>Zmena navrhovaná v § 6 ods. 1 upravuje rozšírenie výkonu bankového dohľadu, resp. predmetu výkonu bankového dohľadu aj o tzv. doplňujúci dohľad nad osobami, ktoré sú súčasťou finančných konglomerátov a nad finančnými konglomerátmi.</w:t>
      </w:r>
    </w:p>
    <w:p>
      <w:pPr>
        <w:pStyle w:val="BodyText3"/>
        <w:rPr>
          <w:rFonts w:ascii="Times New Roman" w:hAnsi="Times New Roman" w:cs="Times New Roman"/>
          <w:b w:val="0"/>
          <w:bCs w:val="0"/>
          <w:lang w:val="sk-SK"/>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bodu 7</w:t>
      </w:r>
    </w:p>
    <w:p>
      <w:pPr>
        <w:pStyle w:val="BodyText2"/>
        <w:tabs>
          <w:tab w:val="clear" w:pos="426"/>
        </w:tabs>
        <w:rPr>
          <w:rFonts w:ascii="Times New Roman" w:hAnsi="Times New Roman" w:cs="Times New Roman"/>
          <w:lang w:val="sk-SK"/>
        </w:rPr>
      </w:pPr>
    </w:p>
    <w:p>
      <w:pPr>
        <w:pStyle w:val="BodyText2"/>
        <w:tabs>
          <w:tab w:val="clear" w:pos="426"/>
        </w:tabs>
        <w:ind w:firstLine="720"/>
        <w:rPr>
          <w:rFonts w:ascii="Times New Roman" w:hAnsi="Times New Roman" w:cs="Times New Roman"/>
          <w:lang w:val="sk-SK"/>
        </w:rPr>
      </w:pPr>
      <w:r>
        <w:rPr>
          <w:rFonts w:ascii="Times New Roman" w:hAnsi="Times New Roman" w:cs="Times New Roman"/>
          <w:lang w:val="sk-SK"/>
        </w:rPr>
        <w:t>Nové odseky 4 a 5 v § 6 vymedzujú jednak vzťah troch typov dohľadov vykonávaných Národnou bankou Slovenska ako aj okruh osôb, nad ktorými Národná banka Slovenska v rámci týchto dohľadov nevykonáva dohľad na individuálnom základe, dohľad na konsolidovanom základe a ani dohľad v rámci doplňujúceho dohľadu.</w:t>
      </w:r>
    </w:p>
    <w:p>
      <w:pPr>
        <w:pStyle w:val="BodyText2"/>
        <w:tabs>
          <w:tab w:val="clear" w:pos="426"/>
        </w:tabs>
        <w:rPr>
          <w:rFonts w:ascii="Times New Roman" w:hAnsi="Times New Roman" w:cs="Times New Roman"/>
          <w:lang w:val="sk-SK"/>
        </w:rPr>
      </w:pPr>
    </w:p>
    <w:p>
      <w:pPr>
        <w:pStyle w:val="BodyText2"/>
        <w:tabs>
          <w:tab w:val="clear" w:pos="426"/>
        </w:tabs>
        <w:rPr>
          <w:rFonts w:ascii="Times New Roman" w:hAnsi="Times New Roman" w:cs="Times New Roman"/>
          <w:lang w:val="sk-SK"/>
        </w:rPr>
      </w:pPr>
      <w:r>
        <w:rPr>
          <w:rFonts w:ascii="Times New Roman" w:hAnsi="Times New Roman" w:cs="Times New Roman"/>
          <w:lang w:val="sk-SK"/>
        </w:rPr>
        <w:t>K bodu 8</w:t>
      </w:r>
    </w:p>
    <w:p>
      <w:pPr>
        <w:pStyle w:val="BodyText2"/>
        <w:tabs>
          <w:tab w:val="clear" w:pos="426"/>
        </w:tabs>
        <w:rPr>
          <w:rFonts w:ascii="Times New Roman" w:hAnsi="Times New Roman" w:cs="Times New Roman"/>
          <w:lang w:val="sk-SK"/>
        </w:rPr>
      </w:pPr>
    </w:p>
    <w:p>
      <w:pPr>
        <w:pStyle w:val="BodyText2"/>
        <w:tabs>
          <w:tab w:val="clear" w:pos="426"/>
        </w:tabs>
        <w:ind w:firstLine="720"/>
        <w:rPr>
          <w:rFonts w:ascii="Times New Roman" w:hAnsi="Times New Roman" w:cs="Times New Roman"/>
          <w:lang w:val="sk-SK"/>
        </w:rPr>
      </w:pPr>
      <w:r>
        <w:rPr>
          <w:rFonts w:ascii="Times New Roman" w:hAnsi="Times New Roman" w:cs="Times New Roman"/>
          <w:lang w:val="sk-SK"/>
        </w:rPr>
        <w:t>Účelom zmeny v § 6 ods. 7 je vytvoriť legislatívne podmienky na výkon dohľadu dohliadacími orgánmi z členských štátov Európskej únie a Európskeho hospodárskeho priestoru, zodpovedajúce európskemu právu (najmä smerniciam č. 2000/12/ES, 2001/24/ES a 2002/87/ES) a zosúladiť toto ustanovenie s novou úpravou v deviatej časti zákona.</w:t>
      </w:r>
    </w:p>
    <w:p>
      <w:pPr>
        <w:jc w:val="both"/>
        <w:rPr>
          <w:rFonts w:ascii="Times New Roman" w:hAnsi="Times New Roman" w:cs="Times New Roman"/>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bodu 9</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ab/>
        <w:t>Ustanovenia nového odseku 8 v § 7 sú transpozíciou tých ustanovení smernice č. 2002/87/ES, ktorými došlo k ďalšej novelizácii základnej bankovej smernice č. 2000/12/ES. Tieto zmeny odrážajú legislatívnu úpravu finančných konglomerátov a vyjadrujú povinnosť úzkej spolupráce dohliadacích orgánov členských štátov pri licencovaní bankových subjektov, a to nielen ak ide o orgány bankového dohľadu navzájom, ale aj o orgány dohliadajúce nad ostatnými podnikateľskými subjektmi finančného sektora.</w:t>
      </w:r>
    </w:p>
    <w:p>
      <w:pPr>
        <w:tabs>
          <w:tab w:val="left" w:pos="0"/>
        </w:tabs>
        <w:jc w:val="both"/>
        <w:rPr>
          <w:rFonts w:ascii="Times New Roman" w:hAnsi="Times New Roman" w:cs="Times New Roman"/>
          <w:color w:val="000000"/>
          <w:lang w:eastAsia="cs-CZ"/>
        </w:rPr>
      </w:pPr>
    </w:p>
    <w:p>
      <w:pPr>
        <w:tabs>
          <w:tab w:val="left" w:pos="0"/>
        </w:tabs>
        <w:jc w:val="both"/>
        <w:rPr>
          <w:rFonts w:ascii="Times New Roman" w:hAnsi="Times New Roman" w:cs="Times New Roman"/>
        </w:rPr>
      </w:pPr>
      <w:r>
        <w:rPr>
          <w:rFonts w:ascii="Times New Roman" w:hAnsi="Times New Roman" w:cs="Times New Roman"/>
        </w:rPr>
        <w:t>K bodu 10</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ab/>
        <w:t>Zmena v § 7 odseku 15 písmene f), rovnako ako zmena v bode 6, spresňuje daný pojem a tým aj úpravu predmetnej problematiky.</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K bodu 11</w:t>
      </w:r>
    </w:p>
    <w:p>
      <w:pPr>
        <w:tabs>
          <w:tab w:val="left" w:pos="0"/>
        </w:tabs>
        <w:jc w:val="both"/>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ab/>
        <w:t>Pojem „kontrola“ v § 7 ods. 19 písm. a) bolo potrebné spresniť tak, že do podielu 50 % sa zarátava nielen jednotlivý podiel, ale aj súčet viacerých podielov. Súčasne sa vypúšťa z pojmu kontrola 20-percentný podiel na základnom imaní pre účely dohľadu na konsolidovanom základe. Toto kritérium bude definované ako „majetková účasť“ podľa § 44 ods. 5 písm. m).</w:t>
      </w:r>
    </w:p>
    <w:p>
      <w:pPr>
        <w:tabs>
          <w:tab w:val="left" w:pos="0"/>
        </w:tabs>
        <w:jc w:val="both"/>
        <w:rPr>
          <w:rFonts w:ascii="Times New Roman" w:hAnsi="Times New Roman" w:cs="Times New Roman"/>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 xml:space="preserve">K bodu 12 </w:t>
      </w:r>
    </w:p>
    <w:p>
      <w:pPr>
        <w:pStyle w:val="BodyText3"/>
        <w:rPr>
          <w:rFonts w:ascii="Times New Roman" w:hAnsi="Times New Roman" w:cs="Times New Roman"/>
          <w:b w:val="0"/>
          <w:bCs w:val="0"/>
          <w:lang w:val="sk-SK"/>
        </w:rPr>
      </w:pPr>
    </w:p>
    <w:p>
      <w:pPr>
        <w:ind w:firstLine="720"/>
        <w:jc w:val="both"/>
        <w:rPr>
          <w:rFonts w:ascii="Times New Roman" w:hAnsi="Times New Roman" w:cs="Times New Roman"/>
        </w:rPr>
      </w:pPr>
      <w:r>
        <w:rPr>
          <w:rFonts w:ascii="Times New Roman" w:hAnsi="Times New Roman" w:cs="Times New Roman"/>
        </w:rPr>
        <w:t>V nadväznosti na obsah úpravy v § 7 odseku 8 sa v § 7a odsekoch 1 a 2 určuje povinnosť Národnej banky Slovenska prerokovať okolnosti súvisiace s podmienkami udelenia bankového povolenia s príslušným orgánom dohľadu členského štátu v závislosti od majetkových a kontrolných väzieb iných osôb voči žiadateľovi, sídliacich na území iného členského štátu.</w:t>
      </w:r>
    </w:p>
    <w:p>
      <w:pPr>
        <w:jc w:val="both"/>
        <w:rPr>
          <w:rFonts w:ascii="Times New Roman" w:hAnsi="Times New Roman" w:cs="Times New Roman"/>
        </w:rPr>
      </w:pPr>
      <w:r>
        <w:rPr>
          <w:rFonts w:ascii="Times New Roman" w:hAnsi="Times New Roman" w:cs="Times New Roman"/>
        </w:rPr>
        <w:tab/>
        <w:t xml:space="preserve">V nadväznosti na novú úpravu v ôsmej a deviatej časti zákona je účelom nového § 7a (ods. 3 a 4), úprava podmienok, za ktorých možno udeliť bankové povolenie v prípade, ak právoplatnosťou tohto povolenia sa banka stane súčasťou finančného konsolidovaného celku, ktorý riadi finančná holdingová inštitúcia alebo súčasťou finančného konglomerátu, ktorý riadi zmiešaná finančná holdingová spoločnosť.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13 </w:t>
      </w:r>
    </w:p>
    <w:p>
      <w:pPr>
        <w:jc w:val="both"/>
        <w:rPr>
          <w:rFonts w:ascii="Times New Roman" w:hAnsi="Times New Roman" w:cs="Times New Roman"/>
        </w:rPr>
      </w:pPr>
      <w:r>
        <w:rPr>
          <w:rFonts w:ascii="Times New Roman" w:hAnsi="Times New Roman" w:cs="Times New Roman"/>
        </w:rPr>
        <w:tab/>
        <w:t xml:space="preserve">Podľa navrhovaných zmien v § 13 ods. 1 až 3 sa má v zákone o bankách jednoznačne vyjadriť, že pri rozhodovaní Národnej banky Slovenska o zriadení pobočky banky v zahraničí ide o konanie podľa § 94 až 114 a že príslušná banka môže proti rozhodnutiu Národnej banky Slovenska podať rozklad. Takéto rozhodnutie je tiež preskúmateľné Najvyšším súdom Slovenskej republiky.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14</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Do § 23 sa navrhuje doplniť nové splnomocnenie na vydanie opatrenia Národnej banky Slovenska, ktorým by sa ustanovovali podrobnosti o systéme a postupoch vnú</w:t>
      </w:r>
      <w:r>
        <w:rPr>
          <w:rFonts w:ascii="Times New Roman" w:hAnsi="Times New Roman" w:cs="Times New Roman"/>
        </w:rPr>
        <w:t>tornej kontroly a o systéme riadenia rizík a zásadách obozretného podnikania.</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15</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 záujme odstránenia výkladových problémov sa navrhuje použiť pojem „obdobne“ namiesto pojmu „primerane“.</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16</w:t>
      </w:r>
    </w:p>
    <w:p>
      <w:pPr>
        <w:ind w:firstLine="720"/>
        <w:jc w:val="both"/>
        <w:rPr>
          <w:rFonts w:ascii="Times New Roman" w:hAnsi="Times New Roman" w:cs="Times New Roman"/>
        </w:rPr>
      </w:pPr>
    </w:p>
    <w:p>
      <w:pPr>
        <w:ind w:firstLine="720"/>
        <w:jc w:val="both"/>
        <w:rPr>
          <w:rFonts w:ascii="Times New Roman" w:hAnsi="Times New Roman" w:cs="Times New Roman"/>
        </w:rPr>
      </w:pPr>
      <w:r>
        <w:rPr>
          <w:rFonts w:ascii="Times New Roman" w:hAnsi="Times New Roman" w:cs="Times New Roman"/>
        </w:rPr>
        <w:t xml:space="preserve">Účelom nových odsekov 15 až 17 v § 28 je obdobne ako pri udeľovaní bankového povolenia (§ 7a) upraviť podmienky aj pri udeľovaní predchádzajúceho súhlasu NBS v nadväznosti na doplnenia v ôsmej a deviatej časti zákona, ak v dôsledku tohto súhlasu a následne nadobudnutia podielu na základnom imaní banky nadobúdateľom sa banka stane súčasťou finančného konsolidovaného celku, ktorý riadi finančná holdingová inštitúcia alebo súčasťou finančného konglomerátu, ktorý riadi zmiešaná finančná holdingová spoločnosť. </w:t>
      </w: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V odseku 17 je upravená povinnosť Národnej banky Slovenska prerokovať okolnosti súvisiace s podmienkami udelenia predchádzajúceho súhlasu na nadobudnutie podielu na základnom imaní banky alebo na hlasovacích právach v banke s príslušným orgánom dohľadu členského štátu v závislosti od existujúcich majetkových a kontrolných väzieb iných osôb voči žiadateľovi, ktoré sídlia na území iného členského štátu.</w:t>
      </w:r>
    </w:p>
    <w:p>
      <w:pPr>
        <w:pStyle w:val="a"/>
        <w:spacing w:before="0" w:after="0" w:line="240" w:lineRule="auto"/>
        <w:rPr>
          <w:rFonts w:ascii="Times New Roman" w:hAnsi="Times New Roman" w:cs="Times New Roman"/>
          <w:lang w:val="sk-SK"/>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K bodu 17</w:t>
      </w:r>
    </w:p>
    <w:p>
      <w:pPr>
        <w:pStyle w:val="a"/>
        <w:spacing w:before="0" w:after="0" w:line="240" w:lineRule="auto"/>
        <w:rPr>
          <w:rFonts w:ascii="Times New Roman" w:hAnsi="Times New Roman" w:cs="Times New Roman"/>
          <w:lang w:val="sk-SK"/>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V § 30 ods. 2 je potrebné pojem „kontrola“ nahradiť novým pojmom „ovládanie“, ktorý je zavedený v § 44 ods. 5 písm. l).</w:t>
      </w:r>
    </w:p>
    <w:p>
      <w:pPr>
        <w:ind w:firstLine="720"/>
        <w:jc w:val="both"/>
        <w:rPr>
          <w:rFonts w:ascii="Times New Roman" w:hAnsi="Times New Roman" w:cs="Times New Roman"/>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bodu 18</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ab/>
        <w:t xml:space="preserve">Navrhuje sa spresniť v § 30 ods. 3, že pobočky zahraničnej banky sú povinné vykonávať okrem výpočtov rizík aj výpočty rizikovo vážených aktív rovnako ako banky. </w:t>
      </w: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ab/>
        <w:t>Ďalej sa navrhuje, aby súhlas Národnej banky Slovenska udelený na použitie vlastných modelov banky b</w:t>
      </w:r>
      <w:r>
        <w:rPr>
          <w:rFonts w:ascii="Times New Roman" w:hAnsi="Times New Roman" w:cs="Times New Roman"/>
          <w:b w:val="0"/>
          <w:bCs w:val="0"/>
          <w:lang w:val="sk-SK"/>
        </w:rPr>
        <w:t xml:space="preserve">ol potrebný aj na zmenu týchto vlastných modelov. </w:t>
      </w:r>
    </w:p>
    <w:p>
      <w:pPr>
        <w:pStyle w:val="BodyText3"/>
        <w:tabs>
          <w:tab w:val="clear" w:pos="0"/>
        </w:tabs>
        <w:ind w:firstLine="720"/>
        <w:rPr>
          <w:rFonts w:ascii="Times New Roman" w:hAnsi="Times New Roman" w:cs="Times New Roman"/>
          <w:b w:val="0"/>
          <w:bCs w:val="0"/>
          <w:lang w:val="sk-SK"/>
        </w:rPr>
      </w:pPr>
      <w:r>
        <w:rPr>
          <w:rFonts w:ascii="Times New Roman" w:hAnsi="Times New Roman" w:cs="Times New Roman"/>
          <w:b w:val="0"/>
          <w:bCs w:val="0"/>
          <w:lang w:val="sk-SK"/>
        </w:rPr>
        <w:t>Navrhuje sa doplniť ustanovenie § 30 ods. 3 tak, aby z neho jednoznačne vplývalo, že žiadosť o súhlas na používanie vlastných modelov predkladá Národnej banke Slovenska za pobočku zahraničnej banky zahraničná banka, ktorá ju zriadila.</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bodu 19</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ab/>
        <w:t>Navrhuje sa doplniť splnomocnenie tak, aby sa opatrenie Národnej banky Slovenska mohlo vzťahovať aj na konsolidované celky a subkonsolidované celky.</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bodu 20</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 § 31 ods. 1 písm. a) sa spresňuje znenie v záujme zrozumiteľnosti a predídenia výkladovým problémom.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21</w:t>
      </w:r>
    </w:p>
    <w:p>
      <w:pPr>
        <w:pStyle w:val="a"/>
        <w:spacing w:before="0" w:after="0" w:line="240" w:lineRule="auto"/>
        <w:rPr>
          <w:rFonts w:ascii="Times New Roman" w:hAnsi="Times New Roman" w:cs="Times New Roman"/>
          <w:lang w:val="sk-SK"/>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V § 31 ods. 3 je potrebné pojem „kontrola“ nahradiť novým pojmom „ovládanie“, ktorý je zavedený v § 44 ods. 5 písm. l).</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22</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Upresňuje sa definícia skupiny hospodársky spojených osôb.</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K bodu 23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Navrhuje sa spresniť ustanovenie § 37 ods. 4 písm. a) tak, aby banky nemuseli uverejňovať údaje o všetkých akcionároch, ale iba o niektorých akcionároch v rozsahu ustanovenom v opatrení Národnej banky Slovenska vydanom podľa § 37 ods. 10. </w:t>
      </w: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 xml:space="preserve"> </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bodu 24</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ab/>
        <w:t>Navrhuje sa ustanoviť, že povinnosti podľa § 39 ods. 7 a § 41 ods. 4 budú mať nielen banky, ale aj pobočky zahraničných bánk.</w:t>
      </w:r>
    </w:p>
    <w:p>
      <w:pPr>
        <w:pStyle w:val="BodyText3"/>
        <w:tabs>
          <w:tab w:val="clear" w:pos="0"/>
        </w:tabs>
        <w:rPr>
          <w:rFonts w:ascii="Times New Roman" w:hAnsi="Times New Roman" w:cs="Times New Roman"/>
          <w:b w:val="0"/>
          <w:bCs w:val="0"/>
          <w:lang w:val="sk-SK"/>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bodu 25</w:t>
      </w:r>
    </w:p>
    <w:p>
      <w:pPr>
        <w:jc w:val="both"/>
        <w:rPr>
          <w:rFonts w:ascii="Times New Roman" w:hAnsi="Times New Roman" w:cs="Times New Roman"/>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 xml:space="preserve">V § 39 ods. 9 a 10 je potrebné pojem „kontrola“ nahradiť novým pojmom „ovládanie“, ktorý je zavedený v </w:t>
      </w:r>
      <w:r>
        <w:rPr>
          <w:rFonts w:ascii="Times New Roman" w:hAnsi="Times New Roman" w:cs="Times New Roman"/>
          <w:lang w:val="sk-SK"/>
        </w:rPr>
        <w:t>§ 44 ods. 5 písm. l).</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26</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Navrhuje sa ustanoviť, že povinnosti podľa § 41 ods. 4 budú mať nielen banky, ale aj pobočky zahraničných bánk.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K bodu 27</w:t>
      </w:r>
    </w:p>
    <w:p>
      <w:pPr>
        <w:jc w:val="both"/>
        <w:rPr>
          <w:rFonts w:ascii="Times New Roman" w:hAnsi="Times New Roman" w:cs="Times New Roman"/>
        </w:rPr>
      </w:pPr>
    </w:p>
    <w:p>
      <w:pPr>
        <w:ind w:firstLine="720"/>
        <w:jc w:val="both"/>
        <w:rPr>
          <w:rFonts w:ascii="Times New Roman" w:hAnsi="Times New Roman" w:cs="Times New Roman"/>
        </w:rPr>
      </w:pPr>
      <w:r>
        <w:rPr>
          <w:rFonts w:ascii="Times New Roman" w:hAnsi="Times New Roman" w:cs="Times New Roman"/>
        </w:rPr>
        <w:t>Nové ustanovenie § 44 vymedzuje presnejšie účel, predmet a rozsah bankového dohľadu na konsolidovanom základe vykonávaného Národnou bankou Slovenska ako aj spresňuje súvisiace pojmy v nadväznosti na transponovanie smernice č. 2000/12/ES v znení smernice č. 2002/87/ES. Ustanovenie definuje na účel dohľadu na konsolidovanom základe nové pojmy v slovenskom právnom poriadku - „finančná holdingová inštitúcia“, „holdingová spoločnosť so zmiešanou činnosťou“ a „zmiešaná finančná holdingová spoločnosť. § 45 až 49 upravujú problematiku dohľadu na konsolidovanom základe v nadväznosti na nové pojmy používané v súvislosti so zavedením doplňujúceho dohľadu.</w:t>
      </w:r>
    </w:p>
    <w:p>
      <w:pPr>
        <w:ind w:firstLine="720"/>
        <w:jc w:val="both"/>
        <w:rPr>
          <w:rFonts w:ascii="Times New Roman" w:hAnsi="Times New Roman" w:cs="Times New Roman"/>
        </w:rPr>
      </w:pPr>
      <w:r>
        <w:rPr>
          <w:rFonts w:ascii="Times New Roman" w:hAnsi="Times New Roman" w:cs="Times New Roman"/>
        </w:rPr>
        <w:t>Ustanovenie § 46 novo upravuje tiež povinnosť Národnej banky Slovenska zahrnúť do konsolidovaného dohľadu aj tie subjekty (banky alebo finančné inštitúcie), ovládajúca finančný konsolidovaný celok, ktoré by inak nepodliehali obdobnému dohľadu.</w:t>
      </w:r>
    </w:p>
    <w:p>
      <w:pPr>
        <w:pStyle w:val="Heading4"/>
        <w:rPr>
          <w:rFonts w:ascii="Times New Roman" w:hAnsi="Times New Roman" w:cs="Times New Roman"/>
          <w:b w:val="0"/>
          <w:bCs w:val="0"/>
          <w:lang w:val="sk-SK"/>
        </w:rPr>
      </w:pPr>
    </w:p>
    <w:p>
      <w:pPr>
        <w:pStyle w:val="Heading4"/>
        <w:rPr>
          <w:rFonts w:ascii="Times New Roman" w:hAnsi="Times New Roman" w:cs="Times New Roman"/>
          <w:b w:val="0"/>
          <w:bCs w:val="0"/>
          <w:lang w:val="sk-SK"/>
        </w:rPr>
      </w:pPr>
      <w:r>
        <w:rPr>
          <w:rFonts w:ascii="Times New Roman" w:hAnsi="Times New Roman" w:cs="Times New Roman"/>
          <w:b w:val="0"/>
          <w:bCs w:val="0"/>
          <w:lang w:val="sk-SK"/>
        </w:rPr>
        <w:t>K bodu 28</w:t>
      </w:r>
    </w:p>
    <w:p>
      <w:pPr>
        <w:rPr>
          <w:rFonts w:ascii="Times New Roman" w:hAnsi="Times New Roman" w:cs="Times New Roman"/>
        </w:rPr>
      </w:pPr>
    </w:p>
    <w:p>
      <w:pPr>
        <w:tabs>
          <w:tab w:val="left" w:pos="0"/>
        </w:tabs>
        <w:jc w:val="both"/>
        <w:rPr>
          <w:rFonts w:ascii="Times New Roman" w:hAnsi="Times New Roman" w:cs="Times New Roman"/>
        </w:rPr>
      </w:pPr>
      <w:r>
        <w:rPr>
          <w:rFonts w:ascii="Times New Roman" w:hAnsi="Times New Roman" w:cs="Times New Roman"/>
        </w:rPr>
        <w:t>K § 49a</w:t>
      </w:r>
    </w:p>
    <w:p>
      <w:pPr>
        <w:tabs>
          <w:tab w:val="left" w:pos="0"/>
        </w:tabs>
        <w:jc w:val="both"/>
        <w:rPr>
          <w:rFonts w:ascii="Times New Roman" w:hAnsi="Times New Roman" w:cs="Times New Roman"/>
        </w:rPr>
      </w:pPr>
      <w:r>
        <w:rPr>
          <w:rFonts w:ascii="Times New Roman" w:hAnsi="Times New Roman" w:cs="Times New Roman"/>
        </w:rPr>
        <w:tab/>
        <w:t>Ustanovenie upravuje v súlade so smernicou 2002/87/ES novú formu celoskupinového dohľadu a vymedzuje predmet a účel tohto dohľadu a okruh finančných konglomerátov, ktorých sa doplňujúci dohľad týka. Súčasne určuje, že táto forma dohľadu nenahradzuje doterajšie formy bankového dohľadu - dohľad na individuálnom základe a dohľad na konsolidovanom základe, ale vykonáva sa popri nich.</w:t>
      </w:r>
    </w:p>
    <w:p>
      <w:pPr>
        <w:tabs>
          <w:tab w:val="left" w:pos="0"/>
        </w:tabs>
        <w:jc w:val="both"/>
        <w:rPr>
          <w:rFonts w:ascii="Times New Roman" w:hAnsi="Times New Roman" w:cs="Times New Roman"/>
        </w:rPr>
      </w:pPr>
    </w:p>
    <w:p>
      <w:pPr>
        <w:pStyle w:val="Heading4"/>
        <w:rPr>
          <w:rFonts w:ascii="Times New Roman" w:hAnsi="Times New Roman" w:cs="Times New Roman"/>
          <w:b w:val="0"/>
          <w:bCs w:val="0"/>
          <w:lang w:val="sk-SK"/>
        </w:rPr>
      </w:pPr>
      <w:r>
        <w:rPr>
          <w:rFonts w:ascii="Times New Roman" w:hAnsi="Times New Roman" w:cs="Times New Roman"/>
          <w:b w:val="0"/>
          <w:bCs w:val="0"/>
          <w:lang w:val="sk-SK"/>
        </w:rPr>
        <w:t>K § 49b</w:t>
      </w:r>
    </w:p>
    <w:p>
      <w:pPr>
        <w:tabs>
          <w:tab w:val="left" w:pos="0"/>
        </w:tabs>
        <w:jc w:val="both"/>
        <w:rPr>
          <w:rFonts w:ascii="Times New Roman" w:hAnsi="Times New Roman" w:cs="Times New Roman"/>
        </w:rPr>
      </w:pPr>
      <w:r>
        <w:rPr>
          <w:rFonts w:ascii="Times New Roman" w:hAnsi="Times New Roman" w:cs="Times New Roman"/>
        </w:rPr>
        <w:tab/>
        <w:t>Ustanovenie upravuje na účely výkonu doplňujúceho dohľadu nad finančnými konglomerátmi základné pojmy “finančný konglomerát”, “finančný sektor”, “zmiešaná finančná spoločnosť”, “skupina” a “regulovaná osoba” ako aj ich definície, resp. obsah.</w:t>
      </w:r>
    </w:p>
    <w:p>
      <w:pPr>
        <w:tabs>
          <w:tab w:val="left" w:pos="0"/>
        </w:tabs>
        <w:jc w:val="both"/>
        <w:rPr>
          <w:rFonts w:ascii="Times New Roman" w:hAnsi="Times New Roman" w:cs="Times New Roman"/>
        </w:rPr>
      </w:pPr>
    </w:p>
    <w:p>
      <w:pPr>
        <w:pStyle w:val="Heading4"/>
        <w:tabs>
          <w:tab w:val="left" w:pos="0"/>
        </w:tabs>
        <w:rPr>
          <w:rFonts w:ascii="Times New Roman" w:hAnsi="Times New Roman" w:cs="Times New Roman"/>
          <w:b w:val="0"/>
          <w:bCs w:val="0"/>
          <w:lang w:val="sk-SK"/>
        </w:rPr>
      </w:pPr>
      <w:r>
        <w:rPr>
          <w:rFonts w:ascii="Times New Roman" w:hAnsi="Times New Roman" w:cs="Times New Roman"/>
          <w:b w:val="0"/>
          <w:bCs w:val="0"/>
          <w:lang w:val="sk-SK"/>
        </w:rPr>
        <w:t>K § 49c</w:t>
      </w:r>
    </w:p>
    <w:p>
      <w:pPr>
        <w:tabs>
          <w:tab w:val="left" w:pos="0"/>
        </w:tabs>
        <w:jc w:val="both"/>
        <w:rPr>
          <w:rFonts w:ascii="Times New Roman" w:hAnsi="Times New Roman" w:cs="Times New Roman"/>
        </w:rPr>
      </w:pPr>
      <w:r>
        <w:rPr>
          <w:rFonts w:ascii="Times New Roman" w:hAnsi="Times New Roman" w:cs="Times New Roman"/>
        </w:rPr>
        <w:tab/>
        <w:t>Spomedzi príslušných dohliadacích orgánov v zmysle smernice EÚ o doplňujúcom dohľade vykonáva niektorý úlohu tzv. koordinátora. Ustanovenie určuje, v ktorých situáciách túto úlohu plní Národná banka Slovenska, čím zároveň aj upravuje jej pôsobnosť vo vzťahu k príslušným finančným konglomerátom a regulovaným osobám v rámci týchto konglomerátov. Druhý a tretí odsek upravujú možné výnimky zo zákonom určeného postupu, a to v podobe rozšírenia (prevzatie výkonu doplňujúceho dohľadu) alebo zúženia (prenechanie výkonu dohľadu) tejto novej pôsobnosti Národnej banky Slovenska. Výnimky závisia od konkrétnych situácií, t. j. štruktúry finančného konglomerátu a sú založené na dohode NBS s Úradom pre finančný trh ako orgánom vystupujúcim v úlohe koordinátora vo vzťahu k iným finančným konglomerátom, vymedzeným osobitnými zákonmi (zákon o cenných papieroch a investičných službách a zákon o poisťovníctve).</w:t>
      </w:r>
    </w:p>
    <w:p>
      <w:pPr>
        <w:tabs>
          <w:tab w:val="left" w:pos="0"/>
        </w:tabs>
        <w:jc w:val="both"/>
        <w:rPr>
          <w:rFonts w:ascii="Times New Roman" w:hAnsi="Times New Roman" w:cs="Times New Roman"/>
        </w:rPr>
      </w:pPr>
    </w:p>
    <w:p>
      <w:pPr>
        <w:pStyle w:val="Heading5"/>
        <w:rPr>
          <w:rFonts w:ascii="Times New Roman" w:hAnsi="Times New Roman" w:cs="Times New Roman"/>
          <w:b w:val="0"/>
          <w:bCs w:val="0"/>
          <w:lang w:val="sk-SK"/>
        </w:rPr>
      </w:pPr>
      <w:r>
        <w:rPr>
          <w:rFonts w:ascii="Times New Roman" w:hAnsi="Times New Roman" w:cs="Times New Roman"/>
          <w:b w:val="0"/>
          <w:bCs w:val="0"/>
          <w:lang w:val="sk-SK"/>
        </w:rPr>
        <w:t>K § 49d</w:t>
      </w:r>
    </w:p>
    <w:p>
      <w:pPr>
        <w:pStyle w:val="BodyText2"/>
        <w:tabs>
          <w:tab w:val="clear" w:pos="426"/>
        </w:tabs>
        <w:ind w:firstLine="720"/>
        <w:rPr>
          <w:rFonts w:ascii="Times New Roman" w:hAnsi="Times New Roman" w:cs="Times New Roman"/>
          <w:lang w:val="sk-SK"/>
        </w:rPr>
      </w:pPr>
      <w:r>
        <w:rPr>
          <w:rFonts w:ascii="Times New Roman" w:hAnsi="Times New Roman" w:cs="Times New Roman"/>
          <w:lang w:val="sk-SK"/>
        </w:rPr>
        <w:t>Základom pre výkon doplňujúceho dohľadu je identifikácia tých finančných konglomerátov, ktoré majú podliehať doplňujúcemu dohľadu vykonávanému Národnou bankou Slovenska. Kritériá pre takýto “výber” sú určené v § 49e zákona. Národná banka Slovenska postupuje pri tejto identifikácii v súčinnosti s Úradom pre finančný trh a príslušnými orgánmi dohľadu členských štátov Európskej únie, vykonávajúcimi dohľad nad regulovanými osobami, ktoré sú súčasťou príslušných finančných konglomerátov a samotnými finančnými konglomerátmi. Ustanovenie upravuje aj postup pri určovaní (identifikácii), že konkrétny finančný konglomerát bude podliehať doplňujúcemu dohľadu vykonávanému Národnou bankou Sloven</w:t>
      </w:r>
      <w:r>
        <w:rPr>
          <w:rFonts w:ascii="Times New Roman" w:hAnsi="Times New Roman" w:cs="Times New Roman"/>
          <w:lang w:val="sk-SK"/>
        </w:rPr>
        <w:t>ska.</w:t>
      </w:r>
    </w:p>
    <w:p>
      <w:pPr>
        <w:jc w:val="both"/>
        <w:rPr>
          <w:rFonts w:ascii="Times New Roman" w:hAnsi="Times New Roman" w:cs="Times New Roman"/>
        </w:rPr>
      </w:pPr>
    </w:p>
    <w:p>
      <w:pPr>
        <w:pStyle w:val="Heading4"/>
        <w:rPr>
          <w:rFonts w:ascii="Times New Roman" w:hAnsi="Times New Roman" w:cs="Times New Roman"/>
          <w:b w:val="0"/>
          <w:bCs w:val="0"/>
          <w:lang w:val="sk-SK"/>
        </w:rPr>
      </w:pPr>
      <w:r>
        <w:rPr>
          <w:rFonts w:ascii="Times New Roman" w:hAnsi="Times New Roman" w:cs="Times New Roman"/>
          <w:b w:val="0"/>
          <w:bCs w:val="0"/>
          <w:lang w:val="sk-SK"/>
        </w:rPr>
        <w:t>K § 49e</w:t>
      </w:r>
    </w:p>
    <w:p>
      <w:pPr>
        <w:ind w:firstLine="720"/>
        <w:jc w:val="both"/>
        <w:rPr>
          <w:rFonts w:ascii="Times New Roman" w:hAnsi="Times New Roman" w:cs="Times New Roman"/>
        </w:rPr>
      </w:pPr>
      <w:r>
        <w:rPr>
          <w:rFonts w:ascii="Times New Roman" w:hAnsi="Times New Roman" w:cs="Times New Roman"/>
        </w:rPr>
        <w:t>Ustanovenie obsahuje základné kritériá pre identifikáciu príslušných konglomerátov, t. j. určenie, že konkrétny finančný konglomerát splňuje zákonom určené podmienky pre jeho zaradenie do doplňujúceho dohľadu vykonávaného Národnou bankou Slov</w:t>
      </w:r>
      <w:r>
        <w:rPr>
          <w:rFonts w:ascii="Times New Roman" w:hAnsi="Times New Roman" w:cs="Times New Roman"/>
        </w:rPr>
        <w:t>enska.</w:t>
      </w:r>
    </w:p>
    <w:p>
      <w:pPr>
        <w:jc w:val="both"/>
        <w:rPr>
          <w:rFonts w:ascii="Times New Roman" w:hAnsi="Times New Roman" w:cs="Times New Roman"/>
        </w:rPr>
      </w:pPr>
      <w:r>
        <w:rPr>
          <w:rFonts w:ascii="Times New Roman" w:hAnsi="Times New Roman" w:cs="Times New Roman"/>
        </w:rPr>
        <w:tab/>
        <w:t>Kritériá, kedy sa činnosti považujú za sústredené vo finančnom sektore a kedy sú činnosti vo finančných sektoroch významné, sú založené na matematických vzťahoch. Ide o podiely celkových aktív finančných sektorov a celkových aktív vymedzených osôb, pričom výsledná hodnota týchto podielov je meraná limitom 40 %, resp. 10 %. Uvedené nástroje a limity boli transponované zo smernice 2002/87/ES o finančných konglomerátoch.</w:t>
      </w:r>
    </w:p>
    <w:p>
      <w:pPr>
        <w:ind w:firstLine="720"/>
        <w:jc w:val="both"/>
        <w:rPr>
          <w:rFonts w:ascii="Times New Roman" w:hAnsi="Times New Roman" w:cs="Times New Roman"/>
        </w:rPr>
      </w:pPr>
      <w:r>
        <w:rPr>
          <w:rFonts w:ascii="Times New Roman" w:hAnsi="Times New Roman" w:cs="Times New Roman"/>
        </w:rPr>
        <w:t>Ustanovenie odseku 5 oprávňuje NBS v určitých prípadoch rozhodnúť po dohode s ÚFT a príslušným orgánom dohľadu členského štátu, že skupina nie je finančným konglomerátom pre účely doplňujúceho dohľadu, ak výkon tohto dohľadu by nebol vhodný z hľadiska samotného účelu tohto dohľadu.</w:t>
      </w:r>
    </w:p>
    <w:p>
      <w:pPr>
        <w:tabs>
          <w:tab w:val="left" w:pos="0"/>
        </w:tabs>
        <w:jc w:val="both"/>
        <w:rPr>
          <w:rFonts w:ascii="Times New Roman" w:hAnsi="Times New Roman" w:cs="Times New Roman"/>
        </w:rPr>
      </w:pPr>
    </w:p>
    <w:p>
      <w:pPr>
        <w:pStyle w:val="BodyText3"/>
        <w:rPr>
          <w:rFonts w:ascii="Times New Roman" w:hAnsi="Times New Roman" w:cs="Times New Roman"/>
          <w:b w:val="0"/>
          <w:bCs w:val="0"/>
          <w:lang w:val="sk-SK"/>
        </w:rPr>
      </w:pPr>
      <w:r>
        <w:rPr>
          <w:rFonts w:ascii="Times New Roman" w:hAnsi="Times New Roman" w:cs="Times New Roman"/>
          <w:b w:val="0"/>
          <w:bCs w:val="0"/>
          <w:lang w:val="sk-SK"/>
        </w:rPr>
        <w:t>K § 49f</w:t>
      </w:r>
    </w:p>
    <w:p>
      <w:pPr>
        <w:tabs>
          <w:tab w:val="left" w:pos="0"/>
        </w:tabs>
        <w:jc w:val="both"/>
        <w:rPr>
          <w:rFonts w:ascii="Times New Roman" w:hAnsi="Times New Roman" w:cs="Times New Roman"/>
        </w:rPr>
      </w:pPr>
      <w:r>
        <w:rPr>
          <w:rFonts w:ascii="Times New Roman" w:hAnsi="Times New Roman" w:cs="Times New Roman"/>
        </w:rPr>
        <w:tab/>
        <w:t>Ustanovenia odsekov 1 a 2 upravujú povinnosť banky a inštitúcie elektronických peňazí (t. j. úverových ústavov v zmysle základnej bankovej smernice EÚ), ktoré sú súčasťou finančného konglomerátu, dodržiavať požiadavky týkajúce sa dostatočnej výšky vlastných zdrojov, nevystavenia sa nepovolenej koncentrácii rizík finančného konglomerátu, sledovania významných vnútroskupinových obchodov vo finančnom konglomeráte, zabezpečenia systému riadenia rizík a systému vnútornej kontroly a poskytnúť informácie Národnej banke Slovenska. Tieto požiadavky sú podrobnejšie upravené v § 49g až 49k.</w:t>
      </w: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 xml:space="preserve">V § 49g až 49j sú určené povinnosti banky a inštitúcie elektronických peňazí, pričom v tomto ustanovení sú taxatívne uvedené podmienky, kedy sú banky povinné dodržiavať povinnosti uvedené vo vyššie uvedených ustanoveniach. Taktiež je určený postup v situácii, ak vymedzené regulované osoby majú sídlo v štáte, ktorý nie je členským štátom EÚ. </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 49g</w:t>
      </w:r>
    </w:p>
    <w:p>
      <w:pPr>
        <w:jc w:val="both"/>
        <w:rPr>
          <w:rFonts w:ascii="Times New Roman" w:hAnsi="Times New Roman" w:cs="Times New Roman"/>
        </w:rPr>
      </w:pPr>
      <w:r>
        <w:rPr>
          <w:rFonts w:ascii="Times New Roman" w:hAnsi="Times New Roman" w:cs="Times New Roman"/>
        </w:rPr>
        <w:tab/>
        <w:t>Zmyslom týchto ustanovení je zabezpečenie a udržanie dostatočnej a bezpečnej výšky vlastných zdrojov na úrovni finančného konglomerátu. V zákone je stanovená základná povinnosť pre banky a inštitúcie elektronických peňazí zabezpečiť dostatočnú výšku vlastných zdrojov, ako aj povinnosť predkladať Národnej banke Slovenska požadované údaje o výške vlastných zdrojov a tiež vymedzenie dostatočnosti vlastných zdrojov. Podrobnosti o vlastných zdrojoch na úrovni finančného konglomerátu, minimálnu výšku vlastných zdrojov osôb v skupine a metódy ich výpočtu určí opatrenie Národnej banky Slovenska.</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 49h</w:t>
      </w:r>
    </w:p>
    <w:p>
      <w:pPr>
        <w:jc w:val="both"/>
        <w:rPr>
          <w:rFonts w:ascii="Times New Roman" w:hAnsi="Times New Roman" w:cs="Times New Roman"/>
        </w:rPr>
      </w:pPr>
      <w:r>
        <w:rPr>
          <w:rFonts w:ascii="Times New Roman" w:hAnsi="Times New Roman" w:cs="Times New Roman"/>
        </w:rPr>
        <w:tab/>
        <w:t>Obmedzenie koncentrácie rizík na individuálnom základe bolo doteraz právne upravené v zákone o bankách najmä v ustanoveniach o majetkovej angažovanosti. V podmienkach finančných konglomerátov, keďže ide o veľké finančné skupiny, by nadmerná koncentrácia rizík mohla spôsobiť problémy v celom finančnom systéme. Preto účelom týchto ustanovení je obmedziť koncentráciu rizík na úrovni finančného konglomerátu. Zákon určuje povinnosť predkladať Národnej banke Slovenska údaje o koncentrácii rizík finančného konglomerátu. Podľa toho, ktorá osoba kontroluje finančný konglomerát, vzťahujú sa na koncentráciu rizík príslušné ustanovenia § 31 až § 33 zákona o bankách. Podrobnosti o majetkovej angažovanosti finančného konglomerátu, bankového sektora a zmiešanej finančnej holdingovej spoločnosti určí opatre</w:t>
      </w:r>
      <w:r>
        <w:rPr>
          <w:rFonts w:ascii="Times New Roman" w:hAnsi="Times New Roman" w:cs="Times New Roman"/>
        </w:rPr>
        <w:t>nie NBS.</w:t>
      </w:r>
    </w:p>
    <w:p>
      <w:pPr>
        <w:tabs>
          <w:tab w:val="left" w:pos="426"/>
        </w:tabs>
        <w:jc w:val="both"/>
        <w:rPr>
          <w:rFonts w:ascii="Times New Roman" w:hAnsi="Times New Roman" w:cs="Times New Roman"/>
        </w:rPr>
      </w:pPr>
    </w:p>
    <w:p>
      <w:pPr>
        <w:pStyle w:val="BodyText2"/>
        <w:rPr>
          <w:rFonts w:ascii="Times New Roman" w:hAnsi="Times New Roman" w:cs="Times New Roman"/>
          <w:lang w:val="sk-SK"/>
        </w:rPr>
      </w:pPr>
      <w:r>
        <w:rPr>
          <w:rFonts w:ascii="Times New Roman" w:hAnsi="Times New Roman" w:cs="Times New Roman"/>
          <w:lang w:val="sk-SK"/>
        </w:rPr>
        <w:t>K § 49i</w:t>
      </w:r>
    </w:p>
    <w:p>
      <w:pPr>
        <w:jc w:val="both"/>
        <w:rPr>
          <w:rFonts w:ascii="Times New Roman" w:hAnsi="Times New Roman" w:cs="Times New Roman"/>
        </w:rPr>
      </w:pPr>
      <w:r>
        <w:rPr>
          <w:rFonts w:ascii="Times New Roman" w:hAnsi="Times New Roman" w:cs="Times New Roman"/>
        </w:rPr>
        <w:tab/>
        <w:t>Vykonávanie určitých obchodov medzi osobami vo finančnom konglomeráte prináša zvýšené riziko aj pre finančný konglomerát ako celok. Preto je v týchto ustanoveniach uložená povinnosť predkladať Národnej banke Slovenska údaje o významných vnútroskupinových obchodoch vo finančnom konglomeráte. Podrobnosti ustanoví opatrenie Národnej banky Slovenska.</w:t>
      </w:r>
    </w:p>
    <w:p>
      <w:pPr>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 49j</w:t>
      </w:r>
    </w:p>
    <w:p>
      <w:pPr>
        <w:jc w:val="both"/>
        <w:rPr>
          <w:rFonts w:ascii="Times New Roman" w:hAnsi="Times New Roman" w:cs="Times New Roman"/>
        </w:rPr>
      </w:pPr>
      <w:r>
        <w:rPr>
          <w:rFonts w:ascii="Times New Roman" w:hAnsi="Times New Roman" w:cs="Times New Roman"/>
        </w:rPr>
        <w:tab/>
        <w:t>V rámci dosiahnutia cieľov doplňujúceho dohľadu nad finančnými konglomerátmi je potrebné v určitej miere regulovať aj vnútorné riadenie a postupy voči osobám tvoriacim finančný konglomerát. Upravuje sa preto povinnosť bánk a inštitúcií elektronických peňazí vytvoriť systém riadenia rizík a systém vnútornej kontroly, vrátane predpísaných náležitostí týchto systémov.</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 49k</w:t>
      </w:r>
    </w:p>
    <w:p>
      <w:pPr>
        <w:tabs>
          <w:tab w:val="left" w:pos="426"/>
        </w:tabs>
        <w:jc w:val="both"/>
        <w:rPr>
          <w:rFonts w:ascii="Times New Roman" w:hAnsi="Times New Roman" w:cs="Times New Roman"/>
        </w:rPr>
      </w:pPr>
      <w:r>
        <w:rPr>
          <w:rFonts w:ascii="Times New Roman" w:hAnsi="Times New Roman" w:cs="Times New Roman"/>
        </w:rPr>
        <w:tab/>
        <w:tab/>
        <w:t xml:space="preserve">Systém získavania a poskytovania informácií, upravený v tomto ustanovení, slúži na sledovanie všetkých dôležitých ukazovateľov týkajúcich sa činnosti a finančného stavu finančného konglomerátu ako aj regulovaných osôb, ktoré sú jeho súčasťou a na vzájomnú spoluprácu a koordináciu výkonu doplňujúcich dohľadov príslušných dohliadacích orgánov. </w:t>
      </w: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ab/>
        <w:t>V týchto ustanoveniach je ucelene uvedená pôsobnosť Národnej banky Slovenska pri výkone doplňujúceho dohľadu nad osobami vo finančnom konglomeráte vrátane spolupráce s inými prí</w:t>
      </w:r>
      <w:r>
        <w:rPr>
          <w:rFonts w:ascii="Times New Roman" w:hAnsi="Times New Roman" w:cs="Times New Roman"/>
          <w:b w:val="0"/>
          <w:bCs w:val="0"/>
          <w:sz w:val="24"/>
          <w:lang w:val="sk-SK"/>
        </w:rPr>
        <w:t>slušnými dohliadacími orgánmi.</w:t>
      </w:r>
    </w:p>
    <w:p>
      <w:pPr>
        <w:tabs>
          <w:tab w:val="left" w:pos="426"/>
        </w:tabs>
        <w:jc w:val="both"/>
        <w:rPr>
          <w:rFonts w:ascii="Times New Roman" w:hAnsi="Times New Roman" w:cs="Times New Roman"/>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 49l</w:t>
      </w:r>
    </w:p>
    <w:p>
      <w:pPr>
        <w:ind w:firstLine="720"/>
        <w:jc w:val="both"/>
        <w:rPr>
          <w:rFonts w:ascii="Times New Roman" w:hAnsi="Times New Roman" w:cs="Times New Roman"/>
        </w:rPr>
      </w:pPr>
      <w:r>
        <w:rPr>
          <w:rFonts w:ascii="Times New Roman" w:hAnsi="Times New Roman" w:cs="Times New Roman"/>
        </w:rPr>
        <w:t>Ustanovenie ukladá povinnosť Národnej banke Slovenska spolupracovať pri výkone doplňujúceho dohľadu s úradom a príslušnými dohliadacími orgánmi členských štátov, a to aj v situácii, ak plnia funkciu koordinátorov voči iným finančným konglomerátom, než sú tie, voči ktorým je koordinátorom Národná banka Slovenska a poskytovať si potrebné informácie. Spolupráca pozostáva nielen z výmeny určených informácií potrebných pre výkon tohto doplňujúceho dohľadu ale aj povinnosti prerokovať pripravované rozhodnutia o nadobudnutí podielu na základnom imaní regulovaných osôb a rozhodnutia o udelení sankcií.</w:t>
      </w:r>
    </w:p>
    <w:p>
      <w:pPr>
        <w:jc w:val="both"/>
        <w:rPr>
          <w:rFonts w:ascii="Times New Roman" w:hAnsi="Times New Roman" w:cs="Times New Roman"/>
        </w:rPr>
      </w:pPr>
    </w:p>
    <w:p>
      <w:pPr>
        <w:pStyle w:val="BodyText3"/>
        <w:tabs>
          <w:tab w:val="clear" w:pos="0"/>
        </w:tabs>
        <w:rPr>
          <w:rFonts w:ascii="Times New Roman" w:hAnsi="Times New Roman" w:cs="Times New Roman"/>
          <w:b w:val="0"/>
          <w:bCs w:val="0"/>
          <w:lang w:val="sk-SK"/>
        </w:rPr>
      </w:pPr>
      <w:r>
        <w:rPr>
          <w:rFonts w:ascii="Times New Roman" w:hAnsi="Times New Roman" w:cs="Times New Roman"/>
          <w:b w:val="0"/>
          <w:bCs w:val="0"/>
          <w:lang w:val="sk-SK"/>
        </w:rPr>
        <w:t>K § 49m</w:t>
      </w:r>
    </w:p>
    <w:p>
      <w:pPr>
        <w:ind w:firstLine="720"/>
        <w:jc w:val="both"/>
        <w:rPr>
          <w:rFonts w:ascii="Times New Roman" w:hAnsi="Times New Roman" w:cs="Times New Roman"/>
        </w:rPr>
      </w:pPr>
      <w:r>
        <w:rPr>
          <w:rFonts w:ascii="Times New Roman" w:hAnsi="Times New Roman" w:cs="Times New Roman"/>
        </w:rPr>
        <w:t>Vychádzajúc zo smernica 2002/87/ES úprava umožňuje, aby nielen orgány zodpovedné za výkon doplňujúceho dohľadu ale aj osoby zahrnuté do tohto doplňujúceho dohľadu, bez ohľadu na to, či sú regulovanými osobami v zmysle § 49b písm. e), mohli si vymieňať informácie významné z hľadiska doplňujúceho dohľadu. Rozsah týchto informácií je určený ustanoveniami § 49g až § 49j zákon</w:t>
      </w:r>
      <w:r>
        <w:rPr>
          <w:rFonts w:ascii="Times New Roman" w:hAnsi="Times New Roman" w:cs="Times New Roman"/>
        </w:rPr>
        <w:t>a o bankách.</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 49n</w:t>
      </w:r>
    </w:p>
    <w:p>
      <w:pPr>
        <w:pStyle w:val="BodyText2"/>
        <w:rPr>
          <w:rFonts w:ascii="Times New Roman" w:hAnsi="Times New Roman" w:cs="Times New Roman"/>
          <w:lang w:val="sk-SK"/>
        </w:rPr>
      </w:pPr>
      <w:r>
        <w:rPr>
          <w:rFonts w:ascii="Times New Roman" w:hAnsi="Times New Roman" w:cs="Times New Roman"/>
          <w:lang w:val="sk-SK"/>
        </w:rPr>
        <w:tab/>
        <w:t xml:space="preserve">Ustanovenie vytvára podmienky pre overovanie informácií poskytnutých podľa § 49m príslušným orgánom dohľadu členských štátov zodpovedným za dohľad nad regulovanými osobami a finančnými konglomerátmi. </w:t>
      </w:r>
    </w:p>
    <w:p>
      <w:pPr>
        <w:tabs>
          <w:tab w:val="left" w:pos="426"/>
        </w:tabs>
        <w:jc w:val="both"/>
        <w:rPr>
          <w:rFonts w:ascii="Times New Roman" w:hAnsi="Times New Roman" w:cs="Times New Roman"/>
        </w:rPr>
      </w:pPr>
    </w:p>
    <w:p>
      <w:pPr>
        <w:pStyle w:val="BodyText2"/>
        <w:tabs>
          <w:tab w:val="clear" w:pos="426"/>
        </w:tabs>
        <w:rPr>
          <w:rFonts w:ascii="Times New Roman" w:hAnsi="Times New Roman" w:cs="Times New Roman"/>
          <w:lang w:val="sk-SK"/>
        </w:rPr>
      </w:pPr>
      <w:r>
        <w:rPr>
          <w:rFonts w:ascii="Times New Roman" w:hAnsi="Times New Roman" w:cs="Times New Roman"/>
          <w:lang w:val="sk-SK"/>
        </w:rPr>
        <w:t>K § 49o</w:t>
      </w:r>
    </w:p>
    <w:p>
      <w:pPr>
        <w:ind w:firstLine="720"/>
        <w:jc w:val="both"/>
        <w:rPr>
          <w:rFonts w:ascii="Times New Roman" w:hAnsi="Times New Roman" w:cs="Times New Roman"/>
        </w:rPr>
      </w:pPr>
      <w:r>
        <w:rPr>
          <w:rFonts w:ascii="Times New Roman" w:hAnsi="Times New Roman" w:cs="Times New Roman"/>
        </w:rPr>
        <w:t xml:space="preserve">Úprava povinnosti zmiešanej finančnej holdingovej spoločnosti, ktorá má vo finančnom konglomeráte postavenie upravené v § 49c, týkajúca sa vypracúvania a poskytovania určených výkazov, hlásení a iných správ Národnej banke Slovenska slúži na zabezpečenie toku informácií potrebných pre Národnú banku Slovenska pre výkon doplňujúceho dohľadu. </w:t>
      </w:r>
    </w:p>
    <w:p>
      <w:pPr>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29</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 xml:space="preserve">Navrhuje sa upraviť § 50 ods. 1 tak, aby Národná banka Slovenska mohla ukladať sankcie aj na porušenie právne záväzných aktov ES a EÚ vzťahujúcich sa na bankovú činnosť. Zároveň sa navrhuje úprava dolnej hranice rozpätia pokuty, ktorú môže Národná banka Slovenska uložiť banke a pobočke zahraničnej banky a rozširujú sa kritéria hodnotenia zistených nedostatkov, na základe ktorých sa bude Národná banka Slovenska rozhodovať pri stanovovaní výšky uloženej pokuty. </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30</w:t>
      </w:r>
    </w:p>
    <w:p>
      <w:pPr>
        <w:pStyle w:val="a"/>
        <w:spacing w:before="0" w:after="0" w:line="240" w:lineRule="auto"/>
        <w:rPr>
          <w:rFonts w:ascii="Times New Roman" w:hAnsi="Times New Roman" w:cs="Times New Roman"/>
          <w:lang w:val="sk-SK"/>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Zmena ustanovenia § 50 ods. 2 upravuje zaradenie určených fyzických osôb medzi tie, ktorým NBS môže podľa platnej úpravy uložiť pokutu a tiež určuje výška možnej pokuty. Doplnenia tohto ustanovenia boli potrebné nielen v záujme umožnenia postihu, ale najmä zabezpečenia vynútiteľnosti splnenia niektorých povinností súvisiacich s výkonom dohľadu na konsolidovanom základe a doplňujúceho dohľadu.</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31</w:t>
      </w:r>
    </w:p>
    <w:p>
      <w:pPr>
        <w:pStyle w:val="a"/>
        <w:spacing w:before="0" w:after="0" w:line="240" w:lineRule="auto"/>
        <w:rPr>
          <w:rFonts w:ascii="Times New Roman" w:hAnsi="Times New Roman" w:cs="Times New Roman"/>
          <w:lang w:val="sk-SK"/>
        </w:rPr>
      </w:pPr>
    </w:p>
    <w:p>
      <w:pPr>
        <w:pStyle w:val="a"/>
        <w:spacing w:before="0" w:after="0" w:line="240" w:lineRule="auto"/>
        <w:rPr>
          <w:rFonts w:ascii="Times New Roman" w:hAnsi="Times New Roman" w:cs="Times New Roman"/>
          <w:lang w:val="sk-SK"/>
        </w:rPr>
      </w:pPr>
      <w:r>
        <w:rPr>
          <w:rFonts w:ascii="Times New Roman" w:hAnsi="Times New Roman" w:cs="Times New Roman"/>
          <w:lang w:val="sk-SK"/>
        </w:rPr>
        <w:tab/>
        <w:t xml:space="preserve">Doplnenie ustanovenia § 50 ods. 10 rovnako ako platné znenie zákona v súvislosti s inými prípadmi, určuje objektívnu lehotu a subjektívnu lehotu Národnej banke Slovenska na uloženie pokuty zmiešanej finančnej holdingovej spoločnosti, ktorá je súčasťou finančného konglomerátu, v nadväznosti na úpravu možnosti uloženia tejto pokuty podľa nového § 51a. </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K bodu 32</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lang w:val="sk-SK"/>
        </w:rPr>
        <w:tab/>
        <w:tab/>
      </w:r>
      <w:r>
        <w:rPr>
          <w:rFonts w:ascii="Times New Roman" w:hAnsi="Times New Roman" w:cs="Times New Roman"/>
          <w:b w:val="0"/>
          <w:bCs w:val="0"/>
          <w:lang w:val="sk-SK"/>
        </w:rPr>
        <w:t>Upresňuje sa § 51 ods. 1 v nadväznosti na vypustenie legislatívnej skratky „konsolidovaný celok“.</w:t>
      </w:r>
      <w:r>
        <w:rPr>
          <w:rFonts w:ascii="Times New Roman" w:hAnsi="Times New Roman" w:cs="Times New Roman"/>
          <w:lang w:val="sk-SK"/>
        </w:rPr>
        <w:t xml:space="preserve"> </w:t>
      </w:r>
      <w:r>
        <w:rPr>
          <w:rFonts w:ascii="Times New Roman" w:hAnsi="Times New Roman" w:cs="Times New Roman"/>
          <w:b w:val="0"/>
          <w:bCs w:val="0"/>
          <w:lang w:val="sk-SK"/>
        </w:rPr>
        <w:t xml:space="preserve">Zároveň sa navrhuje úprava dolnej hranice rozpätia pokuty, ktorú môže Národná banka Slovenska uložiť právnickej osobe, ktorá je zahrnutá do konsolidovaného celku, nad ktorým Národná banka Slovenska vykonáva bankový dohľad na konsolidovanom základe a rozširujú sa kritéria hodnotenia zistených nedostatkov, na základe ktorých sa bude Národná banka Slovenska rozhodovať pri stanovovaní výšky uloženej pokuty. </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ab/>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33</w:t>
      </w:r>
    </w:p>
    <w:p>
      <w:pPr>
        <w:pStyle w:val="BodyText2"/>
        <w:tabs>
          <w:tab w:val="clear" w:pos="426"/>
        </w:tabs>
        <w:rPr>
          <w:rFonts w:ascii="Times New Roman" w:hAnsi="Times New Roman" w:cs="Times New Roman"/>
          <w:lang w:val="sk-SK"/>
        </w:rPr>
      </w:pPr>
    </w:p>
    <w:p>
      <w:pPr>
        <w:pStyle w:val="BodyText2"/>
        <w:tabs>
          <w:tab w:val="clear" w:pos="426"/>
        </w:tabs>
        <w:rPr>
          <w:rFonts w:ascii="Times New Roman" w:hAnsi="Times New Roman" w:cs="Times New Roman"/>
          <w:lang w:val="sk-SK"/>
        </w:rPr>
      </w:pPr>
      <w:r>
        <w:rPr>
          <w:rFonts w:ascii="Times New Roman" w:hAnsi="Times New Roman" w:cs="Times New Roman"/>
          <w:lang w:val="sk-SK"/>
        </w:rPr>
        <w:tab/>
        <w:t>Ustanovenie § 51a súvisí s novou úpravou v § 6 ods. 1. Vytvára oprávnenie Národnej banky Slovenska uložiť pokutu zmiešanej finančnej holdingovej spoločnosti, ktorá je súčasťou finančného konglomerátu, nad ktorým Národná banka Slovenska vykonáva doplňujúci dohľad a pokutu</w:t>
      </w:r>
      <w:r>
        <w:rPr>
          <w:rFonts w:ascii="Times New Roman" w:hAnsi="Times New Roman" w:cs="Times New Roman"/>
          <w:i/>
          <w:iCs/>
          <w:lang w:val="sk-SK"/>
        </w:rPr>
        <w:t xml:space="preserve"> </w:t>
      </w:r>
      <w:r>
        <w:rPr>
          <w:rFonts w:ascii="Times New Roman" w:hAnsi="Times New Roman" w:cs="Times New Roman"/>
          <w:lang w:val="sk-SK"/>
        </w:rPr>
        <w:t xml:space="preserve">zmiešanej finančnej holdingovej spoločnosti, ktorá kontroluje takýto finančný konglomerát, ako aj sankciu akejkoľvek osobe pôsobiacej v rámci finančného konglomerátu, nad ktorým Národná banka Slovenska vykonáva dohľad. </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K bodu 34</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ab/>
        <w:t>Navrhovaným doplnením § 68 sa rozširuje účel, na ktorý bude možno poskytnúť hypotekárny úver. Hypotekárny úver bude možno poskytnúť aj na splatenie už poskytnutého hypotekárneho úveru použitého na doteraz možné účely a ktorý je úverom poskytnutým hypotekárnou bankou v konkurze.</w:t>
      </w:r>
    </w:p>
    <w:p>
      <w:pPr>
        <w:tabs>
          <w:tab w:val="left" w:pos="426"/>
        </w:tabs>
        <w:jc w:val="both"/>
        <w:rPr>
          <w:rFonts w:ascii="Times New Roman" w:hAnsi="Times New Roman" w:cs="Times New Roman"/>
        </w:rPr>
      </w:pPr>
      <w:r>
        <w:rPr>
          <w:rFonts w:ascii="Times New Roman" w:hAnsi="Times New Roman" w:cs="Times New Roman"/>
        </w:rPr>
        <w:t xml:space="preserve"> </w:t>
      </w:r>
    </w:p>
    <w:p>
      <w:pPr>
        <w:pStyle w:val="BodyText2"/>
        <w:rPr>
          <w:rFonts w:ascii="Times New Roman" w:hAnsi="Times New Roman" w:cs="Times New Roman"/>
          <w:lang w:val="sk-SK"/>
        </w:rPr>
      </w:pPr>
      <w:r>
        <w:rPr>
          <w:rFonts w:ascii="Times New Roman" w:hAnsi="Times New Roman" w:cs="Times New Roman"/>
          <w:lang w:val="sk-SK"/>
        </w:rPr>
        <w:t>K bodu 35</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ab/>
        <w:tab/>
        <w:t xml:space="preserve">Upravuje sa poznámka pod čiarou k odkazu 66b a navrhuje sa možnosť zabezpečiť hypotekárny úver a komunálny úver poskytnutý hypotekárnou bankou aj takou nehnuteľnosťou, na ktorú sa vzťahuje záložné právo zriadené na zabezpečenie iného hypotekárneho úveru a komunálneho úveru poskytnutého tou istou hypotekárnou bankou za predpokladu splnenia podmienok § 72. </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36</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Úprava súvisí s bodom 34.</w:t>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 xml:space="preserve"> </w:t>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37</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Zánik nároku na štátny príspevok v prípade písm. b) § 85 ods. 4 je od začiatku lehoty splatnosti určenej v zmluve o hypotekárnom úvere, pričom k porušeniu podmienok môže dôjsť aj počas tejto lehoty. V navrhovanom odseku 6 sa dáva povinnosť poberateľovi hypotekárneho úveru vrátiť poskytnutý štátny príspevok z dôvodu porušenia základných podmienok na uzatváranie zmlúv o hypotekárnom úvere a poskytovanie štátneho príspevku. Zodpovednosť za vrátenie štátneho príspevku pri nedodržaní podmienok na poskytnutie štátneho pr</w:t>
      </w:r>
      <w:r>
        <w:rPr>
          <w:rFonts w:ascii="Times New Roman" w:hAnsi="Times New Roman" w:cs="Times New Roman"/>
          <w:b w:val="0"/>
          <w:bCs w:val="0"/>
          <w:lang w:val="sk-SK"/>
        </w:rPr>
        <w:t>íspevku je doteraz daná v § 86 ods. 5 písm. c) len hypotekárnej banke.</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38</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 xml:space="preserve">Zmena sa navrhuje vzhľadom na navrhovanú úpravu finančných vzťahov v rámci plánovania a rozpočtovania finančných prostriedkov určených na podporu výstavby a zlepšenie kvality bývania. Kompetencia poskytovania a zúčtovania štátneho príspevku k hypotekárnym úverom prechádza na kapitolu Ministerstva výstavby a regionálneho rozvoja Slovenskej republiky. </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39</w:t>
      </w:r>
    </w:p>
    <w:p>
      <w:pPr>
        <w:pStyle w:val="BodyText3"/>
        <w:tabs>
          <w:tab w:val="clear" w:pos="0"/>
          <w:tab w:val="left" w:pos="426"/>
        </w:tabs>
        <w:rPr>
          <w:rFonts w:ascii="Times New Roman" w:hAnsi="Times New Roman" w:cs="Times New Roman"/>
          <w:b w:val="0"/>
          <w:bCs w:val="0"/>
          <w:lang w:val="sk-SK"/>
        </w:rPr>
      </w:pPr>
    </w:p>
    <w:p>
      <w:pPr>
        <w:pStyle w:val="BodyTextIndent3"/>
        <w:ind w:firstLine="786"/>
        <w:rPr>
          <w:rFonts w:ascii="Times New Roman" w:hAnsi="Times New Roman" w:cs="Times New Roman"/>
          <w:lang w:val="sk-SK"/>
        </w:rPr>
      </w:pPr>
      <w:r>
        <w:rPr>
          <w:rFonts w:ascii="Times New Roman" w:hAnsi="Times New Roman" w:cs="Times New Roman"/>
          <w:lang w:val="sk-SK"/>
        </w:rPr>
        <w:t>Navrhovaným doplnením §</w:t>
      </w:r>
      <w:r>
        <w:rPr>
          <w:rFonts w:ascii="Symbol" w:hAnsi="Symbol" w:cs="Times New Roman"/>
          <w:lang w:val="sk-SK"/>
        </w:rPr>
        <w:sym w:font="Symbol" w:char="F020"/>
      </w:r>
      <w:r>
        <w:rPr>
          <w:rFonts w:ascii="Times New Roman" w:hAnsi="Times New Roman" w:cs="Times New Roman"/>
          <w:lang w:val="sk-SK"/>
        </w:rPr>
        <w:t>87 nového odseku</w:t>
      </w:r>
      <w:r>
        <w:rPr>
          <w:rFonts w:ascii="Symbol" w:hAnsi="Symbol" w:cs="Times New Roman"/>
          <w:lang w:val="sk-SK"/>
        </w:rPr>
        <w:sym w:font="Symbol" w:char="F020"/>
      </w:r>
      <w:r>
        <w:rPr>
          <w:rFonts w:ascii="Times New Roman" w:hAnsi="Times New Roman" w:cs="Times New Roman"/>
          <w:lang w:val="sk-SK"/>
        </w:rPr>
        <w:t>8 sa vytvoria pred</w:t>
      </w:r>
      <w:r>
        <w:rPr>
          <w:rFonts w:ascii="Times New Roman" w:hAnsi="Times New Roman" w:cs="Times New Roman"/>
          <w:lang w:val="sk-SK"/>
        </w:rPr>
        <w:t>poklady pre poskytovanie údajov Ministerstvu výstavby a regionálneho rozv</w:t>
      </w:r>
      <w:r>
        <w:rPr>
          <w:rFonts w:ascii="Times New Roman" w:hAnsi="Times New Roman" w:cs="Times New Roman"/>
          <w:lang w:val="sk-SK"/>
        </w:rPr>
        <w:t>o</w:t>
      </w:r>
      <w:r>
        <w:rPr>
          <w:rFonts w:ascii="Times New Roman" w:hAnsi="Times New Roman" w:cs="Times New Roman"/>
          <w:lang w:val="sk-SK"/>
        </w:rPr>
        <w:t>ja SR o účele poskytnutia takých hypotekárnych úverov, pri ktorých sa uplatňuje nárok na štátny príspevok alebo na ktoré sa poskytuje štátny príspevok. Ministerstvo výstavby a region</w:t>
      </w:r>
      <w:r>
        <w:rPr>
          <w:rFonts w:ascii="Times New Roman" w:hAnsi="Times New Roman" w:cs="Times New Roman"/>
          <w:lang w:val="sk-SK"/>
        </w:rPr>
        <w:t>álneho rozv</w:t>
      </w:r>
      <w:r>
        <w:rPr>
          <w:rFonts w:ascii="Times New Roman" w:hAnsi="Times New Roman" w:cs="Times New Roman"/>
          <w:lang w:val="sk-SK"/>
        </w:rPr>
        <w:t>o</w:t>
      </w:r>
      <w:r>
        <w:rPr>
          <w:rFonts w:ascii="Times New Roman" w:hAnsi="Times New Roman" w:cs="Times New Roman"/>
          <w:lang w:val="sk-SK"/>
        </w:rPr>
        <w:t>ja SR bude potrebovať takéto údaje na účely plnenia úloh súvisiacich s poskytovaním štátneho príspevku na hypotekárne úvery.</w:t>
      </w:r>
    </w:p>
    <w:p>
      <w:pPr>
        <w:pStyle w:val="BodyTextIndent2"/>
        <w:ind w:firstLine="0"/>
        <w:rPr>
          <w:rFonts w:ascii="Times New Roman" w:hAnsi="Times New Roman" w:cs="Times New Roman"/>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40</w:t>
      </w:r>
    </w:p>
    <w:p>
      <w:pPr>
        <w:pStyle w:val="BodyText3"/>
        <w:tabs>
          <w:tab w:val="clear" w:pos="0"/>
          <w:tab w:val="left" w:pos="426"/>
        </w:tabs>
        <w:rPr>
          <w:rFonts w:ascii="Times New Roman" w:hAnsi="Times New Roman" w:cs="Times New Roman"/>
          <w:b w:val="0"/>
          <w:bCs w:val="0"/>
          <w:lang w:val="sk-SK"/>
        </w:rPr>
      </w:pPr>
    </w:p>
    <w:p>
      <w:pPr>
        <w:ind w:firstLine="720"/>
        <w:jc w:val="both"/>
        <w:rPr>
          <w:rFonts w:ascii="Times New Roman" w:hAnsi="Times New Roman" w:cs="Times New Roman"/>
        </w:rPr>
      </w:pPr>
      <w:r>
        <w:rPr>
          <w:rFonts w:ascii="Times New Roman" w:hAnsi="Times New Roman" w:cs="Times New Roman"/>
        </w:rPr>
        <w:t>Navrhnutá úprava §</w:t>
      </w:r>
      <w:r>
        <w:rPr>
          <w:rFonts w:ascii="Symbol" w:hAnsi="Symbol" w:cs="Times New Roman"/>
        </w:rPr>
        <w:sym w:font="Symbol" w:char="F020"/>
      </w:r>
      <w:r>
        <w:rPr>
          <w:rFonts w:ascii="Times New Roman" w:hAnsi="Times New Roman" w:cs="Times New Roman"/>
        </w:rPr>
        <w:t>89 odseku</w:t>
      </w:r>
      <w:r>
        <w:rPr>
          <w:rFonts w:ascii="Symbol" w:hAnsi="Symbol" w:cs="Times New Roman"/>
        </w:rPr>
        <w:sym w:font="Symbol" w:char="F020"/>
      </w:r>
      <w:r>
        <w:rPr>
          <w:rFonts w:ascii="Times New Roman" w:hAnsi="Times New Roman" w:cs="Times New Roman"/>
        </w:rPr>
        <w:t>3 vychádza z obsahu Smernice 2001/97/ES Európskeho parlamentu a Rady zo 4. decembra 2001, ktorou sa mení a dopĺňa smernica Rady č. 91/308/EHS o ochrane finančného systému pred využívaním na účely prania špinavých peňazí (ďalej len “smernica”). Podľa Článku 3 odseku 9 smernice na inštitúcie a osoby podliehajúce smernici sa nevzťahujú požiadavky identifikácie stanovené v tomto článku, ak je klient úverovou inštitúciou alebo finančnou inštitúciou, na ktorú sa vzťahuje táto smernica alebo úverovou inštitúciou alebo finančnou inštitúciou so sídlom v tretej krajine, ktorá podľa názoru príslušného členského štátu ukladá rovnocenné požiadavky ako sú požiadavky stanovené v smernici. Vychádzajúc z citovanej úpravy smernice a súčasne zo skutočnosti, že 1. mája 2004 sa Slovenská republika stala členským štátom Európskej únie, počnúc uvedeným dňom nebude možné v danej súvislosti priznávať úverovej inštitúcii a finančnej inštitúcii so sídlom v členskom štáte Európskej únie alebo inom štáte Európskeho hospodárskeho priestoru nevýhodnejšie postavenie ako majú obdobné subjekty so sídlom v Slovenskej re</w:t>
      </w:r>
      <w:r>
        <w:rPr>
          <w:rFonts w:ascii="Times New Roman" w:hAnsi="Times New Roman" w:cs="Times New Roman"/>
        </w:rPr>
        <w:t>publike (ktoré sú taxatívne vymenované vo štvrtej vete doterajšieho ustanovenia §</w:t>
      </w:r>
      <w:r>
        <w:rPr>
          <w:rFonts w:ascii="Symbol" w:hAnsi="Symbol" w:cs="Times New Roman"/>
        </w:rPr>
        <w:sym w:font="Symbol" w:char="F020"/>
      </w:r>
      <w:r>
        <w:rPr>
          <w:rFonts w:ascii="Times New Roman" w:hAnsi="Times New Roman" w:cs="Times New Roman"/>
        </w:rPr>
        <w:t>89 ods.</w:t>
      </w:r>
      <w:r>
        <w:rPr>
          <w:rFonts w:ascii="Symbol" w:hAnsi="Symbol" w:cs="Times New Roman"/>
        </w:rPr>
        <w:sym w:font="Symbol" w:char="F020"/>
      </w:r>
      <w:r>
        <w:rPr>
          <w:rFonts w:ascii="Times New Roman" w:hAnsi="Times New Roman" w:cs="Times New Roman"/>
        </w:rPr>
        <w:t>3 zákona o bankách).</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41</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V odstránenia výkladových problémov pri aplikácii doterajšieho znenia § 91 ods. 4 písm. g) sa (na základe podnetu Ministerstva vnútra Slovenskej republiky) navrhuje zmena a spresnenie znenia § 91 ods. 4 písm. g).</w:t>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 xml:space="preserve"> </w:t>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42</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ab/>
        <w:tab/>
        <w:t>V § 91 ods. 4 písm. j) sa legislatívnotechnicky upravuje znenie v nadväznosti na zavedenie legislatívnej skratky v § 45 ods. 2.</w:t>
      </w:r>
    </w:p>
    <w:p>
      <w:pPr>
        <w:tabs>
          <w:tab w:val="left" w:pos="426"/>
        </w:tabs>
        <w:jc w:val="both"/>
        <w:rPr>
          <w:rFonts w:ascii="Times New Roman" w:hAnsi="Times New Roman" w:cs="Times New Roman"/>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43</w:t>
      </w:r>
    </w:p>
    <w:p>
      <w:pPr>
        <w:tabs>
          <w:tab w:val="left" w:pos="426"/>
        </w:tabs>
        <w:jc w:val="both"/>
        <w:rPr>
          <w:rFonts w:ascii="Times New Roman" w:hAnsi="Times New Roman" w:cs="Times New Roman"/>
        </w:rPr>
      </w:pPr>
    </w:p>
    <w:p>
      <w:pPr>
        <w:pStyle w:val="BodyTextIndent3"/>
        <w:ind w:firstLine="720"/>
        <w:rPr>
          <w:rFonts w:ascii="Times New Roman" w:hAnsi="Times New Roman" w:cs="Times New Roman"/>
          <w:lang w:val="sk-SK"/>
        </w:rPr>
      </w:pPr>
      <w:r>
        <w:rPr>
          <w:rFonts w:ascii="Times New Roman" w:hAnsi="Times New Roman" w:cs="Times New Roman"/>
          <w:lang w:val="sk-SK"/>
        </w:rPr>
        <w:t>Navrhovaným doplnen</w:t>
      </w:r>
      <w:r>
        <w:rPr>
          <w:rFonts w:ascii="Times New Roman" w:hAnsi="Times New Roman" w:cs="Times New Roman"/>
          <w:lang w:val="sk-SK"/>
        </w:rPr>
        <w:t>ím §</w:t>
      </w:r>
      <w:r>
        <w:rPr>
          <w:rFonts w:ascii="Symbol" w:hAnsi="Symbol" w:cs="Times New Roman"/>
          <w:lang w:val="sk-SK"/>
        </w:rPr>
        <w:sym w:font="Symbol" w:char="F020"/>
      </w:r>
      <w:r>
        <w:rPr>
          <w:rFonts w:ascii="Times New Roman" w:hAnsi="Times New Roman" w:cs="Times New Roman"/>
          <w:lang w:val="sk-SK"/>
        </w:rPr>
        <w:t>91 odseku</w:t>
      </w:r>
      <w:r>
        <w:rPr>
          <w:rFonts w:ascii="Symbol" w:hAnsi="Symbol" w:cs="Times New Roman"/>
          <w:lang w:val="sk-SK"/>
        </w:rPr>
        <w:sym w:font="Symbol" w:char="F020"/>
      </w:r>
      <w:r>
        <w:rPr>
          <w:rFonts w:ascii="Times New Roman" w:hAnsi="Times New Roman" w:cs="Times New Roman"/>
          <w:lang w:val="sk-SK"/>
        </w:rPr>
        <w:t>4 o nové písmená</w:t>
      </w:r>
      <w:r>
        <w:rPr>
          <w:rFonts w:ascii="Symbol" w:hAnsi="Symbol" w:cs="Times New Roman"/>
          <w:lang w:val="sk-SK"/>
        </w:rPr>
        <w:sym w:font="Symbol" w:char="F020"/>
      </w:r>
      <w:r>
        <w:rPr>
          <w:rFonts w:ascii="Times New Roman" w:hAnsi="Times New Roman" w:cs="Times New Roman"/>
          <w:lang w:val="sk-SK"/>
        </w:rPr>
        <w:t>m) a</w:t>
      </w:r>
      <w:r>
        <w:rPr>
          <w:rFonts w:ascii="Symbol" w:hAnsi="Symbol" w:cs="Times New Roman"/>
          <w:lang w:val="sk-SK"/>
        </w:rPr>
        <w:sym w:font="Symbol" w:char="F020"/>
      </w:r>
      <w:r>
        <w:rPr>
          <w:rFonts w:ascii="Times New Roman" w:hAnsi="Times New Roman" w:cs="Times New Roman"/>
          <w:lang w:val="sk-SK"/>
        </w:rPr>
        <w:t xml:space="preserve">n) dochádza k zaradeniu Úradu na ochranu osobných údajov a </w:t>
      </w:r>
      <w:r>
        <w:rPr>
          <w:rFonts w:ascii="Times New Roman" w:hAnsi="Times New Roman" w:cs="Times New Roman"/>
          <w:color w:val="000000"/>
          <w:lang w:val="sk-SK"/>
        </w:rPr>
        <w:t xml:space="preserve">Najvyššieho kontrolného úradu Slovenskej republiky </w:t>
      </w:r>
      <w:r>
        <w:rPr>
          <w:rFonts w:ascii="Times New Roman" w:hAnsi="Times New Roman" w:cs="Times New Roman"/>
          <w:lang w:val="sk-SK"/>
        </w:rPr>
        <w:t>medzi inštitúcie, ktoré sú pri plnení svojich (zákonom určených) úloh oprávnené vyžadovať od bánk a pobočiek zahraničných bánk informácie chránené bankových tajomstvom. Inak by tieto inštitúcie nemohli plnohodnotne plniť všetky svoje úlohy podľa zákona NR SR č.</w:t>
      </w:r>
      <w:r>
        <w:rPr>
          <w:rFonts w:ascii="Symbol" w:hAnsi="Symbol" w:cs="Times New Roman"/>
          <w:lang w:val="sk-SK"/>
        </w:rPr>
        <w:sym w:font="Symbol" w:char="F020"/>
      </w:r>
      <w:r>
        <w:rPr>
          <w:rFonts w:ascii="Times New Roman" w:hAnsi="Times New Roman" w:cs="Times New Roman"/>
          <w:lang w:val="sk-SK"/>
        </w:rPr>
        <w:t>39/1993</w:t>
      </w:r>
      <w:r>
        <w:rPr>
          <w:rFonts w:ascii="Symbol" w:hAnsi="Symbol" w:cs="Times New Roman"/>
          <w:lang w:val="sk-SK"/>
        </w:rPr>
        <w:sym w:font="Symbol" w:char="F020"/>
      </w:r>
      <w:r>
        <w:rPr>
          <w:rFonts w:ascii="Times New Roman" w:hAnsi="Times New Roman" w:cs="Times New Roman"/>
          <w:lang w:val="sk-SK"/>
        </w:rPr>
        <w:t>Z.</w:t>
      </w:r>
      <w:r>
        <w:rPr>
          <w:rFonts w:ascii="Symbol" w:hAnsi="Symbol" w:cs="Times New Roman"/>
          <w:lang w:val="sk-SK"/>
        </w:rPr>
        <w:sym w:font="Symbol" w:char="F020"/>
      </w:r>
      <w:r>
        <w:rPr>
          <w:rFonts w:ascii="Times New Roman" w:hAnsi="Times New Roman" w:cs="Times New Roman"/>
          <w:lang w:val="sk-SK"/>
        </w:rPr>
        <w:t xml:space="preserve">z. o </w:t>
      </w:r>
      <w:r>
        <w:rPr>
          <w:rFonts w:ascii="Times New Roman" w:hAnsi="Times New Roman" w:cs="Times New Roman"/>
          <w:color w:val="000000"/>
          <w:lang w:val="sk-SK"/>
        </w:rPr>
        <w:t>Najvyššom kontrolnom úrade SR, respektíve</w:t>
      </w:r>
      <w:r>
        <w:rPr>
          <w:rFonts w:ascii="Times New Roman" w:hAnsi="Times New Roman" w:cs="Times New Roman"/>
          <w:lang w:val="sk-SK"/>
        </w:rPr>
        <w:t xml:space="preserve"> v prípade Úradu na ochranu osobných údajov podľa zákona č. 428/2002 Z. z. o ochrane osobných údajov.</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K bodom 44 a 45</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pStyle w:val="BodyTextIndent3"/>
        <w:spacing w:after="120"/>
        <w:ind w:firstLine="11"/>
        <w:rPr>
          <w:rFonts w:ascii="Times New Roman" w:hAnsi="Times New Roman" w:cs="Times New Roman"/>
          <w:lang w:val="sk-SK"/>
        </w:rPr>
      </w:pPr>
      <w:r>
        <w:rPr>
          <w:rFonts w:ascii="Times New Roman" w:hAnsi="Times New Roman" w:cs="Times New Roman"/>
          <w:lang w:val="sk-SK"/>
        </w:rPr>
        <w:tab/>
        <w:t>V navrhovanou úpravou §</w:t>
      </w:r>
      <w:r>
        <w:rPr>
          <w:rFonts w:ascii="Symbol" w:hAnsi="Symbol" w:cs="Times New Roman"/>
          <w:lang w:val="sk-SK"/>
        </w:rPr>
        <w:sym w:font="Symbol" w:char="F020"/>
      </w:r>
      <w:r>
        <w:rPr>
          <w:rFonts w:ascii="Times New Roman" w:hAnsi="Times New Roman" w:cs="Times New Roman"/>
          <w:lang w:val="sk-SK"/>
        </w:rPr>
        <w:t>91 ods.</w:t>
      </w:r>
      <w:r>
        <w:rPr>
          <w:rFonts w:ascii="Symbol" w:hAnsi="Symbol" w:cs="Times New Roman"/>
          <w:lang w:val="sk-SK"/>
        </w:rPr>
        <w:sym w:font="Symbol" w:char="F020"/>
      </w:r>
      <w:r>
        <w:rPr>
          <w:rFonts w:ascii="Times New Roman" w:hAnsi="Times New Roman" w:cs="Times New Roman"/>
          <w:lang w:val="sk-SK"/>
        </w:rPr>
        <w:t>8 a novým znením poznámok pod čiarou k odkazom</w:t>
      </w:r>
      <w:r>
        <w:rPr>
          <w:rFonts w:ascii="Symbol" w:hAnsi="Symbol" w:cs="Times New Roman"/>
          <w:lang w:val="sk-SK"/>
        </w:rPr>
        <w:sym w:font="Symbol" w:char="F020"/>
      </w:r>
      <w:r>
        <w:rPr>
          <w:rFonts w:ascii="Times New Roman" w:hAnsi="Times New Roman" w:cs="Times New Roman"/>
          <w:lang w:val="sk-SK"/>
        </w:rPr>
        <w:t>86a a 86c sa odstraňuje legislatívna nepresnosť, ktorá sa do zákona o bankách dostala pri jeho novelizácii v rámci zákona č.</w:t>
      </w:r>
      <w:r>
        <w:rPr>
          <w:rFonts w:ascii="Symbol" w:hAnsi="Symbol" w:cs="Times New Roman"/>
          <w:lang w:val="sk-SK"/>
        </w:rPr>
        <w:sym w:font="Symbol" w:char="F020"/>
      </w:r>
      <w:r>
        <w:rPr>
          <w:rFonts w:ascii="Times New Roman" w:hAnsi="Times New Roman" w:cs="Times New Roman"/>
          <w:lang w:val="sk-SK"/>
        </w:rPr>
        <w:t>215/2004</w:t>
      </w:r>
      <w:r>
        <w:rPr>
          <w:rFonts w:ascii="Symbol" w:hAnsi="Symbol" w:cs="Times New Roman"/>
          <w:lang w:val="sk-SK"/>
        </w:rPr>
        <w:sym w:font="Symbol" w:char="F020"/>
      </w:r>
      <w:r>
        <w:rPr>
          <w:rFonts w:ascii="Times New Roman" w:hAnsi="Times New Roman" w:cs="Times New Roman"/>
          <w:lang w:val="sk-SK"/>
        </w:rPr>
        <w:t>Z.</w:t>
      </w:r>
      <w:r>
        <w:rPr>
          <w:rFonts w:ascii="Symbol" w:hAnsi="Symbol" w:cs="Times New Roman"/>
          <w:lang w:val="sk-SK"/>
        </w:rPr>
        <w:sym w:font="Symbol" w:char="F020"/>
      </w:r>
      <w:r>
        <w:rPr>
          <w:rFonts w:ascii="Times New Roman" w:hAnsi="Times New Roman" w:cs="Times New Roman"/>
          <w:lang w:val="sk-SK"/>
        </w:rPr>
        <w:t xml:space="preserve">z. o ochrane utajovaných skutočností. Zákonom o ochrane utajovaných skutočností bola do zákona o bankách </w:t>
      </w:r>
      <w:r>
        <w:rPr>
          <w:rFonts w:ascii="Symbol" w:hAnsi="Symbol" w:cs="Times New Roman"/>
          <w:lang w:val="sk-SK"/>
        </w:rPr>
        <w:sym w:font="Symbol" w:char="F05B"/>
      </w:r>
      <w:r>
        <w:rPr>
          <w:rFonts w:ascii="Times New Roman" w:hAnsi="Times New Roman" w:cs="Times New Roman"/>
          <w:lang w:val="sk-SK"/>
        </w:rPr>
        <w:t>do §</w:t>
      </w:r>
      <w:r>
        <w:rPr>
          <w:rFonts w:ascii="Symbol" w:hAnsi="Symbol" w:cs="Times New Roman"/>
          <w:lang w:val="sk-SK"/>
        </w:rPr>
        <w:sym w:font="Symbol" w:char="F020"/>
      </w:r>
      <w:r>
        <w:rPr>
          <w:rFonts w:ascii="Times New Roman" w:hAnsi="Times New Roman" w:cs="Times New Roman"/>
          <w:lang w:val="sk-SK"/>
        </w:rPr>
        <w:t>91 odseku</w:t>
      </w:r>
      <w:r>
        <w:rPr>
          <w:rFonts w:ascii="Symbol" w:hAnsi="Symbol" w:cs="Times New Roman"/>
          <w:lang w:val="sk-SK"/>
        </w:rPr>
        <w:sym w:font="Symbol" w:char="F020"/>
      </w:r>
      <w:r>
        <w:rPr>
          <w:rFonts w:ascii="Times New Roman" w:hAnsi="Times New Roman" w:cs="Times New Roman"/>
          <w:lang w:val="sk-SK"/>
        </w:rPr>
        <w:t>4 nového písmena</w:t>
      </w:r>
      <w:r>
        <w:rPr>
          <w:rFonts w:ascii="Symbol" w:hAnsi="Symbol" w:cs="Times New Roman"/>
          <w:lang w:val="sk-SK"/>
        </w:rPr>
        <w:sym w:font="Symbol" w:char="F020"/>
      </w:r>
      <w:r>
        <w:rPr>
          <w:rFonts w:ascii="Times New Roman" w:hAnsi="Times New Roman" w:cs="Times New Roman"/>
          <w:lang w:val="sk-SK"/>
        </w:rPr>
        <w:t>l)</w:t>
      </w:r>
      <w:r>
        <w:rPr>
          <w:rFonts w:ascii="Symbol" w:hAnsi="Symbol" w:cs="Times New Roman"/>
          <w:lang w:val="sk-SK"/>
        </w:rPr>
        <w:sym w:font="Symbol" w:char="F05D"/>
      </w:r>
      <w:r>
        <w:rPr>
          <w:rFonts w:ascii="Times New Roman" w:hAnsi="Times New Roman" w:cs="Times New Roman"/>
          <w:lang w:val="sk-SK"/>
        </w:rPr>
        <w:t xml:space="preserve"> nesprávne doplnená poznámka pod čiarou k odkazu</w:t>
      </w:r>
      <w:r>
        <w:rPr>
          <w:rFonts w:ascii="Symbol" w:hAnsi="Symbol" w:cs="Times New Roman"/>
          <w:lang w:val="sk-SK"/>
        </w:rPr>
        <w:sym w:font="Symbol" w:char="F020"/>
      </w:r>
      <w:r>
        <w:rPr>
          <w:rFonts w:ascii="Times New Roman" w:hAnsi="Times New Roman" w:cs="Times New Roman"/>
          <w:lang w:val="sk-SK"/>
        </w:rPr>
        <w:t>86a, napriek tomu, že obsahovo úplne inú poznámku pod čiarou k odkazu</w:t>
      </w:r>
      <w:r>
        <w:rPr>
          <w:rFonts w:ascii="Symbol" w:hAnsi="Symbol" w:cs="Times New Roman"/>
          <w:lang w:val="sk-SK"/>
        </w:rPr>
        <w:sym w:font="Symbol" w:char="F020"/>
      </w:r>
      <w:r>
        <w:rPr>
          <w:rFonts w:ascii="Times New Roman" w:hAnsi="Times New Roman" w:cs="Times New Roman"/>
          <w:lang w:val="sk-SK"/>
        </w:rPr>
        <w:t>86a už obsahoval §</w:t>
      </w:r>
      <w:r>
        <w:rPr>
          <w:rFonts w:ascii="Symbol" w:hAnsi="Symbol" w:cs="Times New Roman"/>
          <w:lang w:val="sk-SK"/>
        </w:rPr>
        <w:sym w:font="Symbol" w:char="F020"/>
      </w:r>
      <w:r>
        <w:rPr>
          <w:rFonts w:ascii="Times New Roman" w:hAnsi="Times New Roman" w:cs="Times New Roman"/>
          <w:lang w:val="sk-SK"/>
        </w:rPr>
        <w:t>91 odsek</w:t>
      </w:r>
      <w:r>
        <w:rPr>
          <w:rFonts w:ascii="Symbol" w:hAnsi="Symbol" w:cs="Times New Roman"/>
          <w:lang w:val="sk-SK"/>
        </w:rPr>
        <w:sym w:font="Symbol" w:char="F020"/>
      </w:r>
      <w:r>
        <w:rPr>
          <w:rFonts w:ascii="Times New Roman" w:hAnsi="Times New Roman" w:cs="Times New Roman"/>
          <w:lang w:val="sk-SK"/>
        </w:rPr>
        <w:t>8 zákona o bankách.</w:t>
      </w:r>
    </w:p>
    <w:p>
      <w:pPr>
        <w:pStyle w:val="BodyTextIndent3"/>
        <w:ind w:firstLine="709"/>
        <w:rPr>
          <w:rFonts w:ascii="Times New Roman" w:hAnsi="Times New Roman" w:cs="Times New Roman"/>
          <w:lang w:val="sk-SK"/>
        </w:rPr>
      </w:pPr>
      <w:r>
        <w:rPr>
          <w:rFonts w:ascii="Times New Roman" w:hAnsi="Times New Roman" w:cs="Times New Roman"/>
          <w:lang w:val="sk-SK"/>
        </w:rPr>
        <w:t>Navrhovaným doplnením §</w:t>
      </w:r>
      <w:r>
        <w:rPr>
          <w:rFonts w:ascii="Symbol" w:hAnsi="Symbol" w:cs="Times New Roman"/>
          <w:lang w:val="sk-SK"/>
        </w:rPr>
        <w:sym w:font="Symbol" w:char="F020"/>
      </w:r>
      <w:r>
        <w:rPr>
          <w:rFonts w:ascii="Times New Roman" w:hAnsi="Times New Roman" w:cs="Times New Roman"/>
          <w:lang w:val="sk-SK"/>
        </w:rPr>
        <w:t>93a o nový odsek</w:t>
      </w:r>
      <w:r>
        <w:rPr>
          <w:rFonts w:ascii="Symbol" w:hAnsi="Symbol" w:cs="Times New Roman"/>
          <w:lang w:val="sk-SK"/>
        </w:rPr>
        <w:sym w:font="Symbol" w:char="F020"/>
      </w:r>
      <w:r>
        <w:rPr>
          <w:rFonts w:ascii="Times New Roman" w:hAnsi="Times New Roman" w:cs="Times New Roman"/>
          <w:lang w:val="sk-SK"/>
        </w:rPr>
        <w:t>7 sa upravujú pravidlá monitorovania priestorov bankových subjektov pomocou videozáznamu alebo audiozáznamu a pravidlá využí</w:t>
      </w:r>
      <w:r>
        <w:rPr>
          <w:rFonts w:ascii="Times New Roman" w:hAnsi="Times New Roman" w:cs="Times New Roman"/>
          <w:lang w:val="sk-SK"/>
        </w:rPr>
        <w:t>vania a likvidácie takýchto záznamov, a to v nadväznosti na ustanovenia §</w:t>
      </w:r>
      <w:r>
        <w:rPr>
          <w:rFonts w:ascii="Symbol" w:hAnsi="Symbol" w:cs="Times New Roman"/>
          <w:lang w:val="sk-SK"/>
        </w:rPr>
        <w:sym w:font="Symbol" w:char="F020"/>
      </w:r>
      <w:r>
        <w:rPr>
          <w:rFonts w:ascii="Times New Roman" w:hAnsi="Times New Roman" w:cs="Times New Roman"/>
          <w:lang w:val="sk-SK"/>
        </w:rPr>
        <w:t>10 ods.</w:t>
      </w:r>
      <w:r>
        <w:rPr>
          <w:rFonts w:ascii="Symbol" w:hAnsi="Symbol" w:cs="Times New Roman"/>
          <w:lang w:val="sk-SK"/>
        </w:rPr>
        <w:sym w:font="Symbol" w:char="F020"/>
      </w:r>
      <w:r>
        <w:rPr>
          <w:rFonts w:ascii="Times New Roman" w:hAnsi="Times New Roman" w:cs="Times New Roman"/>
          <w:lang w:val="sk-SK"/>
        </w:rPr>
        <w:t>7 a §</w:t>
      </w:r>
      <w:r>
        <w:rPr>
          <w:rFonts w:ascii="Symbol" w:hAnsi="Symbol" w:cs="Times New Roman"/>
          <w:lang w:val="sk-SK"/>
        </w:rPr>
        <w:sym w:font="Symbol" w:char="F020"/>
      </w:r>
      <w:r>
        <w:rPr>
          <w:rFonts w:ascii="Times New Roman" w:hAnsi="Times New Roman" w:cs="Times New Roman"/>
          <w:lang w:val="sk-SK"/>
        </w:rPr>
        <w:t>13 ods.</w:t>
      </w:r>
      <w:r>
        <w:rPr>
          <w:rFonts w:ascii="Symbol" w:hAnsi="Symbol" w:cs="Times New Roman"/>
          <w:lang w:val="sk-SK"/>
        </w:rPr>
        <w:sym w:font="Symbol" w:char="F020"/>
      </w:r>
      <w:r>
        <w:rPr>
          <w:rFonts w:ascii="Times New Roman" w:hAnsi="Times New Roman" w:cs="Times New Roman"/>
          <w:lang w:val="sk-SK"/>
        </w:rPr>
        <w:t>7 zákona č.</w:t>
      </w:r>
      <w:r>
        <w:rPr>
          <w:rFonts w:ascii="Symbol" w:hAnsi="Symbol" w:cs="Times New Roman"/>
          <w:lang w:val="sk-SK"/>
        </w:rPr>
        <w:sym w:font="Symbol" w:char="F020"/>
      </w:r>
      <w:r>
        <w:rPr>
          <w:rFonts w:ascii="Times New Roman" w:hAnsi="Times New Roman" w:cs="Times New Roman"/>
          <w:lang w:val="sk-SK"/>
        </w:rPr>
        <w:t>428/2002</w:t>
      </w:r>
      <w:r>
        <w:rPr>
          <w:rFonts w:ascii="Symbol" w:hAnsi="Symbol" w:cs="Times New Roman"/>
          <w:lang w:val="sk-SK"/>
        </w:rPr>
        <w:sym w:font="Symbol" w:char="F020"/>
      </w:r>
      <w:r>
        <w:rPr>
          <w:rFonts w:ascii="Times New Roman" w:hAnsi="Times New Roman" w:cs="Times New Roman"/>
          <w:lang w:val="sk-SK"/>
        </w:rPr>
        <w:t>Z.</w:t>
      </w:r>
      <w:r>
        <w:rPr>
          <w:rFonts w:ascii="Symbol" w:hAnsi="Symbol" w:cs="Times New Roman"/>
          <w:lang w:val="sk-SK"/>
        </w:rPr>
        <w:sym w:font="Symbol" w:char="F020"/>
      </w:r>
      <w:r>
        <w:rPr>
          <w:rFonts w:ascii="Times New Roman" w:hAnsi="Times New Roman" w:cs="Times New Roman"/>
          <w:lang w:val="sk-SK"/>
        </w:rPr>
        <w:t>z. o ochrane osobných údajov.</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K bodu 46</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p>
    <w:p>
      <w:pPr>
        <w:pStyle w:val="a"/>
        <w:tabs>
          <w:tab w:val="left" w:pos="426"/>
        </w:tabs>
        <w:spacing w:before="0" w:after="0" w:line="240" w:lineRule="auto"/>
        <w:rPr>
          <w:rFonts w:ascii="Times New Roman" w:hAnsi="Times New Roman" w:cs="Times New Roman"/>
          <w:lang w:val="sk-SK"/>
        </w:rPr>
      </w:pPr>
      <w:r>
        <w:rPr>
          <w:rFonts w:ascii="Times New Roman" w:hAnsi="Times New Roman" w:cs="Times New Roman"/>
          <w:lang w:val="sk-SK"/>
        </w:rPr>
        <w:tab/>
        <w:t xml:space="preserve">Z dôvodu zjednotenia s ostatnými zákonmi a inými všeobecne záväznými právnymi predpismi sa v § 114a legislatívnotechnicky upravuje transpozičné ustanovenie. </w:t>
      </w:r>
    </w:p>
    <w:p>
      <w:pPr>
        <w:tabs>
          <w:tab w:val="left" w:pos="426"/>
        </w:tabs>
        <w:jc w:val="both"/>
        <w:rPr>
          <w:rFonts w:ascii="Times New Roman" w:hAnsi="Times New Roman" w:cs="Times New Roman"/>
        </w:rPr>
      </w:pPr>
      <w:r>
        <w:rPr>
          <w:rFonts w:ascii="Times New Roman" w:hAnsi="Times New Roman" w:cs="Times New Roman"/>
        </w:rPr>
        <w:tab/>
        <w:tab/>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47</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ab/>
        <w:t>Navrhovaná zmena § 122b ods. 6 súvisí so stanoviskom Úradu na ochranu osobných údajov zaslaným ministrovi financií, podľa ktorého platné znenie § 122b ods. 6 nespĺňa požia</w:t>
      </w:r>
      <w:r>
        <w:rPr>
          <w:rFonts w:ascii="Times New Roman" w:hAnsi="Times New Roman" w:cs="Times New Roman"/>
          <w:b w:val="0"/>
          <w:bCs w:val="0"/>
          <w:lang w:val="sk-SK"/>
        </w:rPr>
        <w:t xml:space="preserve">davky na ochranu osobných údajov. </w:t>
      </w: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ab/>
        <w:t xml:space="preserve"> </w:t>
      </w:r>
    </w:p>
    <w:p>
      <w:pPr>
        <w:pStyle w:val="BodyText3"/>
        <w:tabs>
          <w:tab w:val="clear" w:pos="0"/>
          <w:tab w:val="left" w:pos="426"/>
        </w:tabs>
        <w:rPr>
          <w:rFonts w:ascii="Times New Roman" w:hAnsi="Times New Roman" w:cs="Times New Roman"/>
          <w:b w:val="0"/>
          <w:bCs w:val="0"/>
          <w:lang w:val="sk-SK"/>
        </w:rPr>
      </w:pPr>
    </w:p>
    <w:p>
      <w:pPr>
        <w:pStyle w:val="BodyText3"/>
        <w:tabs>
          <w:tab w:val="clear" w:pos="0"/>
          <w:tab w:val="left" w:pos="426"/>
        </w:tabs>
        <w:rPr>
          <w:rFonts w:ascii="Times New Roman" w:hAnsi="Times New Roman" w:cs="Times New Roman"/>
          <w:b w:val="0"/>
          <w:bCs w:val="0"/>
          <w:lang w:val="sk-SK"/>
        </w:rPr>
      </w:pPr>
      <w:r>
        <w:rPr>
          <w:rFonts w:ascii="Times New Roman" w:hAnsi="Times New Roman" w:cs="Times New Roman"/>
          <w:b w:val="0"/>
          <w:bCs w:val="0"/>
          <w:lang w:val="sk-SK"/>
        </w:rPr>
        <w:t>K bodu 48</w:t>
      </w:r>
    </w:p>
    <w:p>
      <w:pPr>
        <w:pStyle w:val="a"/>
        <w:tabs>
          <w:tab w:val="left" w:pos="426"/>
        </w:tabs>
        <w:spacing w:before="0" w:after="0" w:line="240" w:lineRule="auto"/>
        <w:rPr>
          <w:rFonts w:ascii="Times New Roman" w:hAnsi="Times New Roman" w:cs="Times New Roman"/>
          <w:lang w:val="sk-SK"/>
        </w:rPr>
      </w:pPr>
    </w:p>
    <w:p>
      <w:pPr>
        <w:pStyle w:val="a"/>
        <w:tabs>
          <w:tab w:val="left" w:pos="426"/>
        </w:tabs>
        <w:spacing w:before="0" w:after="0" w:line="240" w:lineRule="auto"/>
        <w:rPr>
          <w:rFonts w:ascii="Times New Roman" w:hAnsi="Times New Roman" w:cs="Times New Roman"/>
          <w:lang w:val="sk-SK"/>
        </w:rPr>
      </w:pPr>
    </w:p>
    <w:p>
      <w:pPr>
        <w:pStyle w:val="a"/>
        <w:tabs>
          <w:tab w:val="left" w:pos="426"/>
        </w:tabs>
        <w:spacing w:before="0" w:after="0" w:line="240" w:lineRule="auto"/>
        <w:rPr>
          <w:rFonts w:ascii="Times New Roman" w:hAnsi="Times New Roman" w:cs="Times New Roman"/>
          <w:lang w:val="sk-SK"/>
        </w:rPr>
      </w:pPr>
      <w:r>
        <w:rPr>
          <w:rFonts w:ascii="Times New Roman" w:hAnsi="Times New Roman" w:cs="Times New Roman"/>
          <w:lang w:val="sk-SK"/>
        </w:rPr>
        <w:tab/>
        <w:tab/>
        <w:t>V § 122c sa v záujme jednoznačnosti výkladu zákona upravuje v rámci prechodných ustanovení, kedy a za ktoré účtovné obdobie sa začne vykonávať doplňujúci dohľad.</w:t>
      </w:r>
    </w:p>
    <w:p>
      <w:pPr>
        <w:pStyle w:val="BodyText2"/>
        <w:rPr>
          <w:rFonts w:ascii="Times New Roman" w:hAnsi="Times New Roman" w:cs="Times New Roman"/>
          <w:lang w:val="sk-SK"/>
        </w:rPr>
      </w:pPr>
    </w:p>
    <w:p>
      <w:pPr>
        <w:pStyle w:val="BodyText2"/>
        <w:rPr>
          <w:rFonts w:ascii="Times New Roman" w:hAnsi="Times New Roman" w:cs="Times New Roman"/>
          <w:lang w:val="sk-SK"/>
        </w:rPr>
      </w:pPr>
    </w:p>
    <w:p>
      <w:pPr>
        <w:pStyle w:val="BodyText2"/>
        <w:rPr>
          <w:rFonts w:ascii="Times New Roman" w:hAnsi="Times New Roman" w:cs="Times New Roman"/>
          <w:lang w:val="sk-SK"/>
        </w:rPr>
      </w:pPr>
      <w:r>
        <w:rPr>
          <w:rFonts w:ascii="Times New Roman" w:hAnsi="Times New Roman" w:cs="Times New Roman"/>
          <w:lang w:val="sk-SK"/>
        </w:rPr>
        <w:t>K bodu 49</w:t>
      </w:r>
    </w:p>
    <w:p>
      <w:pPr>
        <w:pStyle w:val="BodyText2"/>
        <w:tabs>
          <w:tab w:val="clear" w:pos="426"/>
        </w:tabs>
        <w:rPr>
          <w:rFonts w:ascii="Times New Roman" w:hAnsi="Times New Roman" w:cs="Times New Roman"/>
          <w:lang w:val="sk-SK"/>
        </w:rPr>
      </w:pPr>
    </w:p>
    <w:p>
      <w:pPr>
        <w:pStyle w:val="BodyText2"/>
        <w:tabs>
          <w:tab w:val="clear" w:pos="426"/>
        </w:tabs>
        <w:rPr>
          <w:rFonts w:ascii="Times New Roman" w:hAnsi="Times New Roman" w:cs="Times New Roman"/>
          <w:lang w:val="sk-SK"/>
        </w:rPr>
      </w:pPr>
    </w:p>
    <w:p>
      <w:pPr>
        <w:pStyle w:val="BodyText2"/>
        <w:tabs>
          <w:tab w:val="clear" w:pos="426"/>
        </w:tabs>
        <w:rPr>
          <w:rFonts w:ascii="Times New Roman" w:hAnsi="Times New Roman" w:cs="Times New Roman"/>
          <w:lang w:val="sk-SK"/>
        </w:rPr>
      </w:pPr>
      <w:r>
        <w:rPr>
          <w:rFonts w:ascii="Times New Roman" w:hAnsi="Times New Roman" w:cs="Times New Roman"/>
          <w:lang w:val="sk-SK"/>
        </w:rPr>
        <w:tab/>
        <w:t>Vzhľadom na to, že hlavným cieľom predloženej novely zákona o bankách je zapracovanie predmetnej smernice EÚ do právneho poriadku Slovenskej republiky, bolo potrebné upraviť aj prílohu k zákonu upravujúcu zoznam preberaných smerníc. Zároveň sa znenie tejto transpozičnej prílohy leg</w:t>
      </w:r>
      <w:r>
        <w:rPr>
          <w:rFonts w:ascii="Times New Roman" w:hAnsi="Times New Roman" w:cs="Times New Roman"/>
          <w:lang w:val="sk-SK"/>
        </w:rPr>
        <w:t>islatívnotechnicky zjednocuje s ostatnými zákonmi a inými všeobecne záväznými právnymi predpismi.</w:t>
      </w:r>
    </w:p>
    <w:p>
      <w:pPr>
        <w:pStyle w:val="BodyText2"/>
        <w:rPr>
          <w:rFonts w:ascii="Times New Roman" w:hAnsi="Times New Roman" w:cs="Times New Roman"/>
          <w:lang w:val="sk-SK"/>
        </w:rPr>
      </w:pPr>
    </w:p>
    <w:p>
      <w:pPr>
        <w:pStyle w:val="BodyText2"/>
        <w:rPr>
          <w:rFonts w:ascii="Times New Roman" w:hAnsi="Times New Roman" w:cs="Times New Roman"/>
          <w:lang w:val="sk-SK"/>
        </w:rPr>
      </w:pPr>
    </w:p>
    <w:p>
      <w:pPr>
        <w:pStyle w:val="BodyText2"/>
        <w:rPr>
          <w:rFonts w:ascii="Times New Roman" w:hAnsi="Times New Roman" w:cs="Times New Roman"/>
          <w:lang w:val="sk-SK"/>
        </w:rPr>
      </w:pPr>
      <w:r>
        <w:rPr>
          <w:rFonts w:ascii="Times New Roman" w:hAnsi="Times New Roman" w:cs="Times New Roman"/>
          <w:lang w:val="sk-SK"/>
        </w:rPr>
        <w:t>K článku II</w:t>
      </w:r>
    </w:p>
    <w:p>
      <w:pPr>
        <w:pStyle w:val="BodyText2"/>
        <w:rPr>
          <w:rFonts w:ascii="Times New Roman" w:hAnsi="Times New Roman" w:cs="Times New Roman"/>
          <w:lang w:val="sk-SK"/>
        </w:rPr>
      </w:pPr>
    </w:p>
    <w:p>
      <w:pPr>
        <w:pStyle w:val="BodyText2"/>
        <w:rPr>
          <w:rFonts w:ascii="Times New Roman" w:hAnsi="Times New Roman" w:cs="Times New Roman"/>
          <w:lang w:val="sk-SK"/>
        </w:rPr>
      </w:pPr>
      <w:r>
        <w:rPr>
          <w:rFonts w:ascii="Times New Roman" w:hAnsi="Times New Roman" w:cs="Times New Roman"/>
          <w:lang w:val="sk-SK"/>
        </w:rPr>
        <w:t>K bodu 1</w:t>
      </w:r>
    </w:p>
    <w:p>
      <w:pPr>
        <w:pStyle w:val="BodyText2"/>
        <w:rPr>
          <w:rFonts w:ascii="Times New Roman" w:hAnsi="Times New Roman" w:cs="Times New Roman"/>
          <w:lang w:val="sk-SK"/>
        </w:rPr>
      </w:pPr>
      <w:r>
        <w:rPr>
          <w:rFonts w:ascii="Times New Roman" w:hAnsi="Times New Roman" w:cs="Times New Roman"/>
          <w:lang w:val="sk-SK"/>
        </w:rPr>
        <w:tab/>
      </w:r>
    </w:p>
    <w:p>
      <w:pPr>
        <w:pStyle w:val="BodyText2"/>
        <w:rPr>
          <w:rFonts w:ascii="Times New Roman" w:hAnsi="Times New Roman" w:cs="Times New Roman"/>
          <w:lang w:val="sk-SK"/>
        </w:rPr>
      </w:pPr>
      <w:r>
        <w:rPr>
          <w:rFonts w:ascii="Times New Roman" w:hAnsi="Times New Roman" w:cs="Times New Roman"/>
          <w:lang w:val="sk-SK"/>
        </w:rPr>
        <w:tab/>
        <w:t>Vzhľadom na to, že Európska centrálna banka vyhlasuje kurzy mien až o 14,00 hod. každého dňa, je technický problém prepočítavať sumy osobitne regulovaných prevodov kurzom vyhláseným Európskou centrálnou bankou ku dňu účinnosti prevodného príkazu na cezhraničný prevod. Preto sa navrhuje, aby pri prepočtoch sa používal kurz vyhlásený Európskou centrálnou bankou v deň predchádzajúci dňu účinnosti prevodného príkazu.</w:t>
      </w:r>
    </w:p>
    <w:p>
      <w:pPr>
        <w:pStyle w:val="BodyText2"/>
        <w:rPr>
          <w:rFonts w:ascii="Times New Roman" w:hAnsi="Times New Roman" w:cs="Times New Roman"/>
          <w:lang w:val="sk-SK"/>
        </w:rPr>
      </w:pPr>
    </w:p>
    <w:p>
      <w:pPr>
        <w:pStyle w:val="BodyText2"/>
        <w:rPr>
          <w:rFonts w:ascii="Times New Roman" w:hAnsi="Times New Roman" w:cs="Times New Roman"/>
          <w:lang w:val="sk-SK"/>
        </w:rPr>
      </w:pPr>
    </w:p>
    <w:p>
      <w:pPr>
        <w:pStyle w:val="BodyText2"/>
        <w:rPr>
          <w:rFonts w:ascii="Times New Roman" w:hAnsi="Times New Roman" w:cs="Times New Roman"/>
          <w:lang w:val="sk-SK"/>
        </w:rPr>
      </w:pPr>
      <w:r>
        <w:rPr>
          <w:rFonts w:ascii="Times New Roman" w:hAnsi="Times New Roman" w:cs="Times New Roman"/>
          <w:lang w:val="sk-SK"/>
        </w:rPr>
        <w:t>K bodu 2</w:t>
      </w:r>
    </w:p>
    <w:p>
      <w:pPr>
        <w:pStyle w:val="BodyText2"/>
        <w:rPr>
          <w:rFonts w:ascii="Times New Roman" w:hAnsi="Times New Roman" w:cs="Times New Roman"/>
          <w:lang w:val="sk-SK"/>
        </w:rPr>
      </w:pPr>
    </w:p>
    <w:p>
      <w:pPr>
        <w:pStyle w:val="BodyText2"/>
        <w:rPr>
          <w:rFonts w:ascii="Times New Roman" w:hAnsi="Times New Roman" w:cs="Times New Roman"/>
          <w:lang w:val="sk-SK"/>
        </w:rPr>
      </w:pPr>
    </w:p>
    <w:p>
      <w:pPr>
        <w:pStyle w:val="BodyText2"/>
        <w:rPr>
          <w:rFonts w:ascii="Times New Roman" w:hAnsi="Times New Roman" w:cs="Times New Roman"/>
          <w:lang w:val="sk-SK"/>
        </w:rPr>
      </w:pPr>
      <w:r>
        <w:rPr>
          <w:rFonts w:ascii="Times New Roman" w:hAnsi="Times New Roman" w:cs="Times New Roman"/>
          <w:lang w:val="sk-SK"/>
        </w:rPr>
        <w:tab/>
        <w:t xml:space="preserve">Navrhuje sa, aby inštitúcie elektronických peňazí mohli mať uložené povinné minimálne rezervy aj priamo na svojom účte v Národnej banke Slovenska a nielen prostredníctvom účtov bánk. </w:t>
      </w:r>
    </w:p>
    <w:p>
      <w:pPr>
        <w:pStyle w:val="BodyText2"/>
        <w:tabs>
          <w:tab w:val="clear" w:pos="426"/>
        </w:tabs>
        <w:rPr>
          <w:rFonts w:ascii="Times New Roman" w:hAnsi="Times New Roman" w:cs="Times New Roman"/>
          <w:lang w:val="sk-SK"/>
        </w:rPr>
      </w:pPr>
      <w:r>
        <w:rPr>
          <w:rFonts w:ascii="Times New Roman" w:hAnsi="Times New Roman" w:cs="Times New Roman"/>
          <w:lang w:val="sk-SK"/>
        </w:rPr>
        <w:tab/>
      </w:r>
    </w:p>
    <w:p>
      <w:pPr>
        <w:pStyle w:val="BodyText2"/>
        <w:tabs>
          <w:tab w:val="clear" w:pos="426"/>
        </w:tabs>
        <w:rPr>
          <w:rFonts w:ascii="Times New Roman" w:hAnsi="Times New Roman" w:cs="Times New Roman"/>
          <w:lang w:val="sk-SK"/>
        </w:rPr>
      </w:pPr>
    </w:p>
    <w:p>
      <w:pPr>
        <w:pStyle w:val="BodyText2"/>
        <w:tabs>
          <w:tab w:val="clear" w:pos="426"/>
        </w:tabs>
        <w:rPr>
          <w:rFonts w:ascii="Times New Roman" w:hAnsi="Times New Roman" w:cs="Times New Roman"/>
          <w:lang w:val="sk-SK"/>
        </w:rPr>
      </w:pPr>
      <w:r>
        <w:rPr>
          <w:rFonts w:ascii="Times New Roman" w:hAnsi="Times New Roman" w:cs="Times New Roman"/>
          <w:lang w:val="sk-SK"/>
        </w:rPr>
        <w:t>K bodu 3</w:t>
      </w:r>
    </w:p>
    <w:p>
      <w:pPr>
        <w:pStyle w:val="BodyText2"/>
        <w:tabs>
          <w:tab w:val="clear" w:pos="426"/>
        </w:tabs>
        <w:rPr>
          <w:rFonts w:ascii="Times New Roman" w:hAnsi="Times New Roman" w:cs="Times New Roman"/>
          <w:lang w:val="sk-SK"/>
        </w:rPr>
      </w:pPr>
    </w:p>
    <w:p>
      <w:pPr>
        <w:pStyle w:val="BodyText2"/>
        <w:tabs>
          <w:tab w:val="clear" w:pos="426"/>
        </w:tabs>
        <w:ind w:firstLine="426"/>
        <w:rPr>
          <w:rFonts w:ascii="Times New Roman" w:hAnsi="Times New Roman" w:cs="Times New Roman"/>
          <w:lang w:val="sk-SK"/>
        </w:rPr>
      </w:pPr>
      <w:r>
        <w:rPr>
          <w:rFonts w:ascii="Times New Roman" w:hAnsi="Times New Roman" w:cs="Times New Roman"/>
          <w:lang w:val="sk-SK"/>
        </w:rPr>
        <w:t>Zmena navrhnutá v § 21b ods. 11 zákona č. 510/2002 Z. z. o platobnom styku a o zmene a doplnení niektorých zákonov v znení neskorších predpisov nadväzuje na novelizáciu zákona o bankách, ktorá sa týka výkonu doplňujúceho dohľadu nad finančnými konglomerátmi a vyplýva zo smernice č. 2002/87/ES zo 16. decembra 2002 o doplňujúcom dohľade nad úverovými ústavmi, poisťovňami a investičnými spoločnosťami vo finančnom konglomeráte. Úverovými ústavmi sú v zmysle základnej bankovej smernice č. 2000/12/ES z 20. marca 2000 o zakladaní a podnikaní úverových ústavov v znení neskorších zmien okrem bánk aj inštitúcie elektronických peňazí. Vzhľadom na to, že inštitúcie elektronických peňazí upravuje zákon č. 510/2002 Z. z. o platobnom styku a o zmene a doplnení niektorých zákonov v znení neskorších predpisov, bolo potrebné vo vzťahu k novej úprave doplňujúceho dohľadu nad osobami v rámci finančného konglomerátu podľa zákona o bankách upraviť aj zákon o platobnom styku tak, že na inštitúcie elektronických peňazí sa vzťahujú ustanovenia o doplňujúcom dohľade rovnako ako na banky.</w:t>
      </w: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bodom 4 a 5</w:t>
      </w:r>
    </w:p>
    <w:p>
      <w:pPr>
        <w:pStyle w:val="Title"/>
        <w:jc w:val="both"/>
        <w:rPr>
          <w:rFonts w:ascii="Times New Roman" w:hAnsi="Times New Roman" w:cs="Times New Roman"/>
          <w:b w:val="0"/>
          <w:bCs w:val="0"/>
          <w:sz w:val="24"/>
          <w:lang w:val="sk-SK"/>
        </w:rPr>
      </w:pP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ab/>
        <w:t>Upravujú sa ustanovenia § 32 ods. 1 písm. f), § 40 ods. 2 písm. e) a § 50 ods. 2      písm. b) vzhľadom na to, že podniky pomocných bankových služieb nemôžu vykonávať platobný styk, ale iba činnosti uvedené v § 25 ods. 7 zákona č. 483/2001 Z. z. o bankách.</w:t>
      </w: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bodom 6 a 7</w:t>
      </w:r>
    </w:p>
    <w:p>
      <w:pPr>
        <w:pStyle w:val="Title"/>
        <w:jc w:val="both"/>
        <w:rPr>
          <w:rFonts w:ascii="Times New Roman" w:hAnsi="Times New Roman" w:cs="Times New Roman"/>
          <w:b w:val="0"/>
          <w:bCs w:val="0"/>
          <w:sz w:val="24"/>
          <w:lang w:val="sk-SK"/>
        </w:rPr>
      </w:pPr>
    </w:p>
    <w:p>
      <w:pPr>
        <w:pStyle w:val="a"/>
        <w:tabs>
          <w:tab w:val="left" w:pos="426"/>
        </w:tabs>
        <w:spacing w:before="0" w:after="0" w:line="240" w:lineRule="auto"/>
        <w:rPr>
          <w:rFonts w:ascii="Times New Roman" w:hAnsi="Times New Roman" w:cs="Times New Roman"/>
          <w:lang w:val="sk-SK"/>
        </w:rPr>
      </w:pPr>
      <w:r>
        <w:rPr>
          <w:rFonts w:ascii="Times New Roman" w:hAnsi="Times New Roman" w:cs="Times New Roman"/>
          <w:lang w:val="sk-SK"/>
        </w:rPr>
        <w:tab/>
        <w:t xml:space="preserve">Z dôvodu zjednotenia s ostatnými zákonmi a inými všeobecne záväznými právnymi predpismi sa legislatívnotechnicky upravuje transpozičné ustanovenie a transpozičná príloha.. </w:t>
      </w: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č</w:t>
      </w:r>
      <w:r>
        <w:rPr>
          <w:rFonts w:ascii="Times New Roman" w:hAnsi="Times New Roman" w:cs="Times New Roman"/>
          <w:b w:val="0"/>
          <w:bCs w:val="0"/>
          <w:sz w:val="24"/>
          <w:lang w:val="sk-SK"/>
        </w:rPr>
        <w:t>lánku III</w:t>
      </w:r>
    </w:p>
    <w:p>
      <w:pPr>
        <w:pStyle w:val="Title"/>
        <w:jc w:val="both"/>
        <w:rPr>
          <w:rFonts w:ascii="Times New Roman" w:hAnsi="Times New Roman" w:cs="Times New Roman"/>
          <w:b w:val="0"/>
          <w:bCs w:val="0"/>
          <w:sz w:val="24"/>
          <w:lang w:val="sk-SK"/>
        </w:rPr>
      </w:pPr>
    </w:p>
    <w:p>
      <w:pPr>
        <w:pStyle w:val="BodyTextIndent3"/>
        <w:ind w:firstLine="0"/>
        <w:rPr>
          <w:rFonts w:ascii="Times New Roman" w:hAnsi="Times New Roman" w:cs="Times New Roman"/>
          <w:lang w:val="sk-SK"/>
        </w:rPr>
      </w:pPr>
      <w:r>
        <w:rPr>
          <w:rFonts w:ascii="Times New Roman" w:hAnsi="Times New Roman" w:cs="Times New Roman"/>
          <w:lang w:val="sk-SK"/>
        </w:rPr>
        <w:tab/>
        <w:t xml:space="preserve">Navrhnutými úpravami zákona o ochrane vkladov sa reaguje jednak na navrhované úpravy zákona o bankách </w:t>
      </w:r>
      <w:r>
        <w:rPr>
          <w:rFonts w:ascii="Symbol" w:hAnsi="Symbol" w:cs="Times New Roman"/>
          <w:lang w:val="sk-SK"/>
        </w:rPr>
        <w:t>[</w:t>
      </w:r>
      <w:r>
        <w:rPr>
          <w:rFonts w:ascii="Times New Roman" w:hAnsi="Times New Roman" w:cs="Times New Roman"/>
          <w:lang w:val="sk-SK"/>
        </w:rPr>
        <w:t>doplnením bodu 6 do § 3 ods. 3 písm. c) zákona o ochrane vkladov</w:t>
      </w:r>
      <w:r>
        <w:rPr>
          <w:rFonts w:ascii="Symbol" w:hAnsi="Symbol" w:cs="Times New Roman"/>
          <w:lang w:val="sk-SK"/>
        </w:rPr>
        <w:t>]</w:t>
      </w:r>
      <w:r>
        <w:rPr>
          <w:rFonts w:ascii="Times New Roman" w:hAnsi="Times New Roman" w:cs="Times New Roman"/>
          <w:lang w:val="sk-SK"/>
        </w:rPr>
        <w:t xml:space="preserve">, ako aj na nový zákon č. 43/2004 Z. z. o starobnom dôchodkovom sporení </w:t>
      </w:r>
      <w:r>
        <w:rPr>
          <w:rFonts w:ascii="Symbol" w:hAnsi="Symbol" w:cs="Times New Roman"/>
          <w:lang w:val="sk-SK"/>
        </w:rPr>
        <w:t>[</w:t>
      </w:r>
      <w:r>
        <w:rPr>
          <w:rFonts w:ascii="Times New Roman" w:hAnsi="Times New Roman" w:cs="Times New Roman"/>
          <w:lang w:val="sk-SK"/>
        </w:rPr>
        <w:t>dop</w:t>
      </w:r>
      <w:r>
        <w:rPr>
          <w:rFonts w:ascii="Times New Roman" w:hAnsi="Times New Roman" w:cs="Times New Roman"/>
          <w:lang w:val="sk-SK"/>
        </w:rPr>
        <w:t>lnením ustanovenia § 3 ods. 3 písm. c) bodu 1 zákona o ochrane vkladov</w:t>
      </w:r>
      <w:r>
        <w:rPr>
          <w:rFonts w:ascii="Symbol" w:hAnsi="Symbol" w:cs="Times New Roman"/>
          <w:lang w:val="sk-SK"/>
        </w:rPr>
        <w:t>]</w:t>
      </w:r>
      <w:r>
        <w:rPr>
          <w:rFonts w:ascii="Times New Roman" w:hAnsi="Times New Roman" w:cs="Times New Roman"/>
          <w:lang w:val="sk-SK"/>
        </w:rPr>
        <w:t xml:space="preserve"> a na nový zákon č. 594/2003 Z. z. o kolektívnom investovaní </w:t>
      </w:r>
      <w:r>
        <w:rPr>
          <w:rFonts w:ascii="Symbol" w:hAnsi="Symbol" w:cs="Times New Roman"/>
          <w:lang w:val="sk-SK"/>
        </w:rPr>
        <w:t>[</w:t>
      </w:r>
      <w:r>
        <w:rPr>
          <w:rFonts w:ascii="Times New Roman" w:hAnsi="Times New Roman" w:cs="Times New Roman"/>
          <w:lang w:val="sk-SK"/>
        </w:rPr>
        <w:t>úpravou poznámok pod čiarou k odkazom 5g, 5l a 7c</w:t>
      </w:r>
      <w:r>
        <w:rPr>
          <w:rFonts w:ascii="Symbol" w:hAnsi="Symbol" w:cs="Times New Roman"/>
          <w:lang w:val="sk-SK"/>
        </w:rPr>
        <w:t>]</w:t>
      </w:r>
      <w:r>
        <w:rPr>
          <w:rFonts w:ascii="Times New Roman" w:hAnsi="Times New Roman" w:cs="Times New Roman"/>
          <w:lang w:val="sk-SK"/>
        </w:rPr>
        <w:t>.</w:t>
      </w: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ab/>
        <w:t>Zároveň sa navrhuje upraviť znenie § 3 ods. 3 písm. c) bodu 3 zákona o ochrane vkladov a doplniť</w:t>
      </w:r>
      <w:r>
        <w:rPr>
          <w:rFonts w:ascii="Times New Roman" w:hAnsi="Times New Roman" w:cs="Times New Roman"/>
          <w:b w:val="0"/>
          <w:bCs w:val="0"/>
          <w:iCs/>
          <w:sz w:val="24"/>
          <w:lang w:val="sk-SK"/>
        </w:rPr>
        <w:t xml:space="preserve"> nový odsek 4</w:t>
      </w:r>
      <w:r>
        <w:rPr>
          <w:rFonts w:ascii="Times New Roman" w:hAnsi="Times New Roman" w:cs="Times New Roman"/>
          <w:b w:val="0"/>
          <w:bCs w:val="0"/>
          <w:sz w:val="24"/>
          <w:lang w:val="sk-SK"/>
        </w:rPr>
        <w:t xml:space="preserve"> do </w:t>
      </w:r>
      <w:r>
        <w:rPr>
          <w:rFonts w:ascii="Times New Roman" w:hAnsi="Times New Roman" w:cs="Times New Roman"/>
          <w:b w:val="0"/>
          <w:bCs w:val="0"/>
          <w:iCs/>
          <w:sz w:val="24"/>
          <w:lang w:val="sk-SK"/>
        </w:rPr>
        <w:t xml:space="preserve">§ 26 </w:t>
      </w:r>
      <w:r>
        <w:rPr>
          <w:rFonts w:ascii="Times New Roman" w:hAnsi="Times New Roman" w:cs="Times New Roman"/>
          <w:b w:val="0"/>
          <w:bCs w:val="0"/>
          <w:sz w:val="24"/>
          <w:lang w:val="sk-SK"/>
        </w:rPr>
        <w:t xml:space="preserve">tak, aby sa zjednodušilo rozlišovanie a zisťovanie tých právnických osôb, ktorých vklady sú vylúčené zo systému ochrany vkladov podľa § 3 ods. 3 písm. c) bodu 3 zákona o ochrane vkladov. Pritom sa vkladateľom, ktorí sú obchodnou spoločnosťou alebo družstvom, ukladá zákonná povinnosť písomne oznamovať skutočnosti, </w:t>
      </w:r>
    </w:p>
    <w:p>
      <w:pPr>
        <w:pStyle w:val="Title"/>
        <w:ind w:left="0" w:firstLine="0"/>
        <w:jc w:val="both"/>
        <w:rPr>
          <w:rFonts w:ascii="Times New Roman" w:hAnsi="Times New Roman" w:cs="Times New Roman"/>
          <w:b w:val="0"/>
          <w:bCs w:val="0"/>
          <w:sz w:val="24"/>
          <w:lang w:val="sk-SK"/>
        </w:rPr>
      </w:pP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 xml:space="preserve">ktoré sú týmto vkladateľom známe, pričom sú rozhodujúce pre rozlišovanie zákonom chránených vkladov a zákonom nechránených vkladov (teda ukladá sa </w:t>
      </w:r>
      <w:r>
        <w:rPr>
          <w:rFonts w:ascii="Times New Roman" w:hAnsi="Times New Roman" w:cs="Times New Roman"/>
          <w:b w:val="0"/>
          <w:bCs w:val="0"/>
          <w:sz w:val="24"/>
          <w:lang w:val="sk-SK"/>
        </w:rPr>
        <w:t xml:space="preserve">písomné oznamovanie existencie alebo neexistenciu </w:t>
      </w:r>
      <w:r>
        <w:rPr>
          <w:rFonts w:ascii="Times New Roman" w:hAnsi="Times New Roman" w:cs="Times New Roman"/>
          <w:b w:val="0"/>
          <w:bCs w:val="0"/>
          <w:iCs/>
          <w:sz w:val="24"/>
          <w:lang w:val="sk-SK"/>
        </w:rPr>
        <w:t xml:space="preserve">povinnosti vkladateľa dať si urobiť audit účtovnej závierky). Bez uloženia navrhovanej povinnosti </w:t>
      </w:r>
      <w:r>
        <w:rPr>
          <w:rFonts w:ascii="Times New Roman" w:hAnsi="Times New Roman" w:cs="Times New Roman"/>
          <w:b w:val="0"/>
          <w:bCs w:val="0"/>
          <w:sz w:val="24"/>
          <w:lang w:val="sk-SK"/>
        </w:rPr>
        <w:t xml:space="preserve">vkladateľom, ktorí sú obchodnou spoločnosťou alebo družstvom, </w:t>
      </w:r>
      <w:r>
        <w:rPr>
          <w:rFonts w:ascii="Times New Roman" w:hAnsi="Times New Roman" w:cs="Times New Roman"/>
          <w:b w:val="0"/>
          <w:bCs w:val="0"/>
          <w:iCs/>
          <w:sz w:val="24"/>
          <w:lang w:val="sk-SK"/>
        </w:rPr>
        <w:t xml:space="preserve">by banky mohli potrebné informácie (skutočnosti) zisťovať len administratívne mimoriadne komplikovaným spôsobom a postupom. Výnimkou z tejto oznamovacej povinnosti majú akciové spoločnosti preto, lebo všetky akciové spoločnosti majú priamo zo zákona (bez ohľadu na ich ekonomickú situáciu alebo iné skutočnosti) povinnosť dať si overiť účtovnú závierku audítorom. V rámci navrhovaného </w:t>
      </w:r>
      <w:r>
        <w:rPr>
          <w:rFonts w:ascii="Times New Roman" w:hAnsi="Times New Roman" w:cs="Times New Roman"/>
          <w:b w:val="0"/>
          <w:bCs w:val="0"/>
          <w:sz w:val="24"/>
          <w:lang w:val="sk-SK"/>
        </w:rPr>
        <w:t>§ 3 ods. 3 písm. c) nového bodu 3b a </w:t>
      </w:r>
      <w:r>
        <w:rPr>
          <w:rFonts w:ascii="Times New Roman" w:hAnsi="Times New Roman" w:cs="Times New Roman"/>
          <w:b w:val="0"/>
          <w:bCs w:val="0"/>
          <w:iCs/>
          <w:sz w:val="24"/>
          <w:lang w:val="sk-SK"/>
        </w:rPr>
        <w:t>§ 26 nového odseku 4</w:t>
      </w:r>
      <w:r>
        <w:rPr>
          <w:rFonts w:ascii="Times New Roman" w:hAnsi="Times New Roman" w:cs="Times New Roman"/>
          <w:b w:val="0"/>
          <w:bCs w:val="0"/>
          <w:sz w:val="24"/>
          <w:lang w:val="sk-SK"/>
        </w:rPr>
        <w:t xml:space="preserve"> sa tiež upravuje vylúčenie vkladov zo zákonnej ochrany pre prípad, že vkladatelia, ktorí sú obchodnou spoločnosťou alebo družstvom, si nesplnia navrhovanú zákonnú oznamovaciu povinnosť. Týmto sa zabezpečí úplne jednoznačné eliminovanie pochybností v bankovej praxi o tom, či vklad patrí alebo nepatrí medzi zákonom chránené vklady v prípade, ak jeho vkladateľ (obchodná spoločnosť alebo družstvo), neoznámi banke, či musí alebo nemusí mať svoju účtovnú závierku overenú audítorom. Zároveň sa z dôvodu zjednotenia s ostatnými zákonmi a inými všeobecne záväznými právnymi predpismi legislatívnotechnicky dopĺňa transpozičné ustanovenie a transpozičná príloha.</w:t>
      </w:r>
    </w:p>
    <w:p>
      <w:pPr>
        <w:tabs>
          <w:tab w:val="left" w:pos="426"/>
        </w:tabs>
        <w:jc w:val="both"/>
        <w:rPr>
          <w:rFonts w:ascii="Times New Roman" w:hAnsi="Times New Roman" w:cs="Times New Roman"/>
        </w:rPr>
      </w:pPr>
    </w:p>
    <w:p>
      <w:pPr>
        <w:tabs>
          <w:tab w:val="left" w:pos="426"/>
        </w:tabs>
        <w:jc w:val="both"/>
        <w:rPr>
          <w:rFonts w:ascii="Times New Roman" w:hAnsi="Times New Roman" w:cs="Times New Roman"/>
        </w:rPr>
      </w:pPr>
      <w:r>
        <w:rPr>
          <w:rFonts w:ascii="Times New Roman" w:hAnsi="Times New Roman" w:cs="Times New Roman"/>
        </w:rPr>
        <w:tab/>
        <w:tab/>
      </w:r>
    </w:p>
    <w:p>
      <w:pPr>
        <w:pStyle w:val="Title"/>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článku IV</w:t>
      </w:r>
    </w:p>
    <w:p>
      <w:pPr>
        <w:pStyle w:val="Title"/>
        <w:jc w:val="both"/>
        <w:rPr>
          <w:rFonts w:ascii="Times New Roman" w:hAnsi="Times New Roman" w:cs="Times New Roman"/>
          <w:b w:val="0"/>
          <w:bCs w:val="0"/>
          <w:sz w:val="24"/>
          <w:lang w:val="sk-SK"/>
        </w:rPr>
      </w:pPr>
    </w:p>
    <w:p>
      <w:pPr>
        <w:pStyle w:val="BodyTextIndent3"/>
        <w:ind w:firstLine="0"/>
        <w:rPr>
          <w:rFonts w:ascii="Times New Roman" w:hAnsi="Times New Roman" w:cs="Times New Roman"/>
          <w:lang w:val="sk-SK"/>
        </w:rPr>
      </w:pPr>
      <w:r>
        <w:rPr>
          <w:rFonts w:ascii="Times New Roman" w:hAnsi="Times New Roman" w:cs="Times New Roman"/>
          <w:lang w:val="sk-SK"/>
        </w:rPr>
        <w:tab/>
        <w:t>Navrhnutými úpravami Devízového zákona (zákona NR SR č.</w:t>
      </w:r>
      <w:r>
        <w:rPr>
          <w:rFonts w:ascii="Symbol" w:hAnsi="Symbol" w:cs="Times New Roman"/>
          <w:lang w:val="sk-SK"/>
        </w:rPr>
        <w:sym w:font="Symbol" w:char="F020"/>
      </w:r>
      <w:r>
        <w:rPr>
          <w:rFonts w:ascii="Times New Roman" w:hAnsi="Times New Roman" w:cs="Times New Roman"/>
          <w:lang w:val="sk-SK"/>
        </w:rPr>
        <w:t>202/1995</w:t>
      </w:r>
      <w:r>
        <w:rPr>
          <w:rFonts w:ascii="Symbol" w:hAnsi="Symbol" w:cs="Times New Roman"/>
          <w:lang w:val="sk-SK"/>
        </w:rPr>
        <w:sym w:font="Symbol" w:char="F020"/>
      </w:r>
      <w:r>
        <w:rPr>
          <w:rFonts w:ascii="Times New Roman" w:hAnsi="Times New Roman" w:cs="Times New Roman"/>
          <w:lang w:val="sk-SK"/>
        </w:rPr>
        <w:t>Z.</w:t>
      </w:r>
      <w:r>
        <w:rPr>
          <w:rFonts w:ascii="Symbol" w:hAnsi="Symbol" w:cs="Times New Roman"/>
          <w:lang w:val="sk-SK"/>
        </w:rPr>
        <w:sym w:font="Symbol" w:char="F020"/>
      </w:r>
      <w:r>
        <w:rPr>
          <w:rFonts w:ascii="Times New Roman" w:hAnsi="Times New Roman" w:cs="Times New Roman"/>
          <w:lang w:val="sk-SK"/>
        </w:rPr>
        <w:t>z. v znení neskorších predpisov) sa v rámci bodu</w:t>
      </w:r>
      <w:r>
        <w:rPr>
          <w:rFonts w:ascii="Symbol" w:hAnsi="Symbol" w:cs="Times New Roman"/>
          <w:lang w:val="sk-SK"/>
        </w:rPr>
        <w:sym w:font="Symbol" w:char="F020"/>
      </w:r>
      <w:r>
        <w:rPr>
          <w:rFonts w:ascii="Times New Roman" w:hAnsi="Times New Roman" w:cs="Times New Roman"/>
          <w:lang w:val="sk-SK"/>
        </w:rPr>
        <w:t>3 spresňuje okruh ohlasovaných skutočností, ktoré podliehajú devízovej ohlasovacej povinnosti tak, aby okruh týchto skutočností bol celkom jednoznačne zrejmý predovšetkým vo vzťahu k organizačným zložkám cudzozemcov v tuzemsku vrátane organizačných zložiek takých cudzozemcov, ktorí tvoria súčasť finančných konglomerátov. Súčasne sa v rámci bodu</w:t>
      </w:r>
      <w:r>
        <w:rPr>
          <w:rFonts w:ascii="Symbol" w:hAnsi="Symbol" w:cs="Times New Roman"/>
          <w:lang w:val="sk-SK"/>
        </w:rPr>
        <w:sym w:font="Symbol" w:char="F020"/>
      </w:r>
      <w:r>
        <w:rPr>
          <w:rFonts w:ascii="Times New Roman" w:hAnsi="Times New Roman" w:cs="Times New Roman"/>
          <w:lang w:val="sk-SK"/>
        </w:rPr>
        <w:t>4 spresňujú povinnosti devízových miest (predovšetkým bánk a pobočiek zahraničných bánk) v oblasti vykonávania cezhraničných (devízových) prevodov peňažných prostriedkov. Okrem toho sa v rámci bodov</w:t>
      </w:r>
      <w:r>
        <w:rPr>
          <w:rFonts w:ascii="Symbol" w:hAnsi="Symbol" w:cs="Times New Roman"/>
          <w:lang w:val="sk-SK"/>
        </w:rPr>
        <w:sym w:font="Symbol" w:char="F020"/>
      </w:r>
      <w:r>
        <w:rPr>
          <w:rFonts w:ascii="Times New Roman" w:hAnsi="Times New Roman" w:cs="Times New Roman"/>
          <w:lang w:val="sk-SK"/>
        </w:rPr>
        <w:t>1 a</w:t>
      </w:r>
      <w:r>
        <w:rPr>
          <w:rFonts w:ascii="Symbol" w:hAnsi="Symbol" w:cs="Times New Roman"/>
          <w:lang w:val="sk-SK"/>
        </w:rPr>
        <w:sym w:font="Symbol" w:char="F020"/>
      </w:r>
      <w:r>
        <w:rPr>
          <w:rFonts w:ascii="Times New Roman" w:hAnsi="Times New Roman" w:cs="Times New Roman"/>
          <w:lang w:val="sk-SK"/>
        </w:rPr>
        <w:t>2 spresňujú všeobecné podmienky, ktoré musia splniť žiadatelia o devízovú licenciu.</w:t>
      </w: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Bodmi 5 a 6 sa odstraňujú chyby v Devízovom zákone, ktoré zostali po jeho ostatnej novele (vykonanej zákonom č.</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602/2003</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Z.</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z. účinným od 1.</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1.</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 xml:space="preserve">2004) tým, že sa zmeny nepremietli do všetkých súvisiacich ustanovení. V bodoch 7 a 8 sa z dôvodu zjednotenia s ostatnými zákonmi a inými všeobecne záväznými právnymi predpismi legislatívnotechnicky upravuje transpozičné ustanovenie a transpozičné prílohy. </w:t>
      </w:r>
    </w:p>
    <w:p>
      <w:pPr>
        <w:tabs>
          <w:tab w:val="left" w:pos="426"/>
        </w:tabs>
        <w:jc w:val="both"/>
        <w:rPr>
          <w:rFonts w:ascii="Times New Roman" w:hAnsi="Times New Roman" w:cs="Times New Roman"/>
        </w:rPr>
      </w:pPr>
      <w:r>
        <w:rPr>
          <w:rFonts w:ascii="Times New Roman" w:hAnsi="Times New Roman" w:cs="Times New Roman"/>
        </w:rPr>
        <w:tab/>
        <w:tab/>
      </w:r>
    </w:p>
    <w:p>
      <w:pPr>
        <w:pStyle w:val="Title"/>
        <w:ind w:left="0" w:firstLine="0"/>
        <w:jc w:val="both"/>
        <w:rPr>
          <w:rFonts w:ascii="Times New Roman" w:hAnsi="Times New Roman" w:cs="Times New Roman"/>
          <w:b w:val="0"/>
          <w:bCs w:val="0"/>
          <w:sz w:val="24"/>
          <w:lang w:val="sk-SK"/>
        </w:rPr>
      </w:pP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článku V</w:t>
      </w:r>
    </w:p>
    <w:p>
      <w:pPr>
        <w:pStyle w:val="Title"/>
        <w:ind w:left="0" w:firstLine="0"/>
        <w:jc w:val="both"/>
        <w:rPr>
          <w:rFonts w:ascii="Times New Roman" w:hAnsi="Times New Roman" w:cs="Times New Roman"/>
          <w:b w:val="0"/>
          <w:bCs w:val="0"/>
          <w:sz w:val="24"/>
          <w:lang w:val="sk-SK"/>
        </w:rPr>
      </w:pPr>
    </w:p>
    <w:p>
      <w:pPr>
        <w:pStyle w:val="Title"/>
        <w:ind w:left="0" w:firstLine="0"/>
        <w:jc w:val="both"/>
        <w:rPr>
          <w:rFonts w:ascii="Times New Roman" w:hAnsi="Times New Roman" w:cs="Times New Roman"/>
          <w:b w:val="0"/>
          <w:bCs w:val="0"/>
          <w:sz w:val="24"/>
          <w:lang w:val="sk-SK"/>
        </w:rPr>
      </w:pPr>
    </w:p>
    <w:p>
      <w:pPr>
        <w:pStyle w:val="Title"/>
        <w:ind w:left="0" w:firstLine="0"/>
        <w:jc w:val="both"/>
        <w:rPr>
          <w:rFonts w:ascii="Times New Roman" w:hAnsi="Times New Roman" w:cs="Times New Roman"/>
          <w:b w:val="0"/>
          <w:bCs w:val="0"/>
          <w:sz w:val="24"/>
          <w:lang w:val="sk-SK"/>
        </w:rPr>
      </w:pPr>
      <w:r>
        <w:rPr>
          <w:rFonts w:ascii="Times New Roman" w:hAnsi="Times New Roman" w:cs="Times New Roman"/>
          <w:b w:val="0"/>
          <w:bCs w:val="0"/>
          <w:sz w:val="24"/>
          <w:lang w:val="sk-SK"/>
        </w:rPr>
        <w:tab/>
        <w:t>Vzhľadom na veľký rozsah úprav zákona o bankách navrhuje sa splnomocniť predsedu Národnej rady Slovenskej republiky na vydanie úplného znenia zákona o bankách.</w:t>
      </w: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p>
    <w:p>
      <w:pPr>
        <w:pStyle w:val="Title"/>
        <w:jc w:val="both"/>
        <w:rPr>
          <w:rFonts w:ascii="Times New Roman" w:hAnsi="Times New Roman" w:cs="Times New Roman"/>
          <w:b w:val="0"/>
          <w:bCs w:val="0"/>
          <w:sz w:val="24"/>
          <w:lang w:val="sk-SK"/>
        </w:rPr>
      </w:pPr>
      <w:r>
        <w:rPr>
          <w:rFonts w:ascii="Times New Roman" w:hAnsi="Times New Roman" w:cs="Times New Roman"/>
          <w:b w:val="0"/>
          <w:bCs w:val="0"/>
          <w:sz w:val="24"/>
          <w:lang w:val="sk-SK"/>
        </w:rPr>
        <w:t>K článku VI</w:t>
      </w:r>
    </w:p>
    <w:p>
      <w:pPr>
        <w:pStyle w:val="Title"/>
        <w:jc w:val="both"/>
        <w:rPr>
          <w:rFonts w:ascii="Times New Roman" w:hAnsi="Times New Roman" w:cs="Times New Roman"/>
          <w:b w:val="0"/>
          <w:bCs w:val="0"/>
          <w:sz w:val="24"/>
          <w:lang w:val="sk-SK"/>
        </w:rPr>
      </w:pPr>
    </w:p>
    <w:p>
      <w:pPr>
        <w:pStyle w:val="Title"/>
        <w:tabs>
          <w:tab w:val="clear" w:pos="0"/>
        </w:tabs>
        <w:ind w:left="0" w:firstLine="720"/>
        <w:jc w:val="both"/>
        <w:rPr>
          <w:rFonts w:ascii="Times New Roman" w:hAnsi="Times New Roman" w:cs="Times New Roman"/>
          <w:b w:val="0"/>
          <w:bCs w:val="0"/>
          <w:sz w:val="24"/>
          <w:lang w:val="sk-SK"/>
        </w:rPr>
      </w:pPr>
      <w:r>
        <w:rPr>
          <w:rFonts w:ascii="Times New Roman" w:hAnsi="Times New Roman" w:cs="Times New Roman"/>
          <w:b w:val="0"/>
          <w:bCs w:val="0"/>
          <w:sz w:val="24"/>
          <w:lang w:val="sk-SK"/>
        </w:rPr>
        <w:t>Vzhľadom na predpokladanú dĺžku legislatívneho procesu a zároveň vzhľadom na dôležitosť navrhovaných legislatívnych úprav sa termín nadobudnutia účinnosti predkladaného návrhu novely zákona o bankách navrhuje na 1.</w:t>
      </w:r>
      <w:r>
        <w:rPr>
          <w:rFonts w:ascii="Symbol" w:hAnsi="Symbol" w:cs="Times New Roman"/>
          <w:b w:val="0"/>
          <w:bCs w:val="0"/>
          <w:sz w:val="24"/>
          <w:lang w:val="sk-SK"/>
        </w:rPr>
        <w:sym w:font="Symbol" w:char="F020"/>
      </w:r>
      <w:r>
        <w:rPr>
          <w:rFonts w:ascii="Times New Roman" w:hAnsi="Times New Roman" w:cs="Times New Roman"/>
          <w:b w:val="0"/>
          <w:bCs w:val="0"/>
          <w:sz w:val="24"/>
          <w:lang w:val="sk-SK"/>
        </w:rPr>
        <w:t>január 2005.</w:t>
      </w:r>
    </w:p>
    <w:p>
      <w:pPr>
        <w:pStyle w:val="Title"/>
        <w:tabs>
          <w:tab w:val="clear" w:pos="0"/>
        </w:tabs>
        <w:ind w:left="0" w:firstLine="720"/>
        <w:jc w:val="both"/>
        <w:rPr>
          <w:rFonts w:ascii="Times New Roman" w:hAnsi="Times New Roman" w:cs="Times New Roman"/>
          <w:b w:val="0"/>
          <w:bCs w:val="0"/>
          <w:sz w:val="24"/>
          <w:lang w:val="sk-SK"/>
        </w:rPr>
      </w:pPr>
    </w:p>
    <w:p>
      <w:pPr>
        <w:pStyle w:val="Title"/>
        <w:tabs>
          <w:tab w:val="clear" w:pos="0"/>
        </w:tabs>
        <w:ind w:left="0" w:firstLine="720"/>
        <w:jc w:val="both"/>
        <w:rPr>
          <w:rFonts w:ascii="Times New Roman" w:hAnsi="Times New Roman" w:cs="Times New Roman"/>
          <w:b w:val="0"/>
          <w:bCs w:val="0"/>
          <w:sz w:val="24"/>
          <w:lang w:val="sk-SK"/>
        </w:rPr>
      </w:pPr>
    </w:p>
    <w:p>
      <w:pPr>
        <w:pStyle w:val="Title"/>
        <w:tabs>
          <w:tab w:val="clear" w:pos="0"/>
        </w:tabs>
        <w:ind w:left="0" w:firstLine="720"/>
        <w:jc w:val="both"/>
        <w:rPr>
          <w:rFonts w:ascii="Times New Roman" w:hAnsi="Times New Roman" w:cs="Times New Roman"/>
          <w:b w:val="0"/>
          <w:bCs w:val="0"/>
          <w:sz w:val="24"/>
          <w:lang w:val="sk-SK"/>
        </w:rPr>
      </w:pPr>
    </w:p>
    <w:p>
      <w:pPr>
        <w:pStyle w:val="BodyTextIndent"/>
        <w:ind w:left="90" w:firstLine="630"/>
        <w:rPr>
          <w:rFonts w:ascii="Times New Roman" w:hAnsi="Times New Roman" w:cs="Times New Roman"/>
        </w:rPr>
      </w:pPr>
      <w:r>
        <w:rPr>
          <w:rFonts w:ascii="Times New Roman" w:hAnsi="Times New Roman" w:cs="Times New Roman"/>
        </w:rPr>
        <w:t>Bratislava 16. júna 2004</w:t>
      </w: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Indent"/>
        <w:ind w:left="90" w:firstLine="630"/>
        <w:rPr>
          <w:rFonts w:ascii="Times New Roman" w:hAnsi="Times New Roman" w:cs="Times New Roman"/>
        </w:rPr>
      </w:pPr>
    </w:p>
    <w:p>
      <w:pPr>
        <w:pStyle w:val="BodyText"/>
        <w:ind w:firstLine="720"/>
        <w:jc w:val="center"/>
        <w:rPr>
          <w:rFonts w:ascii="Times New Roman" w:hAnsi="Times New Roman" w:cs="Times New Roman"/>
          <w:sz w:val="24"/>
        </w:rPr>
      </w:pPr>
      <w:r>
        <w:rPr>
          <w:rFonts w:ascii="Times New Roman" w:hAnsi="Times New Roman" w:cs="Times New Roman"/>
          <w:sz w:val="24"/>
        </w:rPr>
        <w:t xml:space="preserve">Mikuláš   D z u r i n d a, v.r. </w:t>
      </w:r>
    </w:p>
    <w:p>
      <w:pPr>
        <w:pStyle w:val="BodyText"/>
        <w:ind w:firstLine="720"/>
        <w:jc w:val="center"/>
        <w:rPr>
          <w:rFonts w:ascii="Times New Roman" w:hAnsi="Times New Roman" w:cs="Times New Roman"/>
          <w:sz w:val="24"/>
        </w:rPr>
      </w:pPr>
      <w:r>
        <w:rPr>
          <w:rFonts w:ascii="Times New Roman" w:hAnsi="Times New Roman" w:cs="Times New Roman"/>
          <w:sz w:val="24"/>
        </w:rPr>
        <w:t>predseda vlády Slovenskej republiky</w:t>
      </w:r>
    </w:p>
    <w:p>
      <w:pPr>
        <w:pStyle w:val="BodyText"/>
        <w:ind w:firstLine="720"/>
        <w:jc w:val="center"/>
        <w:rPr>
          <w:rFonts w:ascii="Times New Roman" w:hAnsi="Times New Roman" w:cs="Times New Roman"/>
          <w:sz w:val="24"/>
        </w:rPr>
      </w:pPr>
    </w:p>
    <w:p>
      <w:pPr>
        <w:pStyle w:val="BodyText"/>
        <w:ind w:firstLine="720"/>
        <w:jc w:val="center"/>
        <w:rPr>
          <w:rFonts w:ascii="Times New Roman" w:hAnsi="Times New Roman" w:cs="Times New Roman"/>
          <w:sz w:val="24"/>
        </w:rPr>
      </w:pPr>
    </w:p>
    <w:p>
      <w:pPr>
        <w:pStyle w:val="BodyText"/>
        <w:ind w:firstLine="720"/>
        <w:jc w:val="center"/>
        <w:rPr>
          <w:rFonts w:ascii="Times New Roman" w:hAnsi="Times New Roman" w:cs="Times New Roman"/>
          <w:sz w:val="24"/>
        </w:rPr>
      </w:pPr>
      <w:r>
        <w:rPr>
          <w:rFonts w:ascii="Times New Roman" w:hAnsi="Times New Roman" w:cs="Times New Roman"/>
          <w:sz w:val="24"/>
        </w:rPr>
        <w:t xml:space="preserve">Ivan  M i k l o š, v.r. </w:t>
      </w:r>
    </w:p>
    <w:p>
      <w:pPr>
        <w:pStyle w:val="BodyText"/>
        <w:ind w:firstLine="720"/>
        <w:jc w:val="center"/>
        <w:rPr>
          <w:rFonts w:ascii="Times New Roman" w:hAnsi="Times New Roman" w:cs="Times New Roman"/>
          <w:sz w:val="24"/>
        </w:rPr>
      </w:pPr>
      <w:r>
        <w:rPr>
          <w:rFonts w:ascii="Times New Roman" w:hAnsi="Times New Roman" w:cs="Times New Roman"/>
          <w:sz w:val="24"/>
        </w:rPr>
        <w:t xml:space="preserve">podpredseda vlády </w:t>
      </w:r>
    </w:p>
    <w:p>
      <w:pPr>
        <w:pStyle w:val="BodyText"/>
        <w:ind w:firstLine="720"/>
        <w:jc w:val="center"/>
        <w:rPr>
          <w:rFonts w:ascii="Times New Roman" w:hAnsi="Times New Roman" w:cs="Times New Roman"/>
          <w:sz w:val="24"/>
        </w:rPr>
      </w:pPr>
      <w:r>
        <w:rPr>
          <w:rFonts w:ascii="Times New Roman" w:hAnsi="Times New Roman" w:cs="Times New Roman"/>
          <w:sz w:val="24"/>
        </w:rPr>
        <w:t>a minister financ</w:t>
      </w:r>
      <w:r>
        <w:rPr>
          <w:rFonts w:ascii="Times New Roman" w:hAnsi="Times New Roman" w:cs="Times New Roman"/>
          <w:sz w:val="24"/>
        </w:rPr>
        <w:t>ií Slovenskej republiky</w:t>
      </w:r>
    </w:p>
    <w:p>
      <w:pPr>
        <w:pStyle w:val="BodyText"/>
        <w:ind w:firstLine="720"/>
        <w:jc w:val="center"/>
        <w:rPr>
          <w:rFonts w:ascii="Times New Roman" w:hAnsi="Times New Roman" w:cs="Times New Roman"/>
          <w:sz w:val="24"/>
        </w:rPr>
      </w:pPr>
    </w:p>
    <w:p>
      <w:pPr>
        <w:pStyle w:val="BodyText"/>
        <w:ind w:firstLine="720"/>
        <w:jc w:val="center"/>
        <w:rPr>
          <w:rFonts w:ascii="Times New Roman" w:hAnsi="Times New Roman" w:cs="Times New Roman"/>
          <w:sz w:val="24"/>
        </w:rPr>
      </w:pPr>
    </w:p>
    <w:p>
      <w:pPr>
        <w:pStyle w:val="BodyText"/>
        <w:ind w:firstLine="720"/>
        <w:jc w:val="center"/>
        <w:rPr>
          <w:rFonts w:ascii="Times New Roman" w:hAnsi="Times New Roman" w:cs="Times New Roman"/>
          <w:sz w:val="24"/>
        </w:rPr>
      </w:pPr>
      <w:r>
        <w:rPr>
          <w:rFonts w:ascii="Times New Roman" w:hAnsi="Times New Roman" w:cs="Times New Roman"/>
          <w:sz w:val="24"/>
        </w:rPr>
        <w:t xml:space="preserve">Marián    J u s k o, v.r. </w:t>
      </w:r>
    </w:p>
    <w:p>
      <w:pPr>
        <w:pStyle w:val="BodyText"/>
        <w:ind w:firstLine="720"/>
        <w:jc w:val="center"/>
        <w:rPr>
          <w:rFonts w:ascii="Times New Roman" w:hAnsi="Times New Roman" w:cs="Times New Roman"/>
          <w:sz w:val="24"/>
        </w:rPr>
      </w:pPr>
      <w:r>
        <w:rPr>
          <w:rFonts w:ascii="Times New Roman" w:hAnsi="Times New Roman" w:cs="Times New Roman"/>
          <w:sz w:val="24"/>
        </w:rPr>
        <w:t>guvernér Národnej banky Slovenska</w:t>
      </w:r>
    </w:p>
    <w:p>
      <w:pPr>
        <w:pStyle w:val="BodyText"/>
        <w:ind w:firstLine="720"/>
        <w:jc w:val="center"/>
        <w:rPr>
          <w:rFonts w:ascii="Times New Roman" w:hAnsi="Times New Roman" w:cs="Times New Roman"/>
          <w:sz w:val="24"/>
        </w:rPr>
      </w:pPr>
    </w:p>
    <w:p>
      <w:pPr>
        <w:rPr>
          <w:rFonts w:ascii="Times New Roman" w:hAnsi="Times New Roman" w:cs="Times New Roman"/>
        </w:rPr>
      </w:pPr>
    </w:p>
    <w:sectPr>
      <w:footerReference w:type="default" r:id="rId4"/>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Fonts w:ascii="Times New Roman" w:hAnsi="Times New Roman" w:cs="Times New Roman"/>
      </w:rPr>
    </w:pPr>
    <w:r>
      <w:rPr>
        <w:rFonts w:ascii="Times New Roman" w:hAnsi="Times New Roman" w:cs="Times New Roman"/>
      </w:rPr>
      <w:tab/>
      <w:t xml:space="preserv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61143"/>
    <w:multiLevelType w:val="multilevel"/>
    <w:tmpl w:val="A5C283AE"/>
    <w:lvl w:ilvl="0">
      <w:start w:val="1"/>
      <w:numFmt w:val="lowerLetter"/>
      <w:lvlText w:val="%1)"/>
      <w:lvlJc w:val="left"/>
      <w:pPr>
        <w:tabs>
          <w:tab w:val="num" w:pos="990"/>
        </w:tabs>
        <w:ind w:left="990" w:hanging="63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F03612"/>
    <w:multiLevelType w:val="singleLevel"/>
    <w:tmpl w:val="0405000F"/>
    <w:lvl w:ilvl="0">
      <w:start w:val="1"/>
      <w:numFmt w:val="decimal"/>
      <w:lvlText w:val="%1."/>
      <w:lvlJc w:val="left"/>
      <w:pPr>
        <w:tabs>
          <w:tab w:val="num" w:pos="360"/>
        </w:tabs>
        <w:ind w:left="360" w:hanging="360"/>
      </w:pPr>
    </w:lvl>
  </w:abstractNum>
  <w:abstractNum w:abstractNumId="2">
    <w:nsid w:val="17815F06"/>
    <w:multiLevelType w:val="multilevel"/>
    <w:tmpl w:val="E11A3094"/>
    <w:lvl w:ilvl="0">
      <w:start w:val="0"/>
      <w:numFmt w:val="bullet"/>
      <w:lvlText w:val="-"/>
      <w:lvlJc w:val="left"/>
      <w:pPr>
        <w:tabs>
          <w:tab w:val="num" w:pos="720"/>
        </w:tabs>
        <w:ind w:left="720" w:hanging="360"/>
      </w:pPr>
      <w:rPr>
        <w:rFonts w:ascii="Times New Roman" w:hAnsi="Times New Roman" w:cs="Times New Roman"/>
        <w:rtl w:val="0"/>
      </w:rPr>
    </w:lvl>
    <w:lvl w:ilvl="1">
      <w:start w:val="1"/>
      <w:numFmt w:val="lowerLetter"/>
      <w:lvlText w:val="%2)"/>
      <w:lvlJc w:val="left"/>
      <w:pPr>
        <w:tabs>
          <w:tab w:val="num" w:pos="1440"/>
        </w:tabs>
        <w:ind w:left="1440" w:hanging="360"/>
      </w:pPr>
    </w:lvl>
    <w:lvl w:ilvl="2">
      <w:start w:val="3"/>
      <w:numFmt w:val="lowerLetter"/>
      <w:lvlText w:val="%3"/>
      <w:lvlJc w:val="left"/>
      <w:pPr>
        <w:tabs>
          <w:tab w:val="num" w:pos="2160"/>
        </w:tabs>
        <w:ind w:left="2160" w:hanging="360"/>
      </w:pPr>
      <w:rPr>
        <w:color w:val="auto"/>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3">
    <w:nsid w:val="73C22679"/>
    <w:multiLevelType w:val="hybridMultilevel"/>
    <w:tmpl w:val="7DDE28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50F240C"/>
    <w:multiLevelType w:val="singleLevel"/>
    <w:tmpl w:val="131C959E"/>
    <w:lvl w:ilvl="0">
      <w:start w:val="2"/>
      <w:numFmt w:val="bullet"/>
      <w:lvlText w:val="-"/>
      <w:lvlJc w:val="left"/>
      <w:pPr>
        <w:tabs>
          <w:tab w:val="num" w:pos="720"/>
        </w:tabs>
        <w:ind w:left="720" w:hanging="360"/>
      </w:pPr>
      <w:rPr>
        <w:rFonts w:ascii="Times New Roman" w:hAnsi="Times New Roman"/>
        <w:rtl w:val="0"/>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75"/>
  <w:drawingGridVerticalSpacing w:val="102"/>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32"/>
      <w:rtl w:val="0"/>
      <w:lang w:val="sk-SK" w:bidi="ar-SA"/>
    </w:rPr>
  </w:style>
  <w:style w:type="paragraph" w:styleId="Heading1">
    <w:name w:val="heading 1"/>
    <w:basedOn w:val="Normal"/>
    <w:next w:val="Normal"/>
    <w:uiPriority w:val="9"/>
    <w:qFormat/>
    <w:pPr>
      <w:keepNext/>
      <w:ind w:left="426" w:hanging="426"/>
      <w:jc w:val="both"/>
      <w:outlineLvl w:val="0"/>
    </w:pPr>
    <w:rPr>
      <w:b/>
      <w:bCs/>
      <w:sz w:val="28"/>
      <w:szCs w:val="24"/>
      <w:lang w:val="en-US"/>
    </w:rPr>
  </w:style>
  <w:style w:type="paragraph" w:styleId="Heading4">
    <w:name w:val="heading 4"/>
    <w:basedOn w:val="Normal"/>
    <w:next w:val="Normal"/>
    <w:uiPriority w:val="9"/>
    <w:qFormat/>
    <w:pPr>
      <w:keepNext/>
      <w:jc w:val="both"/>
      <w:outlineLvl w:val="3"/>
    </w:pPr>
    <w:rPr>
      <w:b/>
      <w:bCs/>
      <w:szCs w:val="24"/>
      <w:lang w:val="en-US"/>
    </w:rPr>
  </w:style>
  <w:style w:type="paragraph" w:styleId="Heading5">
    <w:name w:val="heading 5"/>
    <w:basedOn w:val="Normal"/>
    <w:next w:val="Normal"/>
    <w:uiPriority w:val="9"/>
    <w:qFormat/>
    <w:pPr>
      <w:keepNext/>
      <w:tabs>
        <w:tab w:val="left" w:pos="0"/>
      </w:tabs>
      <w:ind w:left="426" w:hanging="426"/>
      <w:jc w:val="both"/>
      <w:outlineLvl w:val="4"/>
    </w:pPr>
    <w:rPr>
      <w:b/>
      <w:bCs/>
      <w:szCs w:val="24"/>
      <w:lang w:val="en-US"/>
    </w:rPr>
  </w:style>
  <w:style w:type="character" w:default="1" w:styleId="DefaultParagraphFont">
    <w:name w:val="Default Paragraph Font"/>
  </w:style>
  <w:style w:type="paragraph" w:styleId="BodyText3">
    <w:name w:val="Body Text 3"/>
    <w:basedOn w:val="Normal"/>
    <w:pPr>
      <w:tabs>
        <w:tab w:val="left" w:pos="0"/>
      </w:tabs>
      <w:jc w:val="both"/>
    </w:pPr>
    <w:rPr>
      <w:b/>
      <w:bCs/>
      <w:szCs w:val="24"/>
      <w:lang w:val="en-US"/>
    </w:rPr>
  </w:style>
  <w:style w:type="paragraph" w:styleId="BodyText2">
    <w:name w:val="Body Text 2"/>
    <w:basedOn w:val="Normal"/>
    <w:pPr>
      <w:tabs>
        <w:tab w:val="left" w:pos="426"/>
      </w:tabs>
      <w:jc w:val="both"/>
    </w:pPr>
    <w:rPr>
      <w:szCs w:val="24"/>
      <w:lang w:val="en-US"/>
    </w:rPr>
  </w:style>
  <w:style w:type="paragraph" w:customStyle="1" w:styleId="a">
    <w:name w:val="a)"/>
    <w:basedOn w:val="Normal"/>
    <w:pPr>
      <w:spacing w:before="120" w:after="120" w:line="360" w:lineRule="auto"/>
      <w:jc w:val="both"/>
    </w:pPr>
    <w:rPr>
      <w:szCs w:val="24"/>
      <w:lang w:val="cs-CZ"/>
    </w:rPr>
  </w:style>
  <w:style w:type="paragraph" w:styleId="Title">
    <w:name w:val="Title"/>
    <w:basedOn w:val="Normal"/>
    <w:uiPriority w:val="10"/>
    <w:qFormat/>
    <w:pPr>
      <w:tabs>
        <w:tab w:val="left" w:pos="0"/>
      </w:tabs>
      <w:ind w:left="426" w:hanging="426"/>
      <w:jc w:val="center"/>
    </w:pPr>
    <w:rPr>
      <w:b/>
      <w:bCs/>
      <w:sz w:val="32"/>
      <w:szCs w:val="24"/>
      <w:lang w:val="en-US"/>
    </w:rPr>
  </w:style>
  <w:style w:type="paragraph" w:styleId="BodyTextIndent3">
    <w:name w:val="Body Text Indent 3"/>
    <w:basedOn w:val="Normal"/>
    <w:pPr>
      <w:ind w:firstLine="426"/>
      <w:jc w:val="both"/>
    </w:pPr>
    <w:rPr>
      <w:szCs w:val="24"/>
      <w:lang w:val="en-US"/>
    </w:rPr>
  </w:style>
  <w:style w:type="paragraph" w:styleId="BodyTextIndent2">
    <w:name w:val="Body Text Indent 2"/>
    <w:basedOn w:val="Normal"/>
    <w:pPr>
      <w:ind w:left="900" w:hanging="540"/>
      <w:jc w:val="both"/>
    </w:pPr>
    <w:rPr>
      <w:szCs w:val="24"/>
      <w:lang w:val="en-US"/>
    </w:rPr>
  </w:style>
  <w:style w:type="paragraph" w:styleId="BodyTextIndent">
    <w:name w:val="Body Text Indent"/>
    <w:basedOn w:val="Normal"/>
    <w:pPr>
      <w:ind w:left="900" w:hanging="360"/>
      <w:jc w:val="both"/>
    </w:pPr>
    <w:rPr>
      <w:szCs w:val="24"/>
    </w:rPr>
  </w:style>
  <w:style w:type="paragraph" w:styleId="BodyText">
    <w:name w:val="Body Text"/>
    <w:basedOn w:val="Normal"/>
    <w:pPr>
      <w:jc w:val="both"/>
    </w:pPr>
    <w:rPr>
      <w:sz w:val="28"/>
      <w:szCs w:val="20"/>
      <w:lang w:val="cs-CZ"/>
    </w:rPr>
  </w:style>
  <w:style w:type="paragraph" w:styleId="Footer">
    <w:name w:val="footer"/>
    <w:basedOn w:val="Normal"/>
    <w:pPr>
      <w:tabs>
        <w:tab w:val="center" w:pos="4536"/>
        <w:tab w:val="right" w:pos="9072"/>
      </w:tabs>
      <w:jc w:val="left"/>
    </w:pPr>
    <w:rPr>
      <w:szCs w:val="24"/>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4530</Words>
  <Characters>25826</Characters>
  <Application>Microsoft Office Word</Application>
  <DocSecurity>0</DocSecurity>
  <Lines>0</Lines>
  <Paragraphs>0</Paragraphs>
  <ScaleCrop>false</ScaleCrop>
  <Company/>
  <LinksUpToDate>false</LinksUpToDate>
  <CharactersWithSpaces>31716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Osobitná časť</dc:title>
  <dc:creator>Darina Caplanova</dc:creator>
  <cp:lastModifiedBy>Darina Caplanova</cp:lastModifiedBy>
  <cp:revision>2</cp:revision>
  <cp:lastPrinted>2004-06-16T12:37:00Z</cp:lastPrinted>
  <dcterms:created xsi:type="dcterms:W3CDTF">2004-06-18T11:59:00Z</dcterms:created>
  <dcterms:modified xsi:type="dcterms:W3CDTF">2004-06-18T11:59:00Z</dcterms:modified>
</cp:coreProperties>
</file>