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"/>
        <w:rPr>
          <w:rFonts w:ascii="Times New Roman" w:hAnsi="Times New Roman" w:cs="Times New Roman"/>
          <w:sz w:val="24"/>
          <w:lang w:val="sk-SK"/>
        </w:rPr>
      </w:pPr>
    </w:p>
    <w:p>
      <w:pPr>
        <w:pStyle w:val="BodyText"/>
        <w:rPr>
          <w:rFonts w:ascii="Times New Roman" w:hAnsi="Times New Roman" w:cs="Times New Roman"/>
          <w:sz w:val="24"/>
          <w:lang w:val="sk-SK"/>
        </w:rPr>
      </w:pPr>
    </w:p>
    <w:p>
      <w:pPr>
        <w:pStyle w:val="BodyText"/>
        <w:spacing w:before="120" w:after="120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D ô v o d o v á</w:t>
      </w:r>
      <w:r>
        <w:rPr>
          <w:rFonts w:ascii="Symbol" w:hAnsi="Symbol" w:cs="Times New Roman"/>
          <w:b/>
          <w:bCs/>
          <w:lang w:val="sk-SK"/>
        </w:rPr>
        <w:sym w:font="Symbol" w:char="F020"/>
      </w:r>
      <w:r>
        <w:rPr>
          <w:rFonts w:ascii="Times New Roman" w:hAnsi="Times New Roman" w:cs="Times New Roman"/>
          <w:b/>
          <w:bCs/>
          <w:lang w:val="sk-SK"/>
        </w:rPr>
        <w:t xml:space="preserve"> </w:t>
      </w:r>
      <w:r>
        <w:rPr>
          <w:rFonts w:ascii="Symbol" w:hAnsi="Symbol" w:cs="Times New Roman"/>
          <w:b/>
          <w:bCs/>
          <w:lang w:val="sk-SK"/>
        </w:rPr>
        <w:sym w:font="Symbol" w:char="F020"/>
      </w:r>
      <w:r>
        <w:rPr>
          <w:rFonts w:ascii="Times New Roman" w:hAnsi="Times New Roman" w:cs="Times New Roman"/>
          <w:b/>
          <w:bCs/>
          <w:lang w:val="sk-SK"/>
        </w:rPr>
        <w:t>s p r á v a</w:t>
      </w:r>
    </w:p>
    <w:p>
      <w:pPr>
        <w:pStyle w:val="BodyText"/>
        <w:spacing w:after="120"/>
        <w:rPr>
          <w:rFonts w:ascii="Times New Roman" w:hAnsi="Times New Roman" w:cs="Times New Roman"/>
          <w:b/>
          <w:bCs/>
          <w:sz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lang w:val="sk-SK"/>
        </w:rPr>
        <w:t>Všeobecná časť</w:t>
      </w:r>
    </w:p>
    <w:p>
      <w:pPr>
        <w:pStyle w:val="BodyText"/>
        <w:ind w:firstLine="720"/>
        <w:rPr>
          <w:rFonts w:ascii="Times New Roman" w:hAnsi="Times New Roman" w:cs="Times New Roman"/>
          <w:sz w:val="24"/>
          <w:lang w:val="sk-SK"/>
        </w:rPr>
      </w:pPr>
    </w:p>
    <w:p>
      <w:pPr>
        <w:pStyle w:val="BodyText"/>
        <w:ind w:firstLine="72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Cieľom predloženého návrhu zákona, ktorým sa mení a dopĺňa zákon č. 483/2001</w:t>
      </w:r>
      <w:r>
        <w:rPr>
          <w:rFonts w:ascii="Symbol" w:hAnsi="Symbol" w:cs="Times New Roman"/>
          <w:sz w:val="24"/>
          <w:lang w:val="sk-SK"/>
        </w:rPr>
        <w:sym w:font="Symbol" w:char="F020"/>
      </w:r>
      <w:r>
        <w:rPr>
          <w:rFonts w:ascii="Times New Roman" w:hAnsi="Times New Roman" w:cs="Times New Roman"/>
          <w:sz w:val="24"/>
          <w:lang w:val="sk-SK"/>
        </w:rPr>
        <w:t>Z.</w:t>
      </w:r>
      <w:r>
        <w:rPr>
          <w:rFonts w:ascii="Symbol" w:hAnsi="Symbol" w:cs="Times New Roman"/>
          <w:sz w:val="24"/>
          <w:lang w:val="sk-SK"/>
        </w:rPr>
        <w:sym w:font="Symbol" w:char="F020"/>
      </w:r>
      <w:r>
        <w:rPr>
          <w:rFonts w:ascii="Times New Roman" w:hAnsi="Times New Roman" w:cs="Times New Roman"/>
          <w:sz w:val="24"/>
          <w:lang w:val="sk-SK"/>
        </w:rPr>
        <w:t>z. o bankách a o zmene a doplnení niektorých zákonov v znení neskorších predpisov (ďalej len „zákon o bankách“) je zapracovanie smernice 2002/87/ES Európskeho parlamentu a ,Rady o doplňujúcom dohľade nad úverovými ústavmi, poisťovňami a investičnými firmami vo finančnom konglomeráte, ktorou sa menia a dopĺňajú smernice rady 73/239/EHS, 79/267/EHS, 92/49/EHS, 92/96/EHS, 93/6/EHS a 93/22/EHS a smernice 98/78/ES a 2000/12/ES Európskeho parlamentu a Rady (ďalej aj „smernica“).</w:t>
      </w:r>
    </w:p>
    <w:p>
      <w:pPr>
        <w:pStyle w:val="BodyTextIndent3"/>
        <w:ind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Touto smernicou prijatou v dôsledku vývoja smerujúceho k vzniku finančných skupín poskytujúcich služby v rôznych podsektoroch finančného sektora, Európska únia upravila podmienky výkonu dohľadu nad finančnými konglomerátmi. </w:t>
      </w:r>
    </w:p>
    <w:p>
      <w:pPr>
        <w:ind w:firstLine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Niektoré z finančných konglomerátov patria medzi najväčšie finančné skupiny, pôsobiace na finančných trhoch, ktoré poskytujú služby globálne. Ak by sa finančné konglomeráty a najmä banky a inštitúcie elektronických peňazí (spoločne označené ako úverové ústavy), poisťovne a obchodníci s cennými papiermi a správcovské spoločnosti, ako súčasti finančných konglomerátov, dostali do hospodárskych ťažkostí, tieto by mohli mať nielen negatívny vplyv na individuálnych vkladateľov, majiteľov poistiek a investorov, ale mohli by vážne destabilizovať celý finančný systém. V porovnaní s dohľadom nad obozretným podnikaním úverových ústavov, poisťovní a obchodníkov s cennými papiermi na individuálnom základe a dohľadom na konsolidovanom základe ide teda o celoskupinový, tzv. doplňujúci dohľad nad obozretným podnikaním tých podnikateľských subjektov z jednotlivých finančných podsektorov, ktoré sú súčasťou finančných konglomerátov. Doplňujúci dohľad sa týka platobnej schopnosti a koncentrácie rizík na úrovni finančného konglomerátu, vnútroskupinových obchodov, vnútorných postupov riadenia rizík na úrovni konglomerátu a primeraného a vhodného charakteru riadenia konglomerátu. </w:t>
      </w:r>
    </w:p>
    <w:p>
      <w:pPr>
        <w:ind w:firstLine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 to, aby doplňujúci dohľad nad úverovými ústavmi, poisťovňami a obchodníkmi s cennými papiermi vo finančnom konglomeráte bol účinný, musí sa uplatňovať voči tým finančným konglomerátom, ktorých medzisektorové finančné činnosti sú významné. K tomu dochádza, ak sa naplnia určené limity, bez ohľadu na štruktúru samotných činností. Doplňujúci dohľad sa vzťahuje na finančné činnosti upravené v legislatíve týkajúcej sa príslušného finančného podsektora (bankovníctvo, investičné služby, poisťovníctvo) a vzťahuje sa na osoby, ktoré sa významne angažujú v uvedených činnostiach, vrátane správcovských spoločností zaoberajúcich sa správou investičného majetku. Požiadavky na riadenie finančného konglomerátu, najmä ak ide o zmiešanú finančnú holdingovú spoločnosť smerujú k zohľadneniu právnej štruktúry konglomerátu namiesto riadenia konglomerátu podľa odvetvia podnikateľskej činnosti.</w:t>
      </w:r>
    </w:p>
    <w:p>
      <w:pPr>
        <w:ind w:firstLine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 všetky finančné konglomeráty, na ktoré sa vzťahuje doplňujúci dohľad, musí byť vymenovaný koordinátor spomedzi príslušných dohliadacích orgánov. Úlohy a oprávnenia koordinátora nesmú mať negatívny vplyv na úlohy a povinnosti ostatných dohliadacích orgánov, upravené v sektorových predpisoch. Koordinátor a dohliadacie orgány musia mať prístup k informáciám potrebným na výkon doplňujúceho dohľadu, ktoré získavajú od dohliadaných osôb, členov finančného konglomerátu, prípadne od iných dohliadacích orgánov. Medzi orgánmi zodpovednými za dohľad nad úverovými ústavmi, poisťovňami a obchodníkmi s cennými papiermi (patriacimi do toho istého finančného konglomerátu) musí byť dostatočná s</w:t>
      </w:r>
      <w:r>
        <w:rPr>
          <w:rFonts w:ascii="Times New Roman" w:hAnsi="Times New Roman" w:cs="Times New Roman"/>
          <w:lang w:val="sk-SK"/>
        </w:rPr>
        <w:t xml:space="preserve">polupráca vrátane mechanizmov operatívnej spolupráce. </w:t>
      </w:r>
    </w:p>
    <w:p>
      <w:pPr>
        <w:ind w:firstLine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 tejto súvislosti sa zákon o bankách doplňuje o ustanovenia o doplňujúcom dohľade nad finančnými konglomerátmi, vykonávanom Národnou bankou Slovenska. </w:t>
      </w:r>
    </w:p>
    <w:p>
      <w:pPr>
        <w:ind w:firstLine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Navrhovanou novelou zákona o bankách sa ustanovuje, čo sa rozumie finančným konglomerátom, podmienky, kedy doplňujúci dohľad vykonáva Národná banka Slovenska, limity na identifikáciu finančného konglomerátu a požiadavky zabezpečujúce bezpečné podnikanie na úrovni finančného konglomerátu, ktorého súčasťou sú banky alebo inštitúcie elektronických peňazí. Ďalej sa doplňujú do zákona o bankách ustanovenia o spolupráci Národnej banky Slovenska s príslušnými orgánmi dohľadu zodpovednými za dohľad nad ďalšími osobami tvoriacimi finančný konglomerát. </w:t>
      </w:r>
    </w:p>
    <w:p>
      <w:pPr>
        <w:ind w:firstLine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Novela transponuje do slovenského právneho poriadku inštitúty finančná holdingová inštitúcia, finančná holdingová spoločnosť so zmiešanou činnosťou a zmiešaná finančná holdingová spoločnosť ako aj ich definície a obsah.</w:t>
      </w:r>
    </w:p>
    <w:p>
      <w:pPr>
        <w:ind w:firstLine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Úverové ústavy, poisťovne a obchodníci s cennými papiermi, ktorých sídlo sa nachádza v Európskej únii, môžu byť súčasťou finančného konglomerátu, ktorého sídlo sa nachádza mimo spoločenstva. Na tieto regulované osoby sa vzťahuje rovnocenný režim doplňujúceho dohľadu, primeraný doplňujúcemu dohľadu nad osobami so sídlom v Európskej únii. Na uvedený účel je potrebná výmena informácií s dohliadacími orgánmi tretích štátov o všetkých skutočnostiach dôležitých pre výkon doplňujúceho dohľadu. Existenciu rovnocenných režimov doplňujúceho dohľadu možno predpokladať len vtedy, ak sa orgány dohľadu tretích štátov zaviažu, že budú spolupracovať s orgánmi doplňujúceho dohľadu spoločenstva pokiaľ ide o účel a spôsoby výkonu doplňujúceho dohľadu nad regulovanými osobami finančného konglomerátu.</w:t>
      </w:r>
    </w:p>
    <w:p>
      <w:pPr>
        <w:pStyle w:val="BodyText"/>
        <w:ind w:firstLine="72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Predmetným návrhom novely zákona sa zároveň v čl. II upravuje aj zákon č. 510/2002 Z. z. o platobnom styku v znení neskorších predpisov tak, že na inštitúciu elektronických peňazí, ktorá je súčasťou finančného konglomerátu, sa vzťahujú ustanovenia zákona o bankách upravujúce doplňujúci dohľad.</w:t>
      </w:r>
    </w:p>
    <w:p>
      <w:pPr>
        <w:pStyle w:val="BodyText"/>
        <w:ind w:firstLine="72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Predložený návrh novely zákona o bankách je v súlade s ustanoveniami Ústavy Slovenskej republiky.</w:t>
      </w:r>
    </w:p>
    <w:p>
      <w:pPr>
        <w:pStyle w:val="BodyText"/>
        <w:ind w:firstLine="72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Obsah predloženého návrhu zákona nie je v rozpore s právnymi predpismi, ktoré platia v Európskej únii pre oblasť bankovníctva. </w:t>
      </w:r>
    </w:p>
    <w:p>
      <w:pPr>
        <w:pStyle w:val="BodyText"/>
        <w:ind w:firstLine="720"/>
        <w:rPr>
          <w:rFonts w:ascii="Times New Roman" w:hAnsi="Times New Roman" w:cs="Times New Roman"/>
          <w:sz w:val="24"/>
          <w:lang w:val="sk-SK"/>
        </w:rPr>
      </w:pPr>
    </w:p>
    <w:p>
      <w:pPr>
        <w:pStyle w:val="Heading2"/>
        <w:spacing w:after="120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hAnsi="Times New Roman" w:cs="Times New Roman"/>
          <w:bCs/>
          <w:sz w:val="24"/>
          <w:lang w:val="sk-SK"/>
        </w:rPr>
        <w:t>DOLOŽKA</w:t>
      </w:r>
    </w:p>
    <w:p>
      <w:pPr>
        <w:pStyle w:val="BodyText"/>
        <w:rPr>
          <w:rFonts w:ascii="Times New Roman" w:hAnsi="Times New Roman" w:cs="Times New Roman"/>
          <w:b/>
          <w:bCs/>
          <w:sz w:val="24"/>
          <w:szCs w:val="26"/>
          <w:lang w:val="sk-SK"/>
        </w:rPr>
      </w:pPr>
    </w:p>
    <w:p>
      <w:pPr>
        <w:pStyle w:val="BodyText"/>
        <w:rPr>
          <w:rFonts w:ascii="Times New Roman" w:hAnsi="Times New Roman" w:cs="Times New Roman"/>
          <w:b/>
          <w:bCs/>
          <w:sz w:val="24"/>
          <w:szCs w:val="26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sk-SK"/>
        </w:rPr>
        <w:t xml:space="preserve">o finančných a ekonomických vplyvoch, environmentálnych vplyvoch a vplyvoch na zamestnanosť návrhu zákona </w:t>
      </w:r>
      <w:r>
        <w:rPr>
          <w:rFonts w:ascii="Times New Roman" w:hAnsi="Times New Roman" w:cs="Times New Roman"/>
          <w:b/>
          <w:bCs/>
          <w:sz w:val="24"/>
          <w:lang w:val="sk-SK"/>
        </w:rPr>
        <w:t>č. 483/2001</w:t>
      </w:r>
      <w:r>
        <w:rPr>
          <w:rFonts w:ascii="Symbol" w:hAnsi="Symbol" w:cs="Times New Roman"/>
          <w:b/>
          <w:bCs/>
          <w:sz w:val="24"/>
          <w:lang w:val="sk-SK"/>
        </w:rPr>
        <w:sym w:font="Symbol" w:char="F020"/>
      </w:r>
      <w:r>
        <w:rPr>
          <w:rFonts w:ascii="Times New Roman" w:hAnsi="Times New Roman" w:cs="Times New Roman"/>
          <w:b/>
          <w:bCs/>
          <w:sz w:val="24"/>
          <w:lang w:val="sk-SK"/>
        </w:rPr>
        <w:t>Z.</w:t>
      </w:r>
      <w:r>
        <w:rPr>
          <w:rFonts w:ascii="Symbol" w:hAnsi="Symbol" w:cs="Times New Roman"/>
          <w:b/>
          <w:bCs/>
          <w:sz w:val="24"/>
          <w:lang w:val="sk-SK"/>
        </w:rPr>
        <w:sym w:font="Symbol" w:char="F020"/>
      </w:r>
      <w:r>
        <w:rPr>
          <w:rFonts w:ascii="Times New Roman" w:hAnsi="Times New Roman" w:cs="Times New Roman"/>
          <w:b/>
          <w:bCs/>
          <w:sz w:val="24"/>
          <w:lang w:val="sk-SK"/>
        </w:rPr>
        <w:t>z. o bankách a o zmene a doplnení niektorých zákonov v znení neskorších predpisov</w:t>
      </w: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"/>
        <w:ind w:left="360" w:hanging="360"/>
        <w:rPr>
          <w:rFonts w:ascii="Times New Roman" w:hAnsi="Times New Roman" w:cs="Times New Roman"/>
          <w:b/>
          <w:bCs/>
          <w:sz w:val="24"/>
          <w:szCs w:val="26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sk-SK"/>
        </w:rPr>
        <w:t>1.</w:t>
        <w:tab/>
        <w:t>Odhad dopadov na verejné financie</w:t>
      </w: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"/>
        <w:ind w:left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Prijatie predlože</w:t>
      </w:r>
      <w:r>
        <w:rPr>
          <w:rFonts w:ascii="Times New Roman" w:hAnsi="Times New Roman" w:cs="Times New Roman"/>
          <w:sz w:val="24"/>
          <w:szCs w:val="24"/>
          <w:lang w:val="sk-SK"/>
        </w:rPr>
        <w:t>ného návrhu zákona</w:t>
      </w:r>
      <w:r>
        <w:rPr>
          <w:rFonts w:ascii="Times New Roman" w:hAnsi="Times New Roman" w:cs="Times New Roman"/>
          <w:spacing w:val="-7"/>
          <w:sz w:val="24"/>
          <w:szCs w:val="24"/>
          <w:lang w:val="sk-SK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ktorým sa mení a dopĺňa zákon č. 483/2001 Z. z. o bankách a o zmene a doplnení niektorých zákonov v znení neskorších predpisov sa nepredpokladá žiadny vplyv na výdavky štátneho rozpočtu, na rozpočty obcí ani na rozpočty vyšších územných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celkov (samosprávnych krajov).</w:t>
      </w: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"/>
        <w:ind w:left="360" w:hanging="360"/>
        <w:rPr>
          <w:rFonts w:ascii="Times New Roman" w:hAnsi="Times New Roman" w:cs="Times New Roman"/>
          <w:b/>
          <w:bCs/>
          <w:sz w:val="24"/>
          <w:szCs w:val="26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sk-SK"/>
        </w:rPr>
        <w:t>2. Odhad dopadov na obyvateľov, hospodárenie podnikateľskej sféry a iných právnických osôb</w:t>
      </w: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>
      <w:pPr>
        <w:pStyle w:val="BodyText"/>
        <w:ind w:left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Realizáciou predloženého návrhu zákona sa nepredpokladá negatívny vplyv na obyvateľov ani na hospodárenie podnikateľskej sféry a 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ných právnických osôb. </w:t>
      </w: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"/>
        <w:ind w:left="360" w:hanging="360"/>
        <w:rPr>
          <w:rFonts w:ascii="Times New Roman" w:hAnsi="Times New Roman" w:cs="Times New Roman"/>
          <w:b/>
          <w:bCs/>
          <w:sz w:val="24"/>
          <w:szCs w:val="26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sk-SK"/>
        </w:rPr>
        <w:t>3.</w:t>
        <w:tab/>
        <w:t>Odhad dopadov na životné prostredie</w:t>
      </w: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"/>
        <w:ind w:left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Realizáciou predloženého návrhu zákona sa nepredpokladá žiadny vplyv na životné prostredie. </w:t>
      </w: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"/>
        <w:ind w:left="360" w:hanging="360"/>
        <w:rPr>
          <w:rFonts w:ascii="Times New Roman" w:hAnsi="Times New Roman" w:cs="Times New Roman"/>
          <w:b/>
          <w:bCs/>
          <w:sz w:val="24"/>
          <w:szCs w:val="26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sk-SK"/>
        </w:rPr>
        <w:t>4.</w:t>
        <w:tab/>
        <w:t>Odhad dopadov na zamestnanosť</w:t>
      </w: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"/>
        <w:ind w:left="357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Realizáciou predloženého návrhu zákona sa nepredpokladá žiadny vplyv na nezamestnanosť ani na zamestnanosť občanov Slovenskej republiky.</w:t>
      </w: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jc w:val="both"/>
        <w:rPr>
          <w:rFonts w:ascii="Times New Roman" w:hAnsi="Times New Roman" w:cs="Times New Roman"/>
          <w:b/>
          <w:lang w:val="sk-SK"/>
        </w:rPr>
      </w:pPr>
    </w:p>
    <w:p>
      <w:pPr>
        <w:pStyle w:val="Heading3"/>
        <w:ind w:firstLine="0"/>
        <w:jc w:val="center"/>
        <w:rPr>
          <w:rFonts w:ascii="Times New Roman" w:hAnsi="Times New Roman" w:cs="Times New Roman"/>
          <w:b/>
          <w:bCs/>
          <w:sz w:val="24"/>
          <w:u w:val="none"/>
        </w:rPr>
      </w:pPr>
      <w:r>
        <w:rPr>
          <w:rFonts w:ascii="Times New Roman" w:hAnsi="Times New Roman" w:cs="Times New Roman"/>
          <w:b/>
          <w:bCs/>
          <w:sz w:val="24"/>
          <w:u w:val="none"/>
        </w:rPr>
        <w:t>DOLOŽKA ZLUČITEĽNOSTI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4"/>
          <w:lang w:val="sk-SK"/>
        </w:rPr>
      </w:pPr>
    </w:p>
    <w:p>
      <w:pPr>
        <w:pStyle w:val="BodyText"/>
        <w:rPr>
          <w:rFonts w:ascii="Times New Roman" w:hAnsi="Times New Roman" w:cs="Times New Roman"/>
          <w:b/>
          <w:bCs/>
          <w:sz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lang w:val="sk-SK"/>
        </w:rPr>
        <w:t>návrhu zákona, ktorým sa mení a dopĺňa zákon č. 483/2001 Z. z. o bankách a o zmene a doplnení niektorých zákonov v znení neskorších predpisov s právom Európskych spoločenstiev a právom Európskej únie</w:t>
      </w:r>
    </w:p>
    <w:p>
      <w:pPr>
        <w:pStyle w:val="a"/>
        <w:spacing w:before="0" w:after="0" w:line="240" w:lineRule="auto"/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Navrhovateľ zákona:</w:t>
      </w:r>
    </w:p>
    <w:p>
      <w:pPr>
        <w:pStyle w:val="Heading4"/>
        <w:rPr>
          <w:rFonts w:ascii="Times New Roman" w:hAnsi="Times New Roman" w:cs="Times New Roman"/>
          <w:lang w:val="sk-SK"/>
        </w:rPr>
      </w:pPr>
    </w:p>
    <w:p>
      <w:pPr>
        <w:pStyle w:val="Heading4"/>
        <w:ind w:left="360"/>
        <w:rPr>
          <w:rFonts w:ascii="Times New Roman" w:hAnsi="Times New Roman" w:cs="Times New Roman"/>
          <w:b w:val="0"/>
          <w:bCs w:val="0"/>
          <w:lang w:val="sk-SK"/>
        </w:rPr>
      </w:pPr>
      <w:r>
        <w:rPr>
          <w:rFonts w:ascii="Times New Roman" w:hAnsi="Times New Roman" w:cs="Times New Roman"/>
          <w:b w:val="0"/>
          <w:bCs w:val="0"/>
          <w:lang w:val="sk-SK"/>
        </w:rPr>
        <w:t>vláda Slovenskej republiky</w:t>
      </w:r>
    </w:p>
    <w:p>
      <w:pPr>
        <w:jc w:val="both"/>
        <w:rPr>
          <w:rFonts w:ascii="Times New Roman" w:hAnsi="Times New Roman" w:cs="Times New Roman"/>
          <w:b/>
          <w:lang w:val="sk-SK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Názov návrhu zákona:</w:t>
      </w:r>
    </w:p>
    <w:p>
      <w:pPr>
        <w:jc w:val="both"/>
        <w:rPr>
          <w:rFonts w:ascii="Times New Roman" w:hAnsi="Times New Roman" w:cs="Times New Roman"/>
          <w:b/>
          <w:lang w:val="sk-SK"/>
        </w:rPr>
      </w:pPr>
    </w:p>
    <w:p>
      <w:pPr>
        <w:ind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návrh zákona, ktorým sa mení a dopĺňa zákon č. 483/2001 Z. z. o bankách a o zmene</w:t>
      </w:r>
    </w:p>
    <w:p>
      <w:pPr>
        <w:ind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 doplnení niektorých zákonov v znení neskorších predpisov</w:t>
      </w:r>
    </w:p>
    <w:p>
      <w:pPr>
        <w:ind w:firstLine="360"/>
        <w:jc w:val="both"/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Záväzky Slovenskej republiky vo vzťahu k Európskym spoločenstvám a Európskej únii: </w:t>
      </w:r>
    </w:p>
    <w:p>
      <w:pPr>
        <w:ind w:left="360"/>
        <w:jc w:val="both"/>
        <w:rPr>
          <w:rFonts w:ascii="Times New Roman" w:hAnsi="Times New Roman" w:cs="Times New Roman"/>
          <w:b/>
          <w:lang w:val="sk-SK"/>
        </w:rPr>
      </w:pPr>
    </w:p>
    <w:p>
      <w:pPr>
        <w:ind w:left="72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a)</w:t>
        <w:tab/>
        <w:t xml:space="preserve">Problematika návrhu zákona patrí medzi prioritné oblasti aproximácie práva uvedené v článku 70 Európskej dohody o pridružení </w:t>
      </w:r>
      <w:r>
        <w:rPr>
          <w:rFonts w:ascii="Times New Roman" w:hAnsi="Times New Roman" w:cs="Times New Roman"/>
          <w:lang w:val="sk-SK"/>
        </w:rPr>
        <w:t>– bankové právo, finančné služby.</w:t>
      </w: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Podľa N</w:t>
      </w:r>
      <w:r>
        <w:rPr>
          <w:rFonts w:ascii="Times New Roman" w:hAnsi="Times New Roman" w:cs="Times New Roman"/>
          <w:lang w:val="sk-SK"/>
        </w:rPr>
        <w:t xml:space="preserve">árodného programu pre prijatie acquis communautaire z roku 2001 návrh </w:t>
      </w: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zákona patrí medzi prioritné oblasti aproximácie práva Kapitola 3 – Slobodné </w:t>
      </w: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poskytovanie služieb a taktiež je prioritou aj podľa Partnerstva pre vstup. </w:t>
      </w: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Návrh zákona patrí medzi priority odporúčané v Príprave asociovaných krajín strednej</w:t>
      </w: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a východnej Európy na integráciu do vnútorného trhu Európskeho spoločenstva (Biela </w:t>
      </w: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kniha) v sekcii 13 – finančné služby.</w:t>
      </w: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Problematika návrhu zákona je obsiahnutá v screeningovej kapitole č. 3 – Slob</w:t>
      </w:r>
      <w:r>
        <w:rPr>
          <w:rFonts w:ascii="Times New Roman" w:hAnsi="Times New Roman" w:cs="Times New Roman"/>
          <w:lang w:val="sk-SK"/>
        </w:rPr>
        <w:t xml:space="preserve">odné </w:t>
      </w: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poskytovanie služieb.</w:t>
      </w: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>
      <w:pPr>
        <w:ind w:left="360" w:firstLine="360"/>
        <w:jc w:val="both"/>
        <w:rPr>
          <w:rFonts w:ascii="Times New Roman" w:hAnsi="Times New Roman" w:cs="Times New Roman"/>
          <w:lang w:val="sk-SK"/>
        </w:rPr>
      </w:pPr>
    </w:p>
    <w:p>
      <w:pPr>
        <w:ind w:left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Návrh zákona sa predkladá podľa Plánu legislatívnych úloh vlády SR na rok 2004 a termín jeho predloženia bol pôvodne stanovený na apríl 2004. </w:t>
      </w:r>
    </w:p>
    <w:p>
      <w:pPr>
        <w:ind w:left="720" w:hanging="360"/>
        <w:jc w:val="both"/>
        <w:rPr>
          <w:rFonts w:ascii="Times New Roman" w:hAnsi="Times New Roman" w:cs="Times New Roman"/>
          <w:lang w:val="sk-SK"/>
        </w:rPr>
      </w:pPr>
    </w:p>
    <w:p>
      <w:pPr>
        <w:ind w:left="72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b)</w:t>
        <w:tab/>
        <w:t>Z negociačných pozícií kapitoly č. 3 vyplýva potreba transponovať smernicu č.</w:t>
      </w:r>
      <w:r>
        <w:rPr>
          <w:rFonts w:ascii="Symbol" w:hAnsi="Symbol" w:cs="Times New Roman"/>
          <w:lang w:val="sk-SK"/>
        </w:rPr>
        <w:sym w:font="Symbol" w:char="F020"/>
      </w:r>
      <w:r>
        <w:rPr>
          <w:rFonts w:ascii="Times New Roman" w:hAnsi="Times New Roman" w:cs="Times New Roman"/>
          <w:lang w:val="sk-SK"/>
        </w:rPr>
        <w:t>2</w:t>
      </w:r>
      <w:r>
        <w:rPr>
          <w:rFonts w:ascii="Times New Roman" w:hAnsi="Times New Roman" w:cs="Times New Roman"/>
          <w:lang w:val="sk-SK"/>
        </w:rPr>
        <w:t xml:space="preserve">002/87/ES do právneho poriadku Slovenskej republiky. </w:t>
      </w:r>
    </w:p>
    <w:p>
      <w:pPr>
        <w:ind w:left="360"/>
        <w:jc w:val="both"/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Problematika návrhu právneho predpisu: </w:t>
      </w:r>
    </w:p>
    <w:p>
      <w:pPr>
        <w:jc w:val="both"/>
        <w:rPr>
          <w:rFonts w:ascii="Times New Roman" w:hAnsi="Times New Roman" w:cs="Times New Roman"/>
          <w:b/>
          <w:lang w:val="sk-SK"/>
        </w:rPr>
      </w:pPr>
    </w:p>
    <w:p>
      <w:pPr>
        <w:ind w:left="72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a)</w:t>
        <w:tab/>
        <w:t>je upravená v práve Európskych spoločenstiev:</w:t>
      </w:r>
    </w:p>
    <w:p>
      <w:pPr>
        <w:ind w:left="90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–</w:t>
        <w:tab/>
        <w:t xml:space="preserve">v Zmluve o založení Európskych spoločenstiev – čl. 3 ods. 1 písm. h), čl. 4 ods. 1, čl. 14 ods. 2, čl. 43, čl. 44 ods. 1 písm. f), čl. 48, čl. 50, čl. 51 ods. 2, čl. 56 až 60, </w:t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  <w:tab/>
        <w:t>v smernici Európskeho parlamentu a Rady 2000/12/ES Európskeho parlamentu a Rady z 20. marca 2000 o zakladaní a podnikaní úverových inštitúcií (OJ L 126 z 26. 5. 2000),</w:t>
      </w:r>
    </w:p>
    <w:p>
      <w:pPr>
        <w:ind w:left="90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–</w:t>
        <w:tab/>
        <w:t>v smernici 2000/28/ES Európskeho parlamentu a Rady z 18. septembra 2000, ktorou sa mení a dopĺňa smernica 2000/12 o zakladaní a podnikaní úverových inštitúcií (OJ L 275 z 27. 10. 2000),</w:t>
      </w:r>
    </w:p>
    <w:p>
      <w:pPr>
        <w:ind w:left="90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–</w:t>
        <w:tab/>
        <w:t>v smernici 2000/46/ES Európskeho parlamentu a Rady z 18. septembra 2000 o zakladaní,</w:t>
      </w:r>
      <w:r>
        <w:rPr>
          <w:rFonts w:ascii="Times New Roman" w:hAnsi="Times New Roman" w:cs="Times New Roman"/>
          <w:lang w:val="sk-SK"/>
        </w:rPr>
        <w:t xml:space="preserve"> podnikaní a o kontrole podnikania inštitúcií zaoberajúcich sa elektronickými peniazmi (OJ L 275 z 27. 10. 2000),</w:t>
      </w:r>
    </w:p>
    <w:p>
      <w:pPr>
        <w:ind w:left="90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–</w:t>
        <w:tab/>
        <w:t>v smernici Rady 93/6 o kapitálovej primeranosti investičných firiem a úverových inštitúcií (zmenená smernicou 98/31/ES Európskeho parlamentu</w:t>
      </w:r>
      <w:r>
        <w:rPr>
          <w:rFonts w:ascii="Times New Roman" w:hAnsi="Times New Roman" w:cs="Times New Roman"/>
          <w:lang w:val="sk-SK"/>
        </w:rPr>
        <w:t xml:space="preserve"> a Rady a smernicou 98/33/ES Európskeho parlamentu a Rady) (OJ L 141 z 11. 6. 1993),</w:t>
      </w:r>
    </w:p>
    <w:p>
      <w:pPr>
        <w:ind w:left="90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–</w:t>
        <w:tab/>
        <w:t>v smernici 2001/24/ES Európskeho parlamentu a Rady zo 4. apríla 2001 o reorganizácii a likvidácii úverových ústavov (OJ L 125 z 5. 5. 2001),</w:t>
      </w:r>
    </w:p>
    <w:p>
      <w:pPr>
        <w:ind w:left="90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–</w:t>
        <w:tab/>
        <w:t>v smernici 2002/87/ES Euró</w:t>
      </w:r>
      <w:r>
        <w:rPr>
          <w:rFonts w:ascii="Times New Roman" w:hAnsi="Times New Roman" w:cs="Times New Roman"/>
          <w:lang w:val="sk-SK"/>
        </w:rPr>
        <w:t>pskeho parlamentu a Rady zo 16. decembra 2002 o doplňujúcom dohľade nad úverovými ústavmi, poisťovňami a investičnými firmami vo finančnom konglomeráte, ktorou sa menia a dopĺňajú smernice Rady 73/239/EHS, 79/267/EHS, 92/49/EHS, 92/96/EHS, 93/6/EHS a 93/22</w:t>
      </w:r>
      <w:r>
        <w:rPr>
          <w:rFonts w:ascii="Times New Roman" w:hAnsi="Times New Roman" w:cs="Times New Roman"/>
          <w:lang w:val="sk-SK"/>
        </w:rPr>
        <w:t>/EHS a smernice 98/78/ES a 2000/12/ES (OJ L 35) z 11. 2. 2003).</w:t>
      </w:r>
    </w:p>
    <w:p>
      <w:pPr>
        <w:ind w:left="360"/>
        <w:jc w:val="both"/>
        <w:rPr>
          <w:rFonts w:ascii="Times New Roman" w:hAnsi="Times New Roman" w:cs="Times New Roman"/>
          <w:lang w:val="sk-SK"/>
        </w:rPr>
      </w:pPr>
    </w:p>
    <w:p>
      <w:pPr>
        <w:ind w:left="72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c)</w:t>
        <w:tab/>
        <w:t>je upravená v práve Európskej únie,</w:t>
      </w:r>
    </w:p>
    <w:p>
      <w:pPr>
        <w:ind w:left="90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–</w:t>
        <w:tab/>
        <w:t>v Zmluve o Európskej únii - čl. 2.</w:t>
      </w:r>
    </w:p>
    <w:p>
      <w:pPr>
        <w:ind w:left="360"/>
        <w:jc w:val="both"/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Stupeň zlučiteľnosti návrhu právneho predpisu s právom Európskych spoločenstiev a právom Európskej únie:</w:t>
      </w:r>
    </w:p>
    <w:p>
      <w:pPr>
        <w:jc w:val="both"/>
        <w:rPr>
          <w:rFonts w:ascii="Times New Roman" w:hAnsi="Times New Roman" w:cs="Times New Roman"/>
          <w:b/>
          <w:lang w:val="sk-SK"/>
        </w:rPr>
      </w:pPr>
    </w:p>
    <w:p>
      <w:pPr>
        <w:ind w:left="720" w:hanging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a)</w:t>
        <w:tab/>
        <w:t>úplná</w:t>
      </w:r>
      <w:r>
        <w:rPr>
          <w:rFonts w:ascii="Times New Roman" w:hAnsi="Times New Roman" w:cs="Times New Roman"/>
          <w:lang w:val="sk-SK"/>
        </w:rPr>
        <w:t xml:space="preserve"> </w:t>
      </w:r>
    </w:p>
    <w:p>
      <w:pPr>
        <w:jc w:val="both"/>
        <w:rPr>
          <w:rFonts w:ascii="Times New Roman" w:hAnsi="Times New Roman" w:cs="Times New Roman"/>
          <w:lang w:val="sk-SK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Gestor (spolupracujúce rezorty):</w:t>
      </w:r>
    </w:p>
    <w:p>
      <w:pPr>
        <w:jc w:val="both"/>
        <w:rPr>
          <w:rFonts w:ascii="Times New Roman" w:hAnsi="Times New Roman" w:cs="Times New Roman"/>
          <w:b/>
          <w:lang w:val="sk-SK"/>
        </w:rPr>
      </w:pPr>
    </w:p>
    <w:p>
      <w:pPr>
        <w:ind w:left="360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Ministerstvo financií Slovenskej republiky a Národná banka Slovenska</w:t>
      </w:r>
    </w:p>
    <w:p>
      <w:pPr>
        <w:jc w:val="both"/>
        <w:rPr>
          <w:rFonts w:ascii="Times New Roman" w:hAnsi="Times New Roman" w:cs="Times New Roman"/>
          <w:b/>
          <w:lang w:val="sk-SK"/>
        </w:rPr>
      </w:pPr>
    </w:p>
    <w:p>
      <w:pPr>
        <w:pStyle w:val="BodyText2"/>
        <w:numPr>
          <w:ilvl w:val="0"/>
          <w:numId w:val="2"/>
        </w:numPr>
        <w:tabs>
          <w:tab w:val="clear" w:pos="360"/>
          <w:tab w:val="clear" w:pos="426"/>
        </w:tabs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Účasť expertov pri príprave návrhu právneho predpisu a ich stanovisko k zlučiteľnosti návrhu právneho predpisu s právom Európskych spoločenstiev a pr</w:t>
      </w:r>
      <w:r>
        <w:rPr>
          <w:rFonts w:ascii="Times New Roman" w:hAnsi="Times New Roman" w:cs="Times New Roman"/>
          <w:b/>
          <w:bCs/>
          <w:lang w:val="sk-SK"/>
        </w:rPr>
        <w:t>ávom Európskej únie:</w:t>
      </w:r>
    </w:p>
    <w:p>
      <w:pPr>
        <w:pStyle w:val="BodyText2"/>
        <w:tabs>
          <w:tab w:val="clear" w:pos="426"/>
        </w:tabs>
        <w:rPr>
          <w:rFonts w:ascii="Times New Roman" w:hAnsi="Times New Roman" w:cs="Times New Roman"/>
          <w:lang w:val="sk-SK"/>
        </w:rPr>
      </w:pPr>
    </w:p>
    <w:p>
      <w:pPr>
        <w:pStyle w:val="a"/>
        <w:spacing w:before="0" w:after="0" w:line="240" w:lineRule="auto"/>
        <w:ind w:left="360"/>
        <w:rPr>
          <w:rFonts w:ascii="Times New Roman" w:hAnsi="Times New Roman" w:cs="Times New Roman"/>
          <w:lang w:val="sk-SK" w:eastAsia="cs-CZ"/>
        </w:rPr>
      </w:pPr>
      <w:r>
        <w:rPr>
          <w:rFonts w:ascii="Times New Roman" w:hAnsi="Times New Roman" w:cs="Times New Roman"/>
          <w:lang w:val="sk-SK"/>
        </w:rPr>
        <w:t>Na príprave návrhu zákona sa nezúčastnili experti.</w:t>
      </w:r>
    </w:p>
    <w:p>
      <w:pPr>
        <w:pStyle w:val="a"/>
        <w:spacing w:before="0" w:after="0" w:line="240" w:lineRule="auto"/>
        <w:rPr>
          <w:rFonts w:ascii="Times New Roman" w:hAnsi="Times New Roman" w:cs="Times New Roman"/>
          <w:lang w:val="sk-SK" w:eastAsia="cs-CZ"/>
        </w:rPr>
      </w:pPr>
    </w:p>
    <w:p>
      <w:pPr>
        <w:pStyle w:val="a"/>
        <w:spacing w:before="0" w:after="0" w:line="240" w:lineRule="auto"/>
        <w:rPr>
          <w:rFonts w:ascii="Times New Roman" w:hAnsi="Times New Roman" w:cs="Times New Roman"/>
          <w:lang w:val="sk-SK" w:eastAsia="cs-CZ"/>
        </w:rPr>
      </w:pPr>
    </w:p>
    <w:p>
      <w:pPr>
        <w:pStyle w:val="a"/>
        <w:spacing w:before="0" w:after="0" w:line="240" w:lineRule="auto"/>
        <w:rPr>
          <w:rFonts w:ascii="Times New Roman" w:hAnsi="Times New Roman" w:cs="Times New Roman"/>
          <w:lang w:val="sk-SK" w:eastAsia="cs-CZ"/>
        </w:rPr>
      </w:pPr>
    </w:p>
    <w:p>
      <w:pPr>
        <w:pStyle w:val="a"/>
        <w:spacing w:before="0" w:after="0" w:line="240" w:lineRule="auto"/>
        <w:rPr>
          <w:rFonts w:ascii="Times New Roman" w:hAnsi="Times New Roman" w:cs="Times New Roman"/>
          <w:lang w:val="sk-SK" w:eastAsia="cs-CZ"/>
        </w:rPr>
      </w:pPr>
    </w:p>
    <w:p>
      <w:pPr>
        <w:pStyle w:val="a"/>
        <w:spacing w:before="0" w:after="0" w:line="240" w:lineRule="auto"/>
        <w:rPr>
          <w:rFonts w:ascii="Times New Roman" w:hAnsi="Times New Roman" w:cs="Times New Roman"/>
          <w:lang w:val="sk-SK" w:eastAsia="cs-CZ"/>
        </w:rPr>
      </w:pPr>
    </w:p>
    <w:p>
      <w:pPr>
        <w:pStyle w:val="a"/>
        <w:spacing w:before="0" w:after="0" w:line="240" w:lineRule="auto"/>
        <w:rPr>
          <w:rFonts w:ascii="Times New Roman" w:hAnsi="Times New Roman" w:cs="Times New Roman"/>
          <w:lang w:val="sk-SK" w:eastAsia="cs-CZ"/>
        </w:rPr>
      </w:pPr>
    </w:p>
    <w:p>
      <w:pPr>
        <w:pStyle w:val="a"/>
        <w:spacing w:before="0" w:after="0" w:line="240" w:lineRule="auto"/>
        <w:rPr>
          <w:rFonts w:ascii="Times New Roman" w:hAnsi="Times New Roman" w:cs="Times New Roman"/>
          <w:lang w:val="sk-SK" w:eastAsia="cs-CZ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-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1143"/>
    <w:multiLevelType w:val="multilevel"/>
    <w:tmpl w:val="A5C283AE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63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036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815F06"/>
    <w:multiLevelType w:val="multilevel"/>
    <w:tmpl w:val="E11A309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73C22679"/>
    <w:multiLevelType w:val="hybridMultilevel"/>
    <w:tmpl w:val="7DDE28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0F240C"/>
    <w:multiLevelType w:val="singleLevel"/>
    <w:tmpl w:val="131C959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rtl w:val="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426" w:hanging="426"/>
      <w:jc w:val="both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sz w:val="28"/>
      <w:szCs w:val="20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jc w:val="both"/>
      <w:outlineLvl w:val="2"/>
    </w:pPr>
    <w:rPr>
      <w:sz w:val="28"/>
      <w:szCs w:val="20"/>
      <w:u w:val="single"/>
      <w:lang w:val="sk-SK"/>
    </w:rPr>
  </w:style>
  <w:style w:type="paragraph" w:styleId="Heading4">
    <w:name w:val="heading 4"/>
    <w:basedOn w:val="Normal"/>
    <w:next w:val="Normal"/>
    <w:uiPriority w:val="9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pPr>
      <w:keepNext/>
      <w:tabs>
        <w:tab w:val="left" w:pos="0"/>
      </w:tabs>
      <w:ind w:left="426" w:hanging="426"/>
      <w:jc w:val="both"/>
      <w:outlineLvl w:val="4"/>
    </w:pPr>
    <w:rPr>
      <w:b/>
      <w:bCs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sz w:val="28"/>
      <w:szCs w:val="20"/>
      <w:lang w:val="cs-CZ"/>
    </w:rPr>
  </w:style>
  <w:style w:type="paragraph" w:styleId="BodyTextIndent3">
    <w:name w:val="Body Text Indent 3"/>
    <w:basedOn w:val="Normal"/>
    <w:pPr>
      <w:ind w:firstLine="426"/>
      <w:jc w:val="both"/>
    </w:pPr>
  </w:style>
  <w:style w:type="paragraph" w:customStyle="1" w:styleId="a">
    <w:name w:val="a)"/>
    <w:basedOn w:val="Normal"/>
    <w:pPr>
      <w:spacing w:before="120" w:after="120" w:line="360" w:lineRule="auto"/>
      <w:jc w:val="both"/>
    </w:pPr>
    <w:rPr>
      <w:lang w:val="cs-CZ"/>
    </w:rPr>
  </w:style>
  <w:style w:type="paragraph" w:styleId="BodyTextIndent">
    <w:name w:val="Body Text Indent"/>
    <w:basedOn w:val="Normal"/>
    <w:pPr>
      <w:ind w:left="900" w:hanging="360"/>
      <w:jc w:val="both"/>
    </w:pPr>
    <w:rPr>
      <w:lang w:val="sk-SK"/>
    </w:rPr>
  </w:style>
  <w:style w:type="paragraph" w:styleId="BodyTextIndent2">
    <w:name w:val="Body Text Indent 2"/>
    <w:basedOn w:val="Normal"/>
    <w:pPr>
      <w:ind w:left="900" w:hanging="540"/>
      <w:jc w:val="both"/>
    </w:pPr>
  </w:style>
  <w:style w:type="paragraph" w:styleId="BodyText2">
    <w:name w:val="Body Text 2"/>
    <w:basedOn w:val="Normal"/>
    <w:pPr>
      <w:tabs>
        <w:tab w:val="left" w:pos="426"/>
      </w:tabs>
      <w:jc w:val="both"/>
    </w:pPr>
  </w:style>
  <w:style w:type="paragraph" w:styleId="BodyText3">
    <w:name w:val="Body Text 3"/>
    <w:basedOn w:val="Normal"/>
    <w:pPr>
      <w:tabs>
        <w:tab w:val="left" w:pos="0"/>
      </w:tabs>
      <w:jc w:val="both"/>
    </w:pPr>
    <w:rPr>
      <w:b/>
      <w:bCs/>
    </w:rPr>
  </w:style>
  <w:style w:type="paragraph" w:styleId="Title">
    <w:name w:val="Title"/>
    <w:basedOn w:val="Normal"/>
    <w:uiPriority w:val="10"/>
    <w:qFormat/>
    <w:pPr>
      <w:tabs>
        <w:tab w:val="left" w:pos="0"/>
      </w:tabs>
      <w:ind w:left="426" w:hanging="426"/>
      <w:jc w:val="center"/>
    </w:pPr>
    <w:rPr>
      <w:b/>
      <w:bCs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1530</Words>
  <Characters>8721</Characters>
  <Application>Microsoft Office Word</Application>
  <DocSecurity>0</DocSecurity>
  <Lines>0</Lines>
  <Paragraphs>0</Paragraphs>
  <ScaleCrop>false</ScaleCrop>
  <Company>NBS</Company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Vyhnalik</dc:creator>
  <cp:lastModifiedBy>Darina Caplanova</cp:lastModifiedBy>
  <cp:revision>2</cp:revision>
  <cp:lastPrinted>2004-06-16T12:17:00Z</cp:lastPrinted>
  <dcterms:created xsi:type="dcterms:W3CDTF">2004-06-18T12:00:00Z</dcterms:created>
  <dcterms:modified xsi:type="dcterms:W3CDTF">2004-06-18T12:00:00Z</dcterms:modified>
</cp:coreProperties>
</file>