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outlineLvl w:val="0"/>
        <w:rPr>
          <w:rFonts w:ascii="Times New Roman" w:hAnsi="Times New Roman" w:cs="Times New Roman"/>
          <w:b/>
          <w:sz w:val="28"/>
        </w:rPr>
      </w:pPr>
      <w:r>
        <w:rPr>
          <w:rFonts w:ascii="Times New Roman" w:hAnsi="Times New Roman" w:cs="Times New Roman"/>
          <w:b/>
          <w:sz w:val="28"/>
        </w:rPr>
        <w:t xml:space="preserve"> Tabuľka zhody (Table of Concordance)</w:t>
      </w:r>
    </w:p>
    <w:p>
      <w:pPr>
        <w:jc w:val="center"/>
        <w:rPr>
          <w:rFonts w:ascii="Times New Roman" w:hAnsi="Times New Roman" w:cs="Times New Roman"/>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Pr>
      <w:tblGrid>
        <w:gridCol w:w="4748"/>
        <w:gridCol w:w="10172"/>
      </w:tblGrid>
      <w:tr>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PrEx>
        <w:trPr>
          <w:trHeight w:hRule="auto" w:val="0"/>
        </w:trPr>
        <w:tc>
          <w:tcPr>
            <w:tcW w:w="4748"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rPr>
            </w:pPr>
            <w:r>
              <w:rPr>
                <w:rFonts w:ascii="Times New Roman" w:hAnsi="Times New Roman" w:cs="Times New Roman"/>
                <w:b/>
              </w:rPr>
              <w:t>Právny predpis EÚ</w:t>
            </w:r>
          </w:p>
        </w:tc>
        <w:tc>
          <w:tcPr>
            <w:tcW w:w="1017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rPr>
            </w:pPr>
            <w:r>
              <w:rPr>
                <w:rFonts w:ascii="Times New Roman" w:hAnsi="Times New Roman" w:cs="Times New Roman"/>
                <w:b/>
              </w:rPr>
              <w:t>Právny predpis SR</w:t>
            </w:r>
          </w:p>
        </w:tc>
      </w:tr>
      <w:tr>
        <w:tblPrEx>
          <w:tblW w:w="0" w:type="auto"/>
          <w:tblLayout w:type="fixed"/>
          <w:tblCellMar>
            <w:top w:w="0" w:type="dxa"/>
            <w:left w:w="70" w:type="dxa"/>
            <w:bottom w:w="0" w:type="dxa"/>
            <w:right w:w="70" w:type="dxa"/>
          </w:tblCellMar>
        </w:tblPrEx>
        <w:trPr>
          <w:trHeight w:hRule="auto" w:val="0"/>
        </w:trPr>
        <w:tc>
          <w:tcPr>
            <w:tcW w:w="4748"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1"/>
              <w:rPr>
                <w:rFonts w:ascii="Times New Roman" w:hAnsi="Times New Roman" w:cs="Times New Roman"/>
              </w:rPr>
            </w:pPr>
            <w:r>
              <w:rPr>
                <w:rFonts w:ascii="Times New Roman" w:hAnsi="Times New Roman" w:cs="Times New Roman"/>
              </w:rPr>
              <w:t>SMERNICA 2003/87/ES EURÓPSKEHO PARLAMENTU A RADY, z 13. októbra 2003, ktorou sa ustanovuje schéma obchodovania s emisnými kvótami skleníkových plynov v Spoločenstve a ktorou sa mení a dopĺňa smernica rady 96/61/ES</w:t>
            </w:r>
          </w:p>
          <w:p>
            <w:pPr>
              <w:jc w:val="center"/>
              <w:rPr>
                <w:rFonts w:ascii="Times New Roman" w:hAnsi="Times New Roman" w:cs="Times New Roman"/>
                <w:b/>
              </w:rPr>
            </w:pPr>
          </w:p>
        </w:tc>
        <w:tc>
          <w:tcPr>
            <w:tcW w:w="1017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rPr>
            </w:pPr>
            <w:r>
              <w:rPr>
                <w:rFonts w:ascii="Times New Roman" w:hAnsi="Times New Roman" w:cs="Times New Roman"/>
                <w:b/>
              </w:rPr>
              <w:t>Návrh zákona o obchodovaní s emisnými kvótami a o zmene a doplnení niektorých zákonov</w:t>
            </w:r>
          </w:p>
          <w:p>
            <w:pPr>
              <w:jc w:val="center"/>
              <w:rPr>
                <w:rFonts w:ascii="Times New Roman" w:hAnsi="Times New Roman" w:cs="Times New Roman"/>
                <w:b/>
              </w:rPr>
            </w:pPr>
          </w:p>
        </w:tc>
      </w:tr>
    </w:tbl>
    <w:p>
      <w:pPr>
        <w:jc w:val="both"/>
        <w:rPr>
          <w:rFonts w:ascii="Times New Roman" w:hAnsi="Times New Roman" w:cs="Times New Roman"/>
          <w:sz w:val="12"/>
        </w:rPr>
      </w:pPr>
    </w:p>
    <w:tbl>
      <w:tblPr>
        <w:tblW w:w="149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Pr>
      <w:tblGrid>
        <w:gridCol w:w="921"/>
        <w:gridCol w:w="3056"/>
        <w:gridCol w:w="771"/>
        <w:gridCol w:w="992"/>
        <w:gridCol w:w="851"/>
        <w:gridCol w:w="3827"/>
        <w:gridCol w:w="851"/>
        <w:gridCol w:w="1134"/>
        <w:gridCol w:w="1134"/>
        <w:gridCol w:w="1417"/>
      </w:tblGrid>
      <w:tr>
        <w:tblPrEx>
          <w:tblW w:w="149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3</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4</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5</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6</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7</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8</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jc w:val="center"/>
              <w:rPr>
                <w:rFonts w:ascii="Times New Roman" w:hAnsi="Times New Roman" w:cs="Times New Roman"/>
              </w:rPr>
            </w:pPr>
            <w:r>
              <w:rPr>
                <w:rFonts w:ascii="Times New Roman" w:hAnsi="Times New Roman" w:cs="Times New Roman"/>
              </w:rPr>
              <w:t>9</w:t>
            </w: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jc w:val="center"/>
              <w:rPr>
                <w:rFonts w:ascii="Times New Roman" w:hAnsi="Times New Roman" w:cs="Times New Roman"/>
              </w:rPr>
            </w:pPr>
            <w:r>
              <w:rPr>
                <w:rFonts w:ascii="Times New Roman" w:hAnsi="Times New Roman" w:cs="Times New Roman"/>
              </w:rPr>
              <w:t>10</w:t>
            </w: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b/>
                <w:sz w:val="20"/>
              </w:rPr>
              <w:t>Článok</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b/>
              </w:rPr>
              <w:t>Text právneho predpisu EÚ</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sz w:val="20"/>
              </w:rPr>
            </w:pPr>
            <w:r>
              <w:rPr>
                <w:rFonts w:ascii="Times New Roman" w:hAnsi="Times New Roman" w:cs="Times New Roman"/>
                <w:b/>
                <w:sz w:val="20"/>
              </w:rPr>
              <w:t>Spô-sob trans-pozí-cie</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sz w:val="20"/>
              </w:rPr>
            </w:pPr>
            <w:r>
              <w:rPr>
                <w:rFonts w:ascii="Times New Roman" w:hAnsi="Times New Roman" w:cs="Times New Roman"/>
                <w:b/>
                <w:sz w:val="20"/>
              </w:rPr>
              <w:t>Predpis</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rPr>
            </w:pPr>
            <w:r>
              <w:rPr>
                <w:rFonts w:ascii="Times New Roman" w:hAnsi="Times New Roman" w:cs="Times New Roman"/>
                <w:b/>
                <w:sz w:val="20"/>
              </w:rPr>
              <w:t>Článok (Č,§,O,V,P)</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b/>
              </w:rPr>
            </w:pPr>
            <w:r>
              <w:rPr>
                <w:rFonts w:ascii="Times New Roman" w:hAnsi="Times New Roman" w:cs="Times New Roman"/>
                <w:b/>
              </w:rPr>
              <w:t>Text slovenského právneho p</w:t>
            </w:r>
            <w:r>
              <w:rPr>
                <w:rFonts w:ascii="Times New Roman" w:hAnsi="Times New Roman" w:cs="Times New Roman"/>
                <w:b/>
              </w:rPr>
              <w:t>redpisu</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3"/>
              <w:rPr>
                <w:rFonts w:ascii="Times New Roman" w:hAnsi="Times New Roman" w:cs="Times New Roman"/>
                <w:color w:val="auto"/>
              </w:rPr>
            </w:pPr>
            <w:r>
              <w:rPr>
                <w:rFonts w:ascii="Times New Roman" w:hAnsi="Times New Roman" w:cs="Times New Roman"/>
                <w:color w:val="auto"/>
              </w:rPr>
              <w:t>Zhoda</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b/>
                <w:sz w:val="20"/>
              </w:rPr>
              <w:t>Admini-stratívna infraštruk-túra</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1"/>
              <w:spacing w:before="0"/>
              <w:rPr>
                <w:rFonts w:ascii="Times New Roman" w:hAnsi="Times New Roman" w:cs="Times New Roman"/>
                <w:kern w:val="0"/>
                <w:sz w:val="20"/>
              </w:rPr>
            </w:pPr>
            <w:r>
              <w:rPr>
                <w:rFonts w:ascii="Times New Roman" w:hAnsi="Times New Roman" w:cs="Times New Roman"/>
                <w:kern w:val="0"/>
                <w:sz w:val="20"/>
              </w:rPr>
              <w:t>Poznámky</w:t>
            </w: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1"/>
              <w:spacing w:before="0"/>
              <w:rPr>
                <w:rFonts w:ascii="Times New Roman" w:hAnsi="Times New Roman" w:cs="Times New Roman"/>
                <w:kern w:val="0"/>
                <w:sz w:val="20"/>
              </w:rPr>
            </w:pPr>
            <w:r>
              <w:rPr>
                <w:rFonts w:ascii="Times New Roman" w:hAnsi="Times New Roman" w:cs="Times New Roman"/>
                <w:kern w:val="0"/>
                <w:sz w:val="20"/>
              </w:rPr>
              <w:t>Štádium legislatívneho procesu</w:t>
            </w: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Predmet</w:t>
            </w:r>
          </w:p>
          <w:p>
            <w:pPr>
              <w:rPr>
                <w:rFonts w:ascii="Times New Roman" w:hAnsi="Times New Roman" w:cs="Times New Roman"/>
              </w:rPr>
            </w:pPr>
            <w:r>
              <w:rPr>
                <w:rFonts w:ascii="Times New Roman" w:hAnsi="Times New Roman" w:cs="Times New Roman"/>
              </w:rPr>
              <w:t>Táto smernica ustanovuje schému obchodovania s emisnými kvótami skleníkových plynov v Spoločenstve (ďalšej len „schéma Spoločenstva“) na podporu znižovania emisií skleníkových plynov finančne a ekonomicky výhodným spôsobom.</w:t>
            </w:r>
          </w:p>
          <w:p>
            <w:pPr>
              <w:rPr>
                <w:rFonts w:ascii="Times New Roman" w:hAnsi="Times New Roman" w:cs="Times New Roman"/>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tabs>
                <w:tab w:val="left" w:pos="406"/>
              </w:tabs>
              <w:ind w:left="-19"/>
              <w:rPr>
                <w:rFonts w:ascii="Times New Roman" w:hAnsi="Times New Roman" w:cs="Times New Roman"/>
                <w:b/>
              </w:rPr>
            </w:pPr>
            <w:r>
              <w:rPr>
                <w:rFonts w:ascii="Times New Roman" w:hAnsi="Times New Roman" w:cs="Times New Roman"/>
                <w:b/>
              </w:rPr>
              <w:t>Predmet  zákona</w:t>
            </w:r>
          </w:p>
          <w:p>
            <w:pPr>
              <w:pStyle w:val="BodyText2"/>
              <w:ind w:firstLine="357"/>
              <w:jc w:val="both"/>
              <w:rPr>
                <w:rFonts w:ascii="Times New Roman" w:hAnsi="Times New Roman" w:cs="Times New Roman"/>
                <w:color w:val="auto"/>
              </w:rPr>
            </w:pPr>
            <w:r>
              <w:rPr>
                <w:rFonts w:ascii="Times New Roman" w:hAnsi="Times New Roman" w:cs="Times New Roman"/>
                <w:color w:val="auto"/>
              </w:rPr>
              <w:t xml:space="preserve">Tento zákon upravuje </w:t>
            </w:r>
          </w:p>
          <w:p>
            <w:pPr>
              <w:pStyle w:val="BodyText2"/>
              <w:numPr>
                <w:ilvl w:val="0"/>
                <w:numId w:val="56"/>
              </w:numPr>
              <w:tabs>
                <w:tab w:val="left" w:pos="360"/>
              </w:tabs>
              <w:jc w:val="left"/>
              <w:rPr>
                <w:rFonts w:ascii="Times New Roman" w:hAnsi="Times New Roman" w:cs="Times New Roman"/>
                <w:color w:val="auto"/>
              </w:rPr>
            </w:pPr>
            <w:r>
              <w:rPr>
                <w:rFonts w:ascii="Times New Roman" w:hAnsi="Times New Roman" w:cs="Times New Roman"/>
                <w:color w:val="auto"/>
              </w:rPr>
              <w:t>obchodovanie s emisnými kvótami skleníkových plynov v Slovenskej republike, v Európskej únii a medzi osobami registrovanými v Slovenskej republike a osobami registrovanými v krajinách uvedených v prílohe B Kjótskeho protokolu, ktoré podporuje znižovanie emisií skleníkových plynov ekonomicky výhodným spôsobom (ďalej len „schéma obchodovania“).</w:t>
            </w:r>
          </w:p>
          <w:p>
            <w:pPr>
              <w:pStyle w:val="BodyText2"/>
              <w:jc w:val="both"/>
              <w:rPr>
                <w:rFonts w:ascii="Times New Roman" w:hAnsi="Times New Roman" w:cs="Times New Roman"/>
                <w:color w:val="auto"/>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odsek"/>
              <w:spacing w:before="0"/>
              <w:jc w:val="center"/>
              <w:rPr>
                <w:rFonts w:ascii="Times New Roman" w:hAnsi="Times New Roman" w:cs="Times New Roman"/>
                <w:color w:val="auto"/>
              </w:rPr>
            </w:pPr>
            <w:r>
              <w:rPr>
                <w:rFonts w:ascii="Times New Roman" w:hAnsi="Times New Roman" w:cs="Times New Roman"/>
                <w:color w:val="auto"/>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
              <w:rPr>
                <w:rFonts w:ascii="Times New Roman" w:hAnsi="Times New Roman" w:cs="Times New Roman"/>
                <w:b/>
              </w:rPr>
            </w:pPr>
            <w:r>
              <w:rPr>
                <w:rFonts w:ascii="Times New Roman" w:hAnsi="Times New Roman" w:cs="Times New Roman"/>
                <w:b/>
              </w:rPr>
              <w:t>Rozsah</w:t>
            </w:r>
          </w:p>
          <w:p>
            <w:pPr>
              <w:pStyle w:val="BodyText"/>
              <w:rPr>
                <w:rFonts w:ascii="Times New Roman" w:hAnsi="Times New Roman" w:cs="Times New Roman"/>
              </w:rPr>
            </w:pPr>
            <w:r>
              <w:rPr>
                <w:rFonts w:ascii="Times New Roman" w:hAnsi="Times New Roman" w:cs="Times New Roman"/>
              </w:rPr>
              <w:t>Táto smernica sa vzťahuje na emisie z činností uvedených v prílohe I a skleníkové plyny uvedené v prílohe II.</w:t>
            </w:r>
          </w:p>
          <w:p>
            <w:pPr>
              <w:rPr>
                <w:rFonts w:ascii="Times New Roman" w:hAnsi="Times New Roman" w:cs="Times New Roman"/>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 xml:space="preserve">N </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 c)</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§2 f)</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spacing w:line="240" w:lineRule="atLeast"/>
              <w:rPr>
                <w:rFonts w:ascii="Times New Roman" w:hAnsi="Times New Roman" w:cs="Times New Roman"/>
                <w:bCs w:val="0"/>
                <w:iCs/>
              </w:rPr>
            </w:pPr>
            <w:r>
              <w:rPr>
                <w:rFonts w:ascii="Times New Roman" w:hAnsi="Times New Roman" w:cs="Times New Roman"/>
                <w:bCs w:val="0"/>
                <w:iCs/>
              </w:rPr>
              <w:t>Základné pojmy</w:t>
            </w:r>
          </w:p>
          <w:p>
            <w:pPr>
              <w:pStyle w:val="pismeno"/>
              <w:numPr>
                <w:numId w:val="0"/>
              </w:numPr>
              <w:tabs>
                <w:tab w:val="left" w:pos="142"/>
                <w:tab w:val="clear" w:pos="426"/>
              </w:tabs>
              <w:jc w:val="left"/>
              <w:rPr>
                <w:rFonts w:ascii="Times New Roman" w:hAnsi="Times New Roman" w:cs="Times New Roman"/>
              </w:rPr>
            </w:pPr>
            <w:r>
              <w:rPr>
                <w:rFonts w:ascii="Times New Roman" w:hAnsi="Times New Roman" w:cs="Times New Roman"/>
              </w:rPr>
              <w:t>Na účely tohto zákona sa rozumie skleníkovými plynmi plynné látky spôsobujúce skleníkový efekt uvedené v prílohe č.2 tabuľka A.</w:t>
            </w:r>
          </w:p>
          <w:p>
            <w:pPr>
              <w:pStyle w:val="pismeno"/>
              <w:numPr>
                <w:numId w:val="0"/>
              </w:numPr>
              <w:tabs>
                <w:tab w:val="left" w:pos="142"/>
                <w:tab w:val="clear" w:pos="426"/>
              </w:tabs>
              <w:jc w:val="left"/>
              <w:rPr>
                <w:rFonts w:ascii="Times New Roman" w:hAnsi="Times New Roman" w:cs="Times New Roman"/>
              </w:rPr>
            </w:pPr>
          </w:p>
          <w:p>
            <w:pPr>
              <w:pStyle w:val="pismeno"/>
              <w:numPr>
                <w:numId w:val="0"/>
              </w:numPr>
              <w:tabs>
                <w:tab w:val="left" w:pos="142"/>
                <w:tab w:val="clear" w:pos="426"/>
              </w:tabs>
              <w:jc w:val="left"/>
              <w:rPr>
                <w:rFonts w:ascii="Times New Roman" w:hAnsi="Times New Roman" w:cs="Times New Roman"/>
              </w:rPr>
            </w:pPr>
            <w:r>
              <w:rPr>
                <w:rFonts w:ascii="Times New Roman" w:hAnsi="Times New Roman" w:cs="Times New Roman"/>
              </w:rPr>
              <w:t>Na účely tohto zákona sa rozumie</w:t>
            </w:r>
          </w:p>
          <w:p>
            <w:pPr>
              <w:pStyle w:val="pismeno"/>
              <w:numPr>
                <w:numId w:val="0"/>
              </w:numPr>
              <w:tabs>
                <w:tab w:val="left" w:pos="142"/>
                <w:tab w:val="clear" w:pos="426"/>
              </w:tabs>
              <w:jc w:val="left"/>
              <w:rPr>
                <w:rFonts w:ascii="Times New Roman" w:hAnsi="Times New Roman" w:cs="Times New Roman"/>
              </w:rPr>
            </w:pPr>
            <w:r>
              <w:rPr>
                <w:rFonts w:ascii="Times New Roman" w:hAnsi="Times New Roman" w:cs="Times New Roman"/>
              </w:rPr>
              <w:t>prevádzkou stacionárny technologický celok, v ktorom sa vykonáva jedna alebo viac činností uvedených v prílohe č.1 a akákoľvek iná priamo s nimi súvisiaca činnosť, ktorá má na uvedené činnosti technickú nadväznosť a ktorá môže mať vplyv na emisie a každý iný technologický celok, ktorý emituje skleníkové plyny, ktorého prevádzkovateľ sa dobrovoľne prihlásil do schémy obchodovania.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
              <w:rPr>
                <w:rFonts w:ascii="Times New Roman" w:hAnsi="Times New Roman" w:cs="Times New Roman"/>
                <w:b/>
                <w:bCs/>
              </w:rPr>
            </w:pPr>
            <w:r>
              <w:rPr>
                <w:rFonts w:ascii="Times New Roman" w:hAnsi="Times New Roman" w:cs="Times New Roman"/>
                <w:b/>
                <w:bCs/>
              </w:rPr>
              <w:t>Rozsah</w:t>
            </w:r>
          </w:p>
          <w:p>
            <w:pPr>
              <w:pStyle w:val="BodyText"/>
              <w:rPr>
                <w:rFonts w:ascii="Times New Roman" w:hAnsi="Times New Roman" w:cs="Times New Roman"/>
              </w:rPr>
            </w:pPr>
            <w:r>
              <w:rPr>
                <w:rFonts w:ascii="Times New Roman" w:hAnsi="Times New Roman" w:cs="Times New Roman"/>
              </w:rPr>
              <w:t xml:space="preserve">Táto smernica sa bude uplatňovať bez toho, aby boli dotknuté požiadavky podľa smernice 96/61/ES. </w:t>
            </w:r>
          </w:p>
          <w:p>
            <w:pPr>
              <w:rPr>
                <w:rFonts w:ascii="Times New Roman" w:hAnsi="Times New Roman" w:cs="Times New Roman"/>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rPr>
              <w:t xml:space="preserve"> 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pismeno"/>
              <w:numPr>
                <w:numId w:val="0"/>
              </w:numPr>
              <w:jc w:val="left"/>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sz w:val="20"/>
              </w:rPr>
            </w:pPr>
            <w:r>
              <w:rPr>
                <w:rFonts w:ascii="Times New Roman" w:hAnsi="Times New Roman" w:cs="Times New Roman"/>
                <w:sz w:val="20"/>
              </w:rPr>
              <w:t xml:space="preserve">Právny systém SR dostatočne zabezpečuje súlad medzi  jednotlivými zákonmi </w:t>
            </w: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sz w:val="20"/>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definície:</w:t>
            </w:r>
          </w:p>
          <w:p>
            <w:pPr>
              <w:pStyle w:val="BodyText"/>
              <w:rPr>
                <w:rFonts w:ascii="Times New Roman" w:hAnsi="Times New Roman" w:cs="Times New Roman"/>
              </w:rPr>
            </w:pPr>
            <w:r>
              <w:rPr>
                <w:rFonts w:ascii="Times New Roman" w:hAnsi="Times New Roman" w:cs="Times New Roman"/>
              </w:rPr>
              <w:t>„kvóta“ znamená povolenie vypustiť jednu tonu ekvivalentu oxidu uhličitého počas určitej doby, platné len pre účely plnenia požiadaviek tejto smernice, a ktoré je prenosné v súlade s ustanoveniami tejto smernice;</w:t>
            </w:r>
          </w:p>
          <w:p>
            <w:pPr>
              <w:rPr>
                <w:rFonts w:ascii="Times New Roman" w:hAnsi="Times New Roman" w:cs="Times New Roman"/>
                <w:b/>
                <w:bCs/>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 a)</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spacing w:line="240" w:lineRule="atLeast"/>
              <w:rPr>
                <w:rFonts w:ascii="Times New Roman" w:hAnsi="Times New Roman" w:cs="Times New Roman"/>
                <w:bCs w:val="0"/>
                <w:iCs/>
              </w:rPr>
            </w:pPr>
            <w:r>
              <w:rPr>
                <w:rFonts w:ascii="Times New Roman" w:hAnsi="Times New Roman" w:cs="Times New Roman"/>
                <w:bCs w:val="0"/>
                <w:iCs/>
              </w:rPr>
              <w:t>Základné pojmy</w:t>
            </w:r>
          </w:p>
          <w:p>
            <w:pPr>
              <w:spacing w:line="240" w:lineRule="atLeast"/>
              <w:rPr>
                <w:rFonts w:ascii="Times New Roman" w:hAnsi="Times New Roman" w:cs="Times New Roman"/>
              </w:rPr>
            </w:pPr>
            <w:r>
              <w:rPr>
                <w:rFonts w:ascii="Times New Roman" w:hAnsi="Times New Roman" w:cs="Times New Roman"/>
              </w:rPr>
              <w:t>Na účely tohto zákona sa rozumie</w:t>
            </w:r>
          </w:p>
          <w:p>
            <w:pPr>
              <w:pStyle w:val="BodyText"/>
              <w:rPr>
                <w:rFonts w:ascii="Times New Roman" w:hAnsi="Times New Roman" w:cs="Times New Roman"/>
              </w:rPr>
            </w:pPr>
            <w:r>
              <w:rPr>
                <w:rFonts w:ascii="Times New Roman" w:hAnsi="Times New Roman" w:cs="Times New Roman"/>
              </w:rPr>
              <w:t>kvótou množstvo emisií povolené vypustiť počas určitej doby, ktoré sa vyjadruje v tonách; v prípade   skleníkových plynov v tonách ekvivalentu oxidu uhličitého.</w:t>
            </w:r>
          </w:p>
          <w:p>
            <w:pPr>
              <w:spacing w:line="240" w:lineRule="atLeast"/>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odsek"/>
              <w:spacing w:before="0"/>
              <w:jc w:val="center"/>
              <w:rPr>
                <w:rFonts w:ascii="Times New Roman" w:hAnsi="Times New Roman" w:cs="Times New Roman"/>
                <w:color w:val="auto"/>
              </w:rPr>
            </w:pPr>
            <w:r>
              <w:rPr>
                <w:rFonts w:ascii="Times New Roman" w:hAnsi="Times New Roman" w:cs="Times New Roman"/>
                <w:color w:val="auto"/>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definície:</w:t>
            </w:r>
          </w:p>
          <w:p>
            <w:pPr>
              <w:rPr>
                <w:rFonts w:ascii="Times New Roman" w:hAnsi="Times New Roman" w:cs="Times New Roman"/>
                <w:b/>
                <w:bCs/>
              </w:rPr>
            </w:pPr>
            <w:r>
              <w:rPr>
                <w:rFonts w:ascii="Times New Roman" w:hAnsi="Times New Roman" w:cs="Times New Roman"/>
              </w:rPr>
              <w:t>“emisie” znamená uvoľňovanie skleníkových plynov do</w:t>
            </w:r>
            <w:r>
              <w:rPr>
                <w:rFonts w:ascii="Times New Roman" w:hAnsi="Times New Roman" w:cs="Times New Roman"/>
              </w:rPr>
              <w:t xml:space="preserve"> atmosféry zo zdrojov v zariadení;</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 e)</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5"/>
              <w:rPr>
                <w:rFonts w:ascii="Times New Roman" w:hAnsi="Times New Roman" w:cs="Times New Roman"/>
              </w:rPr>
            </w:pPr>
            <w:r>
              <w:rPr>
                <w:rFonts w:ascii="Times New Roman" w:hAnsi="Times New Roman" w:cs="Times New Roman"/>
              </w:rPr>
              <w:t>Základné pojmy</w:t>
            </w:r>
          </w:p>
          <w:p>
            <w:pPr>
              <w:pStyle w:val="BodyText21"/>
              <w:spacing w:before="0" w:line="240" w:lineRule="auto"/>
              <w:rPr>
                <w:rFonts w:ascii="Times New Roman" w:hAnsi="Times New Roman" w:cs="Times New Roman"/>
                <w:sz w:val="24"/>
              </w:rPr>
            </w:pPr>
            <w:r>
              <w:rPr>
                <w:rFonts w:ascii="Times New Roman" w:hAnsi="Times New Roman" w:cs="Times New Roman"/>
                <w:sz w:val="24"/>
              </w:rPr>
              <w:t xml:space="preserve">Na účely tohto zákona sa rozumie </w:t>
            </w:r>
          </w:p>
          <w:p>
            <w:pPr>
              <w:pStyle w:val="BodyText21"/>
              <w:spacing w:before="0" w:line="240" w:lineRule="auto"/>
              <w:rPr>
                <w:rFonts w:ascii="Times New Roman" w:hAnsi="Times New Roman" w:cs="Times New Roman"/>
                <w:sz w:val="24"/>
              </w:rPr>
            </w:pPr>
            <w:r>
              <w:rPr>
                <w:rFonts w:ascii="Times New Roman" w:hAnsi="Times New Roman" w:cs="Times New Roman"/>
                <w:sz w:val="24"/>
              </w:rPr>
              <w:t>emisiou uvoľňovanie skleníkových plynov a znečisťujúcich látok do ovzdušia z prevádzok.</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odsek"/>
              <w:spacing w:before="0"/>
              <w:jc w:val="center"/>
              <w:rPr>
                <w:rFonts w:ascii="Times New Roman" w:hAnsi="Times New Roman" w:cs="Times New Roman"/>
                <w:color w:val="auto"/>
              </w:rPr>
            </w:pPr>
            <w:r>
              <w:rPr>
                <w:rFonts w:ascii="Times New Roman" w:hAnsi="Times New Roman" w:cs="Times New Roman"/>
                <w:color w:val="auto"/>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w:t>
            </w:r>
            <w:r>
              <w:rPr>
                <w:rFonts w:ascii="Times New Roman" w:hAnsi="Times New Roman" w:cs="Times New Roman"/>
              </w:rPr>
              <w:t>sledujúce definície:</w:t>
            </w:r>
          </w:p>
          <w:p>
            <w:pPr>
              <w:rPr>
                <w:rFonts w:ascii="Times New Roman" w:hAnsi="Times New Roman" w:cs="Times New Roman"/>
                <w:b/>
                <w:bCs/>
              </w:rPr>
            </w:pPr>
            <w:r>
              <w:rPr>
                <w:rFonts w:ascii="Times New Roman" w:hAnsi="Times New Roman" w:cs="Times New Roman"/>
              </w:rPr>
              <w:t>„skleníkové plyny“ znamená plyny uvedené v prílohe II;</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 c)</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iCs/>
                <w:sz w:val="24"/>
              </w:rPr>
            </w:pPr>
            <w:r>
              <w:rPr>
                <w:rFonts w:ascii="Times New Roman" w:hAnsi="Times New Roman" w:cs="Times New Roman"/>
                <w:b/>
                <w:iCs/>
                <w:sz w:val="24"/>
              </w:rPr>
              <w:t>Základné pojmy</w:t>
            </w:r>
          </w:p>
          <w:p>
            <w:pPr>
              <w:pStyle w:val="BodyText21"/>
              <w:spacing w:before="0" w:line="240" w:lineRule="auto"/>
              <w:rPr>
                <w:rFonts w:ascii="Times New Roman" w:hAnsi="Times New Roman" w:cs="Times New Roman"/>
                <w:sz w:val="24"/>
              </w:rPr>
            </w:pPr>
            <w:r>
              <w:rPr>
                <w:rFonts w:ascii="Times New Roman" w:hAnsi="Times New Roman" w:cs="Times New Roman"/>
                <w:sz w:val="24"/>
              </w:rPr>
              <w:t xml:space="preserve">Na účely tohto zákona sa rozumie </w:t>
            </w:r>
          </w:p>
          <w:p>
            <w:pPr>
              <w:pStyle w:val="BodyText21"/>
              <w:spacing w:before="0" w:line="240" w:lineRule="auto"/>
              <w:rPr>
                <w:rFonts w:ascii="Times New Roman" w:hAnsi="Times New Roman" w:cs="Times New Roman"/>
                <w:sz w:val="24"/>
              </w:rPr>
            </w:pPr>
            <w:r>
              <w:rPr>
                <w:rFonts w:ascii="Times New Roman" w:hAnsi="Times New Roman" w:cs="Times New Roman"/>
                <w:sz w:val="24"/>
              </w:rPr>
              <w:t>skleníkovými plynmi plynné látky spôsobujúce skleníkový efekt uvedené v prílohe č.2 tabuľka 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odsek"/>
              <w:spacing w:before="0"/>
              <w:jc w:val="center"/>
              <w:rPr>
                <w:rFonts w:ascii="Times New Roman" w:hAnsi="Times New Roman" w:cs="Times New Roman"/>
                <w:color w:val="auto"/>
              </w:rPr>
            </w:pPr>
            <w:r>
              <w:rPr>
                <w:rFonts w:ascii="Times New Roman" w:hAnsi="Times New Roman" w:cs="Times New Roman"/>
                <w:color w:val="auto"/>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w:t>
            </w:r>
            <w:r>
              <w:rPr>
                <w:rFonts w:ascii="Times New Roman" w:hAnsi="Times New Roman" w:cs="Times New Roman"/>
              </w:rPr>
              <w:t>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definície:</w:t>
            </w:r>
          </w:p>
          <w:p>
            <w:pPr>
              <w:rPr>
                <w:rFonts w:ascii="Times New Roman" w:hAnsi="Times New Roman" w:cs="Times New Roman"/>
                <w:b/>
                <w:bCs/>
              </w:rPr>
            </w:pPr>
            <w:r>
              <w:rPr>
                <w:rFonts w:ascii="Times New Roman" w:hAnsi="Times New Roman" w:cs="Times New Roman"/>
              </w:rPr>
              <w:t>„povolenie na emisie skleníkových plynov“ znamená povolenie vydané v súlade s článkami 5 a 6;</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§3 (1)</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5"/>
              <w:rPr>
                <w:rFonts w:ascii="Times New Roman" w:hAnsi="Times New Roman" w:cs="Times New Roman"/>
              </w:rPr>
            </w:pPr>
            <w:r>
              <w:rPr>
                <w:rFonts w:ascii="Times New Roman" w:hAnsi="Times New Roman" w:cs="Times New Roman"/>
              </w:rPr>
              <w:t>Povolenie</w:t>
            </w:r>
          </w:p>
          <w:p>
            <w:pPr>
              <w:pStyle w:val="FootnoteText"/>
              <w:rPr>
                <w:rFonts w:ascii="Times New Roman" w:hAnsi="Times New Roman" w:cs="Times New Roman"/>
              </w:rPr>
            </w:pPr>
            <w:r>
              <w:rPr>
                <w:rFonts w:ascii="Times New Roman" w:hAnsi="Times New Roman" w:cs="Times New Roman"/>
              </w:rPr>
              <w:t xml:space="preserve">Na vypúšťanie skleníkových plynov alebo znečisťujúcich látok z prevádzky alebo jej časti sa vyžaduje povolenie vydané podľa §5. </w:t>
            </w:r>
          </w:p>
          <w:p>
            <w:pPr>
              <w:pStyle w:val="FootnoteText"/>
              <w:rPr>
                <w:rFonts w:ascii="Times New Roman" w:hAnsi="Times New Roman" w:cs="Times New Roman"/>
              </w:rPr>
            </w:pPr>
          </w:p>
          <w:p>
            <w:pPr>
              <w:pStyle w:val="FootnoteText"/>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odsek"/>
              <w:spacing w:before="0"/>
              <w:jc w:val="center"/>
              <w:rPr>
                <w:rFonts w:ascii="Times New Roman" w:hAnsi="Times New Roman" w:cs="Times New Roman"/>
                <w:color w:val="auto"/>
              </w:rPr>
            </w:pPr>
            <w:r>
              <w:rPr>
                <w:rFonts w:ascii="Times New Roman" w:hAnsi="Times New Roman" w:cs="Times New Roman"/>
                <w:color w:val="auto"/>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definície:</w:t>
            </w:r>
          </w:p>
          <w:p>
            <w:pPr>
              <w:pStyle w:val="BodyText"/>
              <w:rPr>
                <w:rFonts w:ascii="Times New Roman" w:hAnsi="Times New Roman" w:cs="Times New Roman"/>
                <w:b/>
                <w:bCs/>
              </w:rPr>
            </w:pPr>
            <w:r>
              <w:rPr>
                <w:rFonts w:ascii="Times New Roman" w:hAnsi="Times New Roman" w:cs="Times New Roman"/>
              </w:rPr>
              <w:t xml:space="preserve">„zariadenie“ znamená stacionárnu technologickú jednotku, v ktorej sa vykonáva jedna alebo viac priemyselných činností uvedených v prílohe I, ako aj všetky ostatné priamo s tým spojené činnosti, ktoré majú technickú nadväznosť na činnosti vykonávané v tom istom mieste, ktoré môžu mať vplyv na znečisťovanie, </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 f)</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5"/>
              <w:rPr>
                <w:rFonts w:ascii="Times New Roman" w:hAnsi="Times New Roman" w:cs="Times New Roman"/>
              </w:rPr>
            </w:pPr>
            <w:r>
              <w:rPr>
                <w:rFonts w:ascii="Times New Roman" w:hAnsi="Times New Roman" w:cs="Times New Roman"/>
              </w:rPr>
              <w:t>Základné pojmy</w:t>
            </w:r>
          </w:p>
          <w:p>
            <w:pPr>
              <w:jc w:val="both"/>
              <w:rPr>
                <w:rFonts w:ascii="Times New Roman" w:hAnsi="Times New Roman" w:cs="Times New Roman"/>
              </w:rPr>
            </w:pPr>
            <w:r>
              <w:rPr>
                <w:rFonts w:ascii="Times New Roman" w:hAnsi="Times New Roman" w:cs="Times New Roman"/>
              </w:rPr>
              <w:t>Na účely tohto zákona sa rozumie prevádzkou stacionárny technologický celok, v ktorom sa vykonáva jedna alebo viac činností uvedených v prílohe č.1 a akákoľvek iná priamo s nimi súvisiaca činnosť, ktorá má na uvedené činnosti technickú nadväznosť a ktorá môže mať vplyv na emisie a každý takýto technologický celok pod kapacitným limitom uvedeným v prílohe č.1 tabuľka B, ktorého prevádzkovateľ sa dobrovoľne prihlásil do schémy obchodovania.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odsek"/>
              <w:spacing w:before="0"/>
              <w:jc w:val="center"/>
              <w:rPr>
                <w:rFonts w:ascii="Times New Roman" w:hAnsi="Times New Roman" w:cs="Times New Roman"/>
                <w:color w:val="auto"/>
              </w:rPr>
            </w:pPr>
            <w:r>
              <w:rPr>
                <w:rFonts w:ascii="Times New Roman" w:hAnsi="Times New Roman" w:cs="Times New Roman"/>
                <w:color w:val="auto"/>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w:t>
            </w:r>
            <w:r>
              <w:rPr>
                <w:rFonts w:ascii="Times New Roman" w:hAnsi="Times New Roman" w:cs="Times New Roman"/>
              </w:rPr>
              <w:t>ície:</w:t>
            </w:r>
          </w:p>
          <w:p>
            <w:pPr>
              <w:rPr>
                <w:rFonts w:ascii="Times New Roman" w:hAnsi="Times New Roman" w:cs="Times New Roman"/>
                <w:b/>
                <w:bCs/>
              </w:rPr>
            </w:pPr>
            <w:r>
              <w:rPr>
                <w:rFonts w:ascii="Times New Roman" w:hAnsi="Times New Roman" w:cs="Times New Roman"/>
              </w:rPr>
              <w:t>„prevádzkovateľ“ znamená osobu, ktorá prevádzkuje alebo riadi zariadenie, alebo ktorej je delegovaná rozhodujúca hospodárska právomoc nad technickým fungovaním zariadenia, v prípadoch ak to ustanovuje národná legislatíva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 g)</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6"/>
              <w:rPr>
                <w:rFonts w:ascii="Times New Roman" w:hAnsi="Times New Roman" w:cs="Times New Roman"/>
              </w:rPr>
            </w:pPr>
            <w:r>
              <w:rPr>
                <w:rFonts w:ascii="Times New Roman" w:hAnsi="Times New Roman" w:cs="Times New Roman"/>
              </w:rPr>
              <w:t>Základné</w:t>
            </w:r>
            <w:r>
              <w:rPr>
                <w:rFonts w:ascii="Times New Roman" w:hAnsi="Times New Roman" w:cs="Times New Roman"/>
              </w:rPr>
              <w:t xml:space="preserve"> pojmy </w:t>
            </w:r>
          </w:p>
          <w:p>
            <w:pPr>
              <w:tabs>
                <w:tab w:val="left" w:pos="381"/>
              </w:tabs>
              <w:jc w:val="both"/>
              <w:rPr>
                <w:rFonts w:ascii="Times New Roman" w:hAnsi="Times New Roman" w:cs="Times New Roman"/>
              </w:rPr>
            </w:pPr>
            <w:r>
              <w:rPr>
                <w:rFonts w:ascii="Times New Roman" w:hAnsi="Times New Roman" w:cs="Times New Roman"/>
              </w:rPr>
              <w:t xml:space="preserve">Na účely tohto zákona sa rozumie povinným účastníkom schémy obchodovania je ten, ktorý prevádzkuje alebo riadi prevádzku (ďalej len „prevádzkovateľ“) každej prevádzky .....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w:t>
            </w:r>
            <w:r>
              <w:rPr>
                <w:rFonts w:ascii="Times New Roman" w:hAnsi="Times New Roman" w:cs="Times New Roman"/>
              </w:rPr>
              <w:t>efinície:</w:t>
            </w:r>
          </w:p>
          <w:p>
            <w:pPr>
              <w:rPr>
                <w:rFonts w:ascii="Times New Roman" w:hAnsi="Times New Roman" w:cs="Times New Roman"/>
                <w:b/>
                <w:bCs/>
              </w:rPr>
            </w:pPr>
            <w:r>
              <w:rPr>
                <w:rFonts w:ascii="Times New Roman" w:hAnsi="Times New Roman" w:cs="Times New Roman"/>
              </w:rPr>
              <w:t>„osoba“ znamená akákoľvek fyzickú alebo právnickú osobu;</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Občiansky zákonník</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 7 (1)</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18 (2) </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tabs>
                <w:tab w:val="left" w:pos="381"/>
              </w:tabs>
              <w:ind w:left="-70"/>
              <w:jc w:val="both"/>
              <w:rPr>
                <w:rFonts w:ascii="Times New Roman" w:hAnsi="Times New Roman" w:cs="Times New Roman"/>
              </w:rPr>
            </w:pPr>
            <w:r>
              <w:rPr>
                <w:rFonts w:ascii="Times New Roman" w:hAnsi="Times New Roman" w:cs="Times New Roman"/>
              </w:rPr>
              <w:t>(1) Spôsobilosť fyzickej  osoby mať práva  a povinnosti vzniká</w:t>
            </w:r>
          </w:p>
          <w:p>
            <w:pPr>
              <w:tabs>
                <w:tab w:val="left" w:pos="381"/>
              </w:tabs>
              <w:ind w:left="-70"/>
              <w:jc w:val="both"/>
              <w:rPr>
                <w:rFonts w:ascii="Times New Roman" w:hAnsi="Times New Roman" w:cs="Times New Roman"/>
              </w:rPr>
            </w:pPr>
            <w:r>
              <w:rPr>
                <w:rFonts w:ascii="Times New Roman" w:hAnsi="Times New Roman" w:cs="Times New Roman"/>
              </w:rPr>
              <w:t>narodením. Túto spôsobilosť má aj počaté dieťa, ak sa narodí živé.</w:t>
            </w:r>
          </w:p>
          <w:p>
            <w:pPr>
              <w:tabs>
                <w:tab w:val="left" w:pos="381"/>
              </w:tabs>
              <w:ind w:left="-70"/>
              <w:jc w:val="both"/>
              <w:rPr>
                <w:rFonts w:ascii="Times New Roman" w:hAnsi="Times New Roman" w:cs="Times New Roman"/>
              </w:rPr>
            </w:pPr>
          </w:p>
          <w:p>
            <w:pPr>
              <w:tabs>
                <w:tab w:val="left" w:pos="381"/>
              </w:tabs>
              <w:ind w:left="-70"/>
              <w:jc w:val="both"/>
              <w:rPr>
                <w:rFonts w:ascii="Times New Roman" w:hAnsi="Times New Roman" w:cs="Times New Roman"/>
              </w:rPr>
            </w:pPr>
            <w:r>
              <w:rPr>
                <w:rFonts w:ascii="Times New Roman" w:hAnsi="Times New Roman" w:cs="Times New Roman"/>
              </w:rPr>
              <w:t>(2) Právnickými</w:t>
            </w:r>
            <w:r>
              <w:rPr>
                <w:rFonts w:ascii="Times New Roman" w:hAnsi="Times New Roman" w:cs="Times New Roman"/>
              </w:rPr>
              <w:t xml:space="preserve"> osobami sú:</w:t>
            </w:r>
          </w:p>
          <w:p>
            <w:pPr>
              <w:tabs>
                <w:tab w:val="left" w:pos="381"/>
              </w:tabs>
              <w:ind w:left="-70"/>
              <w:jc w:val="both"/>
              <w:rPr>
                <w:rFonts w:ascii="Times New Roman" w:hAnsi="Times New Roman" w:cs="Times New Roman"/>
              </w:rPr>
            </w:pPr>
          </w:p>
          <w:p>
            <w:pPr>
              <w:tabs>
                <w:tab w:val="left" w:pos="381"/>
              </w:tabs>
              <w:ind w:left="-70"/>
              <w:jc w:val="both"/>
              <w:rPr>
                <w:rFonts w:ascii="Times New Roman" w:hAnsi="Times New Roman" w:cs="Times New Roman"/>
              </w:rPr>
            </w:pPr>
            <w:r>
              <w:rPr>
                <w:rFonts w:ascii="Times New Roman" w:hAnsi="Times New Roman" w:cs="Times New Roman"/>
              </w:rPr>
              <w:t xml:space="preserve"> a) združenia fyzických alebo právnických osôb,</w:t>
            </w:r>
          </w:p>
          <w:p>
            <w:pPr>
              <w:tabs>
                <w:tab w:val="left" w:pos="381"/>
              </w:tabs>
              <w:ind w:left="-70"/>
              <w:jc w:val="both"/>
              <w:rPr>
                <w:rFonts w:ascii="Times New Roman" w:hAnsi="Times New Roman" w:cs="Times New Roman"/>
              </w:rPr>
            </w:pPr>
            <w:r>
              <w:rPr>
                <w:rFonts w:ascii="Times New Roman" w:hAnsi="Times New Roman" w:cs="Times New Roman"/>
              </w:rPr>
              <w:t xml:space="preserve"> b) účelové združenia majetku,</w:t>
            </w:r>
          </w:p>
          <w:p>
            <w:pPr>
              <w:tabs>
                <w:tab w:val="left" w:pos="381"/>
              </w:tabs>
              <w:ind w:left="-70"/>
              <w:jc w:val="both"/>
              <w:rPr>
                <w:rFonts w:ascii="Times New Roman" w:hAnsi="Times New Roman" w:cs="Times New Roman"/>
              </w:rPr>
            </w:pPr>
            <w:r>
              <w:rPr>
                <w:rFonts w:ascii="Times New Roman" w:hAnsi="Times New Roman" w:cs="Times New Roman"/>
              </w:rPr>
              <w:t xml:space="preserve"> c) jednotky územnej samosprávy,</w:t>
            </w:r>
          </w:p>
          <w:p>
            <w:pPr>
              <w:tabs>
                <w:tab w:val="left" w:pos="381"/>
              </w:tabs>
              <w:ind w:left="-70"/>
              <w:jc w:val="both"/>
              <w:rPr>
                <w:rFonts w:ascii="Times New Roman" w:hAnsi="Times New Roman" w:cs="Times New Roman"/>
              </w:rPr>
            </w:pPr>
            <w:r>
              <w:rPr>
                <w:rFonts w:ascii="Times New Roman" w:hAnsi="Times New Roman" w:cs="Times New Roman"/>
              </w:rPr>
              <w:t xml:space="preserve"> d) iné subjekty, o ktorých to ustanovuje zákon.</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MS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definície</w:t>
            </w:r>
            <w:r>
              <w:rPr>
                <w:rFonts w:ascii="Times New Roman" w:hAnsi="Times New Roman" w:cs="Times New Roman"/>
              </w:rPr>
              <w:t>:</w:t>
            </w:r>
          </w:p>
          <w:p>
            <w:pPr>
              <w:rPr>
                <w:rFonts w:ascii="Times New Roman" w:hAnsi="Times New Roman" w:cs="Times New Roman"/>
                <w:b/>
                <w:bCs/>
              </w:rPr>
            </w:pPr>
            <w:r>
              <w:rPr>
                <w:rFonts w:ascii="Times New Roman" w:hAnsi="Times New Roman" w:cs="Times New Roman"/>
              </w:rPr>
              <w:t>„nový účastník“ znamená akékoľvek zariadenie vykonávajúce jednu alebo viac činností uvedených v prílohe I, ktorý získal povolenie na emisie skleníkových plynov alebo aktualizáciu svojho povolenia na emisie skleníkových plynov kvôli zmene v charaktere alebo fungovaní alebo kvôli rozšíreniu zariadenia, následne po oznámení národného alokačného plánu Komisii;</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 j)</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6"/>
              <w:rPr>
                <w:rFonts w:ascii="Times New Roman" w:hAnsi="Times New Roman" w:cs="Times New Roman"/>
              </w:rPr>
            </w:pPr>
            <w:r>
              <w:rPr>
                <w:rFonts w:ascii="Times New Roman" w:hAnsi="Times New Roman" w:cs="Times New Roman"/>
              </w:rPr>
              <w:t>Základné pojmy</w:t>
            </w:r>
          </w:p>
          <w:p>
            <w:pPr>
              <w:pStyle w:val="BodyText"/>
              <w:tabs>
                <w:tab w:val="left" w:pos="360"/>
              </w:tabs>
              <w:rPr>
                <w:rFonts w:ascii="Times New Roman" w:hAnsi="Times New Roman" w:cs="Times New Roman"/>
              </w:rPr>
            </w:pPr>
            <w:r>
              <w:rPr>
                <w:rFonts w:ascii="Times New Roman" w:hAnsi="Times New Roman" w:cs="Times New Roman"/>
              </w:rPr>
              <w:t>Na účely tohto zákona sa rozumie novým účastníkom schémy obchodovania je prevádzkovateľ každej prevádzky</w:t>
            </w:r>
          </w:p>
          <w:p>
            <w:pPr>
              <w:pStyle w:val="BodyText"/>
              <w:numPr>
                <w:ilvl w:val="0"/>
                <w:numId w:val="79"/>
              </w:numPr>
              <w:tabs>
                <w:tab w:val="clear" w:pos="1500"/>
              </w:tabs>
              <w:ind w:left="355" w:hanging="283"/>
              <w:rPr>
                <w:rFonts w:ascii="Times New Roman" w:hAnsi="Times New Roman" w:cs="Times New Roman"/>
              </w:rPr>
            </w:pPr>
            <w:r>
              <w:rPr>
                <w:rFonts w:ascii="Times New Roman" w:hAnsi="Times New Roman" w:cs="Times New Roman"/>
              </w:rPr>
              <w:t>uvedenej v § 324 ods. 1 písm. a), pre ktorú získal povolenie emitovať skleníkové plyny alebo zmenu takéhoto povolenia z dôvodu zmeny v charaktere alebo v prevádzkovaní prevádzky alebo z dôvodu jej rozšírenia, následne po oznámení národného plánu prideľovania kvót pre skleníkové plyny (ďalej len „plán“) Európskej komisii (ďalej len „komisia“),</w:t>
            </w:r>
          </w:p>
          <w:p>
            <w:pPr>
              <w:pStyle w:val="BodyText"/>
              <w:numPr>
                <w:ilvl w:val="0"/>
                <w:numId w:val="79"/>
              </w:numPr>
              <w:tabs>
                <w:tab w:val="clear" w:pos="1500"/>
              </w:tabs>
              <w:ind w:left="355" w:hanging="283"/>
              <w:rPr>
                <w:rFonts w:ascii="Times New Roman" w:hAnsi="Times New Roman" w:cs="Times New Roman"/>
              </w:rPr>
            </w:pPr>
            <w:r>
              <w:rPr>
                <w:rFonts w:ascii="Times New Roman" w:hAnsi="Times New Roman" w:cs="Times New Roman"/>
              </w:rPr>
              <w:t xml:space="preserve">uvedenej v  § 24 ods.1 písm. b), pre ktorú získal povolenie emitovať skleníkové plyny alebo zmenu takéhoto povolenia z dôvodu zmeny v charaktere alebo v prevádzkovaní prevádzky alebo z dôvodu jej rozšírenia, následne po zverejnení plánu podľa §8 odseku 10. </w:t>
            </w:r>
          </w:p>
          <w:p>
            <w:pPr>
              <w:tabs>
                <w:tab w:val="left" w:pos="381"/>
              </w:tabs>
              <w:jc w:val="both"/>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použijú nasledujúce definície:</w:t>
            </w:r>
          </w:p>
          <w:p>
            <w:pPr>
              <w:pStyle w:val="BodyText"/>
              <w:rPr>
                <w:rFonts w:ascii="Times New Roman" w:hAnsi="Times New Roman" w:cs="Times New Roman"/>
                <w:b/>
                <w:bCs/>
              </w:rPr>
            </w:pPr>
            <w:r>
              <w:rPr>
                <w:rFonts w:ascii="Times New Roman" w:hAnsi="Times New Roman" w:cs="Times New Roman"/>
              </w:rPr>
              <w:t xml:space="preserve">„verejnosť“ znamená jednu alebo viac osôb a v súlade s národnou legislatívou alebo praxou </w:t>
            </w:r>
            <w:r>
              <w:rPr>
                <w:rFonts w:ascii="Times New Roman" w:hAnsi="Times New Roman" w:cs="Times New Roman"/>
              </w:rPr>
              <w:t>aj asociácie, organizácie alebo skupiny osôb;</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 l)</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7"/>
              <w:rPr>
                <w:rFonts w:ascii="Times New Roman" w:hAnsi="Times New Roman" w:cs="Times New Roman"/>
              </w:rPr>
            </w:pPr>
            <w:r>
              <w:rPr>
                <w:rFonts w:ascii="Times New Roman" w:hAnsi="Times New Roman" w:cs="Times New Roman"/>
              </w:rPr>
              <w:t>Základné pojmy</w:t>
            </w:r>
          </w:p>
          <w:p>
            <w:pPr>
              <w:pStyle w:val="BodyText"/>
              <w:rPr>
                <w:rFonts w:ascii="Times New Roman" w:hAnsi="Times New Roman" w:cs="Times New Roman"/>
              </w:rPr>
            </w:pPr>
            <w:r>
              <w:rPr>
                <w:rFonts w:ascii="Times New Roman" w:hAnsi="Times New Roman" w:cs="Times New Roman"/>
              </w:rPr>
              <w:t>Na účely tohto zákona sa rozumie verejnosťou jedna alebo viac osôb vrátane asociácií, organizácií alebo združení.</w:t>
            </w:r>
          </w:p>
          <w:p>
            <w:pPr>
              <w:tabs>
                <w:tab w:val="left" w:pos="381"/>
              </w:tabs>
              <w:ind w:left="-70"/>
              <w:jc w:val="both"/>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rPr>
                <w:rFonts w:ascii="Times New Roman" w:hAnsi="Times New Roman" w:cs="Times New Roman"/>
                <w:sz w:val="24"/>
              </w:rPr>
            </w:pPr>
            <w:r>
              <w:rPr>
                <w:rFonts w:ascii="Times New Roman" w:hAnsi="Times New Roman" w:cs="Times New Roman"/>
                <w:sz w:val="24"/>
              </w:rPr>
              <w:t>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Definície</w:t>
            </w:r>
          </w:p>
          <w:p>
            <w:pPr>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Pre účely tejto smernice sa použij</w:t>
            </w:r>
            <w:r>
              <w:rPr>
                <w:rFonts w:ascii="Times New Roman" w:hAnsi="Times New Roman" w:cs="Times New Roman"/>
              </w:rPr>
              <w:t>ú nasledujúce definície:</w:t>
            </w:r>
          </w:p>
          <w:p>
            <w:pPr>
              <w:rPr>
                <w:rFonts w:ascii="Times New Roman" w:hAnsi="Times New Roman" w:cs="Times New Roman"/>
                <w:b/>
                <w:bCs/>
              </w:rPr>
            </w:pPr>
            <w:r>
              <w:rPr>
                <w:rFonts w:ascii="Times New Roman" w:hAnsi="Times New Roman" w:cs="Times New Roman"/>
              </w:rPr>
              <w:t>„tona ekvivalentu oxidu uhličitého“ znamená jednu metrickú tonu oxidu uhličitého (CO</w:t>
            </w:r>
            <w:r>
              <w:rPr>
                <w:rFonts w:ascii="Times New Roman" w:hAnsi="Times New Roman" w:cs="Times New Roman"/>
                <w:vertAlign w:val="subscript"/>
              </w:rPr>
              <w:t>2</w:t>
            </w:r>
            <w:r>
              <w:rPr>
                <w:rFonts w:ascii="Times New Roman" w:hAnsi="Times New Roman" w:cs="Times New Roman"/>
              </w:rPr>
              <w:t>) alebo množstvo akéhokoľvek iného skleníkového plynu uvedeného v prílohe II s ekvivalentným potenciálom globálneho otepľovania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m)</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8"/>
              <w:rPr>
                <w:rFonts w:ascii="Times New Roman" w:hAnsi="Times New Roman" w:cs="Times New Roman"/>
              </w:rPr>
            </w:pPr>
            <w:r>
              <w:rPr>
                <w:rFonts w:ascii="Times New Roman" w:hAnsi="Times New Roman" w:cs="Times New Roman"/>
              </w:rPr>
              <w:t xml:space="preserve">Základné pojmy </w:t>
            </w:r>
          </w:p>
          <w:p>
            <w:pPr>
              <w:jc w:val="both"/>
              <w:rPr>
                <w:rFonts w:ascii="Times New Roman" w:hAnsi="Times New Roman" w:cs="Times New Roman"/>
              </w:rPr>
            </w:pPr>
            <w:r>
              <w:rPr>
                <w:rFonts w:ascii="Times New Roman" w:hAnsi="Times New Roman" w:cs="Times New Roman"/>
              </w:rPr>
              <w:t>Na účely tohto zákona sa rozumie tonou ekvivalentu oxidu uhličitého jedna metrická tona oxidu uhličitého (CO</w:t>
            </w:r>
            <w:r>
              <w:rPr>
                <w:rFonts w:ascii="Times New Roman" w:hAnsi="Times New Roman" w:cs="Times New Roman"/>
                <w:vertAlign w:val="subscript"/>
              </w:rPr>
              <w:t>2</w:t>
            </w:r>
            <w:r>
              <w:rPr>
                <w:rFonts w:ascii="Times New Roman" w:hAnsi="Times New Roman" w:cs="Times New Roman"/>
              </w:rPr>
              <w:t>) alebo také množstvo akéhokoľvek iného skleníkového plynu uvedeného v prílohe č.2, ktoré má ekvivalentný potenciál globálneho otepľovania.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Povolenia na emisie skleníkových plynov</w:t>
            </w:r>
          </w:p>
          <w:p>
            <w:pPr>
              <w:rPr>
                <w:rFonts w:ascii="Times New Roman" w:hAnsi="Times New Roman" w:cs="Times New Roman"/>
              </w:rPr>
            </w:pPr>
            <w:r>
              <w:rPr>
                <w:rFonts w:ascii="Times New Roman" w:hAnsi="Times New Roman" w:cs="Times New Roman"/>
              </w:rPr>
              <w:t>Členské štáty zabezpečia, že od 1. januára 2005 žiadne zariadenia nebude vykonávať činnosti uvedené v prílohe I, ktoré majú za následok emisie skleníkových plynov špecifické vo vzťahu k danej činnosti, pokiaľ ich prevádzkovateľ nie je držiteľom povolenia vydanom zodpovedným orgánom v súlade s článkami 5 a 6, alebo dané zariadenie nie je dočasne vylúčené zo systému obchodovania s emisiami skleníkových plynov v spoločenstve podľa článku 27.</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w:t>
            </w:r>
            <w:r>
              <w:rPr>
                <w:rFonts w:ascii="Times New Roman" w:hAnsi="Times New Roman" w:cs="Times New Roman"/>
              </w:rPr>
              <w:t>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§24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8"/>
              <w:rPr>
                <w:rFonts w:ascii="Times New Roman" w:hAnsi="Times New Roman" w:cs="Times New Roman"/>
              </w:rPr>
            </w:pPr>
            <w:r>
              <w:rPr>
                <w:rFonts w:ascii="Times New Roman" w:hAnsi="Times New Roman" w:cs="Times New Roman"/>
              </w:rPr>
              <w:t>Povolenie</w:t>
            </w:r>
          </w:p>
          <w:p>
            <w:pPr>
              <w:pStyle w:val="BodyText"/>
              <w:rPr>
                <w:rFonts w:ascii="Times New Roman" w:hAnsi="Times New Roman" w:cs="Times New Roman"/>
              </w:rPr>
            </w:pPr>
            <w:r>
              <w:rPr>
                <w:rFonts w:ascii="Times New Roman" w:hAnsi="Times New Roman" w:cs="Times New Roman"/>
              </w:rPr>
              <w:t xml:space="preserve">Prevádzkovateľ musí mať povolenie podľa odseku 1 na každú prevádzku od </w:t>
            </w:r>
          </w:p>
          <w:p>
            <w:pPr>
              <w:pStyle w:val="BodyText"/>
              <w:numPr>
                <w:ilvl w:val="0"/>
                <w:numId w:val="71"/>
              </w:numPr>
              <w:tabs>
                <w:tab w:val="left" w:pos="360"/>
              </w:tabs>
              <w:rPr>
                <w:rFonts w:ascii="Times New Roman" w:hAnsi="Times New Roman" w:cs="Times New Roman"/>
              </w:rPr>
            </w:pPr>
            <w:r>
              <w:rPr>
                <w:rFonts w:ascii="Times New Roman" w:hAnsi="Times New Roman" w:cs="Times New Roman"/>
              </w:rPr>
              <w:t xml:space="preserve">1. januára 2005, ak v nej vykonáva jednu alebo viac činností uvedených v prílohe č.1 tabuľke A, </w:t>
            </w:r>
          </w:p>
          <w:p>
            <w:pPr>
              <w:pStyle w:val="BodyText"/>
              <w:numPr>
                <w:ilvl w:val="0"/>
                <w:numId w:val="71"/>
              </w:numPr>
              <w:tabs>
                <w:tab w:val="left" w:pos="360"/>
              </w:tabs>
              <w:rPr>
                <w:rFonts w:ascii="Times New Roman" w:hAnsi="Times New Roman" w:cs="Times New Roman"/>
              </w:rPr>
            </w:pPr>
            <w:r>
              <w:rPr>
                <w:rFonts w:ascii="Times New Roman" w:hAnsi="Times New Roman" w:cs="Times New Roman"/>
              </w:rPr>
              <w:t>1. januára 2008, ak v nej vykonáva jednu alebo viac činností uvedených v prílohe č.1 tabuľke B,</w:t>
            </w:r>
          </w:p>
          <w:p>
            <w:pPr>
              <w:pStyle w:val="BodyText"/>
              <w:numPr>
                <w:ilvl w:val="0"/>
                <w:numId w:val="71"/>
              </w:numPr>
              <w:tabs>
                <w:tab w:val="left" w:pos="360"/>
              </w:tabs>
              <w:rPr>
                <w:rFonts w:ascii="Times New Roman" w:hAnsi="Times New Roman" w:cs="Times New Roman"/>
              </w:rPr>
            </w:pPr>
            <w:r>
              <w:rPr>
                <w:rFonts w:ascii="Times New Roman" w:hAnsi="Times New Roman" w:cs="Times New Roman"/>
              </w:rPr>
              <w:t xml:space="preserve">1. januára 2007, ak v nej vykonáva jednu alebo viac činností uvedených v prílohe č.1 tabuľke C.  </w:t>
            </w:r>
          </w:p>
          <w:p>
            <w:pPr>
              <w:pStyle w:val="BodyText"/>
              <w:rPr>
                <w:rFonts w:ascii="Times New Roman" w:hAnsi="Times New Roman" w:cs="Times New Roman"/>
              </w:rPr>
            </w:pPr>
          </w:p>
          <w:p>
            <w:pPr>
              <w:ind w:left="1373" w:hanging="1373"/>
              <w:jc w:val="both"/>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Textpoznpodcarou"/>
              <w:rPr>
                <w:rFonts w:ascii="Times New Roman" w:hAnsi="Times New Roman" w:cs="Times New Roman"/>
                <w:lang w:val="sk-SK"/>
              </w:rPr>
            </w:pPr>
            <w:r>
              <w:rPr>
                <w:rFonts w:ascii="Times New Roman" w:hAnsi="Times New Roman" w:cs="Times New Roman"/>
                <w:lang w:val="sk-SK"/>
              </w:rPr>
              <w:t>Iné termíny vyplývajú z prechodných období, ktoré boli v rámci prístupových rokovaní dohodnuté.</w:t>
            </w: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5</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 xml:space="preserve">Žiadosť </w:t>
            </w:r>
            <w:r>
              <w:rPr>
                <w:rFonts w:ascii="Times New Roman" w:hAnsi="Times New Roman" w:cs="Times New Roman"/>
                <w:b/>
              </w:rPr>
              <w:t>o povolenie</w:t>
            </w:r>
          </w:p>
          <w:p>
            <w:pPr>
              <w:pStyle w:val="BodyText"/>
              <w:jc w:val="left"/>
              <w:rPr>
                <w:rFonts w:ascii="Times New Roman" w:hAnsi="Times New Roman" w:cs="Times New Roman"/>
              </w:rPr>
            </w:pPr>
            <w:r>
              <w:rPr>
                <w:rFonts w:ascii="Times New Roman" w:hAnsi="Times New Roman" w:cs="Times New Roman"/>
              </w:rPr>
              <w:t>Žiadosť o povolenie na emisie skleníkových plynov zasielaná zodpovednému orgánu musí obsahovať popis:</w:t>
            </w:r>
          </w:p>
          <w:p>
            <w:pPr>
              <w:pStyle w:val="BodyText"/>
              <w:numPr>
                <w:ilvl w:val="0"/>
                <w:numId w:val="42"/>
              </w:numPr>
              <w:tabs>
                <w:tab w:val="left" w:pos="360"/>
              </w:tabs>
              <w:jc w:val="left"/>
              <w:rPr>
                <w:rFonts w:ascii="Times New Roman" w:hAnsi="Times New Roman" w:cs="Times New Roman"/>
              </w:rPr>
            </w:pPr>
            <w:r>
              <w:rPr>
                <w:rFonts w:ascii="Times New Roman" w:hAnsi="Times New Roman" w:cs="Times New Roman"/>
              </w:rPr>
              <w:t>zariadenia a jeho činností vrátane používanej technológie;</w:t>
            </w:r>
          </w:p>
          <w:p>
            <w:pPr>
              <w:pStyle w:val="BodyText"/>
              <w:numPr>
                <w:ilvl w:val="0"/>
                <w:numId w:val="42"/>
              </w:numPr>
              <w:tabs>
                <w:tab w:val="left" w:pos="360"/>
              </w:tabs>
              <w:jc w:val="left"/>
              <w:rPr>
                <w:rFonts w:ascii="Times New Roman" w:hAnsi="Times New Roman" w:cs="Times New Roman"/>
              </w:rPr>
            </w:pPr>
            <w:r>
              <w:rPr>
                <w:rFonts w:ascii="Times New Roman" w:hAnsi="Times New Roman" w:cs="Times New Roman"/>
              </w:rPr>
              <w:t>surovín a pomocných materiálov, ktorých používanie pravdepodobne vedie k vzniku emi</w:t>
            </w:r>
            <w:r>
              <w:rPr>
                <w:rFonts w:ascii="Times New Roman" w:hAnsi="Times New Roman" w:cs="Times New Roman"/>
              </w:rPr>
              <w:t>sií plynov uvedených v prílohe I;</w:t>
            </w:r>
          </w:p>
          <w:p>
            <w:pPr>
              <w:pStyle w:val="BodyText"/>
              <w:numPr>
                <w:ilvl w:val="0"/>
                <w:numId w:val="42"/>
              </w:numPr>
              <w:tabs>
                <w:tab w:val="left" w:pos="360"/>
              </w:tabs>
              <w:jc w:val="left"/>
              <w:rPr>
                <w:rFonts w:ascii="Times New Roman" w:hAnsi="Times New Roman" w:cs="Times New Roman"/>
              </w:rPr>
            </w:pPr>
            <w:r>
              <w:rPr>
                <w:rFonts w:ascii="Times New Roman" w:hAnsi="Times New Roman" w:cs="Times New Roman"/>
              </w:rPr>
              <w:t>zdrojov emisií plynov zo zariadenia, uvedených v prílohe I a</w:t>
            </w:r>
          </w:p>
          <w:p>
            <w:pPr>
              <w:pStyle w:val="BodyText"/>
              <w:numPr>
                <w:ilvl w:val="0"/>
                <w:numId w:val="42"/>
              </w:numPr>
              <w:tabs>
                <w:tab w:val="left" w:pos="360"/>
              </w:tabs>
              <w:jc w:val="left"/>
              <w:rPr>
                <w:rFonts w:ascii="Times New Roman" w:hAnsi="Times New Roman" w:cs="Times New Roman"/>
              </w:rPr>
            </w:pPr>
            <w:r>
              <w:rPr>
                <w:rFonts w:ascii="Times New Roman" w:hAnsi="Times New Roman" w:cs="Times New Roman"/>
              </w:rPr>
              <w:t>plánované opatrenia na monitorovanie a hlásenie emisií v súlade s usmernením prijatým podľa článku 14.</w:t>
            </w:r>
          </w:p>
          <w:p>
            <w:pPr>
              <w:pStyle w:val="BodyText"/>
              <w:jc w:val="left"/>
              <w:rPr>
                <w:rFonts w:ascii="Times New Roman" w:hAnsi="Times New Roman" w:cs="Times New Roman"/>
              </w:rPr>
            </w:pPr>
          </w:p>
          <w:p>
            <w:pPr>
              <w:pStyle w:val="BodyText"/>
              <w:jc w:val="left"/>
              <w:rPr>
                <w:rFonts w:ascii="Times New Roman" w:hAnsi="Times New Roman" w:cs="Times New Roman"/>
              </w:rPr>
            </w:pPr>
            <w:r>
              <w:rPr>
                <w:rFonts w:ascii="Times New Roman" w:hAnsi="Times New Roman" w:cs="Times New Roman"/>
              </w:rPr>
              <w:t>Žiadosť musí tiež obsahovať netechnické zhrnutie detailov</w:t>
            </w:r>
            <w:r>
              <w:rPr>
                <w:rFonts w:ascii="Times New Roman" w:hAnsi="Times New Roman" w:cs="Times New Roman"/>
              </w:rPr>
              <w:t xml:space="preserve"> uvedených v prvom odseku.</w:t>
            </w:r>
          </w:p>
          <w:p>
            <w:pPr>
              <w:rPr>
                <w:rFonts w:ascii="Times New Roman" w:hAnsi="Times New Roman" w:cs="Times New Roman"/>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§4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8"/>
              <w:rPr>
                <w:rFonts w:ascii="Times New Roman" w:hAnsi="Times New Roman" w:cs="Times New Roman"/>
                <w:sz w:val="20"/>
              </w:rPr>
            </w:pPr>
            <w:r>
              <w:rPr>
                <w:rFonts w:ascii="Times New Roman" w:hAnsi="Times New Roman" w:cs="Times New Roman"/>
                <w:sz w:val="20"/>
              </w:rPr>
              <w:t>Žiadosť o povolenie</w:t>
            </w:r>
          </w:p>
          <w:p>
            <w:pPr>
              <w:pStyle w:val="BodyText"/>
              <w:rPr>
                <w:rFonts w:ascii="Times New Roman" w:hAnsi="Times New Roman" w:cs="Times New Roman"/>
                <w:sz w:val="20"/>
              </w:rPr>
            </w:pPr>
            <w:r>
              <w:rPr>
                <w:rFonts w:ascii="Times New Roman" w:hAnsi="Times New Roman" w:cs="Times New Roman"/>
                <w:sz w:val="20"/>
              </w:rPr>
              <w:t>Žiadosť o povolenie na vypúšťanie skleníkových plynov do ovzdušia obsahuje</w:t>
            </w:r>
          </w:p>
          <w:p>
            <w:pPr>
              <w:pStyle w:val="BodyText22"/>
              <w:numPr>
                <w:ilvl w:val="0"/>
                <w:numId w:val="59"/>
              </w:numPr>
              <w:tabs>
                <w:tab w:val="left" w:pos="360"/>
                <w:tab w:val="left" w:pos="993"/>
              </w:tabs>
              <w:rPr>
                <w:rFonts w:ascii="Times New Roman" w:hAnsi="Times New Roman" w:cs="Times New Roman"/>
                <w:sz w:val="20"/>
              </w:rPr>
            </w:pPr>
            <w:r>
              <w:rPr>
                <w:rFonts w:ascii="Times New Roman" w:hAnsi="Times New Roman" w:cs="Times New Roman"/>
                <w:sz w:val="20"/>
              </w:rPr>
              <w:t>identifikačné údaje prevádzkovateľa, pričom</w:t>
            </w:r>
          </w:p>
          <w:p>
            <w:pPr>
              <w:pStyle w:val="BodyText22"/>
              <w:numPr>
                <w:ilvl w:val="0"/>
                <w:numId w:val="89"/>
              </w:numPr>
              <w:tabs>
                <w:tab w:val="left" w:pos="720"/>
                <w:tab w:val="left" w:pos="993"/>
              </w:tabs>
              <w:rPr>
                <w:rFonts w:ascii="Times New Roman" w:hAnsi="Times New Roman" w:cs="Times New Roman"/>
                <w:sz w:val="20"/>
              </w:rPr>
            </w:pPr>
            <w:r>
              <w:rPr>
                <w:rFonts w:ascii="Times New Roman" w:hAnsi="Times New Roman" w:cs="Times New Roman"/>
                <w:sz w:val="20"/>
              </w:rPr>
              <w:t>právnická osoba uvedie  - obchodné meno, sídlo a miesto podnikania, právnu formu právnickej osoby a identifikačné číslo, ak je pridelené; prevádzkovateľ zapísaný v obchodnom registri alebo v inej evidencii podnikateľov ustanovenej zákonom aj výpis z obchodného registra alebo inej evidencie podnikateľov,</w:t>
            </w:r>
          </w:p>
          <w:p>
            <w:pPr>
              <w:pStyle w:val="BodyText22"/>
              <w:numPr>
                <w:ilvl w:val="0"/>
                <w:numId w:val="89"/>
              </w:numPr>
              <w:tabs>
                <w:tab w:val="left" w:pos="720"/>
                <w:tab w:val="left" w:pos="993"/>
              </w:tabs>
              <w:rPr>
                <w:rFonts w:ascii="Times New Roman" w:hAnsi="Times New Roman" w:cs="Times New Roman"/>
                <w:sz w:val="20"/>
              </w:rPr>
            </w:pPr>
            <w:r>
              <w:rPr>
                <w:rFonts w:ascii="Times New Roman" w:hAnsi="Times New Roman" w:cs="Times New Roman"/>
                <w:sz w:val="20"/>
              </w:rPr>
              <w:t>fyzická osoba uvedie – meno a priezvisko, bydlisko, miesto podnikania a identifikačné číslo, ak je pridelené, prevádzkovateľ zapísaný v obchodnom registri alebo v inej evidencii podnikateľov ustanovenej zákonom aj výpi z obchodného registra alebo inej evidencie podnikateľov</w:t>
            </w:r>
            <w:r>
              <w:rPr>
                <w:rFonts w:ascii="Times New Roman" w:hAnsi="Times New Roman" w:cs="Times New Roman"/>
                <w:sz w:val="20"/>
              </w:rPr>
              <w:t>.</w:t>
            </w:r>
          </w:p>
          <w:p>
            <w:pPr>
              <w:numPr>
                <w:ilvl w:val="0"/>
                <w:numId w:val="59"/>
              </w:numPr>
              <w:tabs>
                <w:tab w:val="left" w:pos="360"/>
                <w:tab w:val="left" w:pos="993"/>
              </w:tabs>
              <w:jc w:val="both"/>
              <w:rPr>
                <w:rFonts w:ascii="Times New Roman" w:hAnsi="Times New Roman" w:cs="Times New Roman"/>
                <w:sz w:val="20"/>
              </w:rPr>
            </w:pPr>
            <w:r>
              <w:rPr>
                <w:rFonts w:ascii="Times New Roman" w:hAnsi="Times New Roman" w:cs="Times New Roman"/>
                <w:sz w:val="20"/>
              </w:rPr>
              <w:t>názov a adresu prevádzky,</w:t>
            </w:r>
          </w:p>
          <w:p>
            <w:pPr>
              <w:numPr>
                <w:ilvl w:val="0"/>
                <w:numId w:val="59"/>
              </w:numPr>
              <w:tabs>
                <w:tab w:val="left" w:pos="360"/>
                <w:tab w:val="left" w:pos="993"/>
              </w:tabs>
              <w:jc w:val="both"/>
              <w:rPr>
                <w:rFonts w:ascii="Times New Roman" w:hAnsi="Times New Roman" w:cs="Times New Roman"/>
                <w:sz w:val="20"/>
              </w:rPr>
            </w:pPr>
            <w:r>
              <w:rPr>
                <w:rFonts w:ascii="Times New Roman" w:hAnsi="Times New Roman" w:cs="Times New Roman"/>
                <w:sz w:val="20"/>
              </w:rPr>
              <w:t>opis prevádzky a činností v nej vykonávaných vrátane používanej technológie,</w:t>
            </w:r>
          </w:p>
          <w:p>
            <w:pPr>
              <w:pStyle w:val="BodyText"/>
              <w:numPr>
                <w:ilvl w:val="0"/>
                <w:numId w:val="59"/>
              </w:numPr>
              <w:tabs>
                <w:tab w:val="left" w:pos="360"/>
              </w:tabs>
              <w:rPr>
                <w:rFonts w:ascii="Times New Roman" w:hAnsi="Times New Roman" w:cs="Times New Roman"/>
                <w:sz w:val="20"/>
              </w:rPr>
            </w:pPr>
            <w:r>
              <w:rPr>
                <w:rFonts w:ascii="Times New Roman" w:hAnsi="Times New Roman" w:cs="Times New Roman"/>
                <w:sz w:val="20"/>
              </w:rPr>
              <w:t>opis surovín a pomocných materiálov, ktorých používanie spôsobuje emisie skleníkových plynov,</w:t>
            </w:r>
          </w:p>
          <w:p>
            <w:pPr>
              <w:pStyle w:val="BodyText"/>
              <w:numPr>
                <w:ilvl w:val="0"/>
                <w:numId w:val="59"/>
              </w:numPr>
              <w:tabs>
                <w:tab w:val="left" w:pos="360"/>
              </w:tabs>
              <w:rPr>
                <w:rFonts w:ascii="Times New Roman" w:hAnsi="Times New Roman" w:cs="Times New Roman"/>
                <w:sz w:val="20"/>
              </w:rPr>
            </w:pPr>
            <w:r>
              <w:rPr>
                <w:rFonts w:ascii="Times New Roman" w:hAnsi="Times New Roman" w:cs="Times New Roman"/>
                <w:sz w:val="20"/>
              </w:rPr>
              <w:t>opis zdrojov emisií skleníkových plynov z prevádzky,</w:t>
            </w:r>
          </w:p>
          <w:p>
            <w:pPr>
              <w:pStyle w:val="BodyText"/>
              <w:numPr>
                <w:ilvl w:val="0"/>
                <w:numId w:val="59"/>
              </w:numPr>
              <w:tabs>
                <w:tab w:val="left" w:pos="360"/>
              </w:tabs>
              <w:rPr>
                <w:rFonts w:ascii="Times New Roman" w:hAnsi="Times New Roman" w:cs="Times New Roman"/>
                <w:sz w:val="20"/>
              </w:rPr>
            </w:pPr>
            <w:r>
              <w:rPr>
                <w:rFonts w:ascii="Times New Roman" w:hAnsi="Times New Roman" w:cs="Times New Roman"/>
                <w:sz w:val="20"/>
              </w:rPr>
              <w:t>návrh postupu alebo schválený postup zisťovania množstva emitovaných skleníkových plynov,</w:t>
            </w:r>
          </w:p>
          <w:p>
            <w:pPr>
              <w:pStyle w:val="BodyText"/>
              <w:numPr>
                <w:ilvl w:val="0"/>
                <w:numId w:val="59"/>
              </w:numPr>
              <w:tabs>
                <w:tab w:val="left" w:pos="360"/>
              </w:tabs>
              <w:rPr>
                <w:rFonts w:ascii="Times New Roman" w:hAnsi="Times New Roman" w:cs="Times New Roman"/>
                <w:sz w:val="20"/>
              </w:rPr>
            </w:pPr>
            <w:r>
              <w:rPr>
                <w:rFonts w:ascii="Times New Roman" w:hAnsi="Times New Roman" w:cs="Times New Roman"/>
                <w:sz w:val="20"/>
              </w:rPr>
              <w:t>bilanciu emisií skleníkových plynov od roku 1990 alebo od uvedenia prevádzky do činnosti, podľa toho, čo nastalo neskôr,</w:t>
            </w:r>
          </w:p>
          <w:p>
            <w:pPr>
              <w:pStyle w:val="BodyText"/>
              <w:numPr>
                <w:ilvl w:val="0"/>
                <w:numId w:val="59"/>
              </w:numPr>
              <w:tabs>
                <w:tab w:val="left" w:pos="360"/>
              </w:tabs>
              <w:rPr>
                <w:rFonts w:ascii="Times New Roman" w:hAnsi="Times New Roman" w:cs="Times New Roman"/>
                <w:sz w:val="20"/>
              </w:rPr>
            </w:pPr>
            <w:r>
              <w:rPr>
                <w:rFonts w:ascii="Times New Roman" w:hAnsi="Times New Roman" w:cs="Times New Roman"/>
                <w:sz w:val="20"/>
              </w:rPr>
              <w:t>netechnické zhrnutie údajov uvedených v písmenách c) až g).</w:t>
            </w:r>
          </w:p>
          <w:p>
            <w:pPr>
              <w:ind w:left="1373" w:hanging="1373"/>
              <w:jc w:val="both"/>
              <w:rPr>
                <w:rFonts w:ascii="Times New Roman" w:hAnsi="Times New Roman" w:cs="Times New Roman"/>
                <w:b/>
                <w:bCs/>
                <w:sz w:val="20"/>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Podmienky a obsah povolenia</w:t>
            </w:r>
          </w:p>
          <w:p>
            <w:pPr>
              <w:pStyle w:val="BodyText"/>
              <w:rPr>
                <w:rFonts w:ascii="Times New Roman" w:hAnsi="Times New Roman" w:cs="Times New Roman"/>
              </w:rPr>
            </w:pPr>
            <w:r>
              <w:rPr>
                <w:rFonts w:ascii="Times New Roman" w:hAnsi="Times New Roman" w:cs="Times New Roman"/>
              </w:rPr>
              <w:t>Zodpovedný orgán vydá povolenie na emisie skleníkových plynov, ktoré oprávňuje prevádzkovateľa na vypúšťanie skleníkových plynov z celého zariadenia alebo jeho časti, ak je splnená požiadavka, že prevádzkovateľ je schopný monitorovať emisie a podávať správy.</w:t>
            </w:r>
          </w:p>
          <w:p>
            <w:pPr>
              <w:rPr>
                <w:rFonts w:ascii="Times New Roman" w:hAnsi="Times New Roman" w:cs="Times New Roman"/>
              </w:rPr>
            </w:pPr>
            <w:r>
              <w:rPr>
                <w:rFonts w:ascii="Times New Roman" w:hAnsi="Times New Roman" w:cs="Times New Roman"/>
              </w:rPr>
              <w:t>Povolenie sa môže vzťahovať na jedno alebo viac zariadení na tom istom mieste, prevádzkované tým istým prevádzkovateľom.</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§5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8"/>
              <w:rPr>
                <w:rFonts w:ascii="Times New Roman" w:hAnsi="Times New Roman" w:cs="Times New Roman"/>
              </w:rPr>
            </w:pPr>
            <w:r>
              <w:rPr>
                <w:rFonts w:ascii="Times New Roman" w:hAnsi="Times New Roman" w:cs="Times New Roman"/>
              </w:rPr>
              <w:t>Podmienky a obsah povolenia</w:t>
            </w:r>
          </w:p>
          <w:p>
            <w:pPr>
              <w:rPr>
                <w:rFonts w:ascii="Times New Roman" w:hAnsi="Times New Roman" w:cs="Times New Roman"/>
              </w:rPr>
            </w:pPr>
            <w:r>
              <w:rPr>
                <w:rFonts w:ascii="Times New Roman" w:hAnsi="Times New Roman" w:cs="Times New Roman"/>
              </w:rPr>
              <w:t>Obvodný úrad na základe posúdenia žiadosti podľa § 4 ods. 1 alebo § 4 ods. 2 vydá prevádzkovateľovi povolenie, ak prevádzkovateľ spĺňa požiadavky na monitorovanie emisií skleníkových plynov a podávanie správ uvedené v prílohe č. 4 a ustanovené v osobitnom predpise alebo požiadavky na monitorovanie emisií znečisťujúcich látok ustanovené v osobitnom predpise. Povolenie sa môže vzťahovať na jednu alebo viac prevádzok na tom istom mieste, prevádzkovaných tým istým prevádzkovateľom a súčasne sa ním môže udeliť oprávnenie na vypúšťanie emisií skleníkových plynov a emisií znečisťujúcich látok.</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
              <w:rPr>
                <w:rFonts w:ascii="Times New Roman" w:hAnsi="Times New Roman" w:cs="Times New Roman"/>
              </w:rPr>
            </w:pPr>
            <w:r>
              <w:rPr>
                <w:rFonts w:ascii="Times New Roman" w:hAnsi="Times New Roman" w:cs="Times New Roman"/>
                <w:b/>
              </w:rPr>
              <w:t>Podmienky a obsah povolenia</w:t>
            </w:r>
          </w:p>
          <w:p>
            <w:pPr>
              <w:pStyle w:val="BodyText"/>
              <w:rPr>
                <w:rFonts w:ascii="Times New Roman" w:hAnsi="Times New Roman" w:cs="Times New Roman"/>
              </w:rPr>
            </w:pPr>
            <w:r>
              <w:rPr>
                <w:rFonts w:ascii="Times New Roman" w:hAnsi="Times New Roman" w:cs="Times New Roman"/>
              </w:rPr>
              <w:t>Povolenie na emisie skleníkových plynov bude obsahovať:</w:t>
            </w:r>
          </w:p>
          <w:p>
            <w:pPr>
              <w:pStyle w:val="BodyText"/>
              <w:numPr>
                <w:ilvl w:val="0"/>
                <w:numId w:val="44"/>
              </w:numPr>
              <w:tabs>
                <w:tab w:val="left" w:pos="360"/>
              </w:tabs>
              <w:rPr>
                <w:rFonts w:ascii="Times New Roman" w:hAnsi="Times New Roman" w:cs="Times New Roman"/>
              </w:rPr>
            </w:pPr>
            <w:r>
              <w:rPr>
                <w:rFonts w:ascii="Times New Roman" w:hAnsi="Times New Roman" w:cs="Times New Roman"/>
              </w:rPr>
              <w:t>meno a adresu prevádzkovateľa;</w:t>
            </w:r>
          </w:p>
          <w:p>
            <w:pPr>
              <w:pStyle w:val="BodyText"/>
              <w:numPr>
                <w:ilvl w:val="0"/>
                <w:numId w:val="44"/>
              </w:numPr>
              <w:tabs>
                <w:tab w:val="left" w:pos="360"/>
              </w:tabs>
              <w:rPr>
                <w:rFonts w:ascii="Times New Roman" w:hAnsi="Times New Roman" w:cs="Times New Roman"/>
              </w:rPr>
            </w:pPr>
            <w:r>
              <w:rPr>
                <w:rFonts w:ascii="Times New Roman" w:hAnsi="Times New Roman" w:cs="Times New Roman"/>
              </w:rPr>
              <w:t>opis činností a emisií zo zariadenia;</w:t>
            </w:r>
          </w:p>
          <w:p>
            <w:pPr>
              <w:pStyle w:val="BodyText"/>
              <w:numPr>
                <w:ilvl w:val="0"/>
                <w:numId w:val="44"/>
              </w:numPr>
              <w:tabs>
                <w:tab w:val="left" w:pos="360"/>
              </w:tabs>
              <w:rPr>
                <w:rFonts w:ascii="Times New Roman" w:hAnsi="Times New Roman" w:cs="Times New Roman"/>
              </w:rPr>
            </w:pPr>
            <w:r>
              <w:rPr>
                <w:rFonts w:ascii="Times New Roman" w:hAnsi="Times New Roman" w:cs="Times New Roman"/>
              </w:rPr>
              <w:t>požiadavky na monitorovanie určujúc</w:t>
            </w:r>
            <w:r>
              <w:rPr>
                <w:rFonts w:ascii="Times New Roman" w:hAnsi="Times New Roman" w:cs="Times New Roman"/>
              </w:rPr>
              <w:t>e metodiku a frekvenciu monitorovania;</w:t>
            </w:r>
          </w:p>
          <w:p>
            <w:pPr>
              <w:pStyle w:val="BodyText"/>
              <w:numPr>
                <w:ilvl w:val="0"/>
                <w:numId w:val="44"/>
              </w:numPr>
              <w:tabs>
                <w:tab w:val="left" w:pos="360"/>
              </w:tabs>
              <w:rPr>
                <w:rFonts w:ascii="Times New Roman" w:hAnsi="Times New Roman" w:cs="Times New Roman"/>
              </w:rPr>
            </w:pPr>
            <w:r>
              <w:rPr>
                <w:rFonts w:ascii="Times New Roman" w:hAnsi="Times New Roman" w:cs="Times New Roman"/>
              </w:rPr>
              <w:t>požiadavky na podávanie správ; a</w:t>
            </w:r>
          </w:p>
          <w:p>
            <w:pPr>
              <w:rPr>
                <w:rFonts w:ascii="Times New Roman" w:hAnsi="Times New Roman" w:cs="Times New Roman"/>
              </w:rPr>
            </w:pPr>
            <w:r>
              <w:rPr>
                <w:rFonts w:ascii="Times New Roman" w:hAnsi="Times New Roman" w:cs="Times New Roman"/>
              </w:rPr>
              <w:t>povinnosť do štyroch mesiacov po skončení daného roku odovzdať kvóty v množstve, ktoré sa rovná celkovým emisiám zariadenia v každom kalendárnom roku, overenom v súlade s článkom 15,.</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§5 (2)</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§13 (1b)</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tabs>
                <w:tab w:val="left" w:pos="72"/>
              </w:tabs>
              <w:ind w:left="72"/>
              <w:jc w:val="both"/>
              <w:rPr>
                <w:rFonts w:ascii="Times New Roman" w:hAnsi="Times New Roman" w:cs="Times New Roman"/>
                <w:b/>
                <w:bCs/>
                <w:sz w:val="20"/>
              </w:rPr>
            </w:pPr>
            <w:r>
              <w:rPr>
                <w:rFonts w:ascii="Times New Roman" w:hAnsi="Times New Roman" w:cs="Times New Roman"/>
                <w:b/>
                <w:bCs/>
                <w:sz w:val="20"/>
              </w:rPr>
              <w:t>Podmienky a obsah povolenia</w:t>
            </w:r>
          </w:p>
          <w:p>
            <w:pPr>
              <w:pStyle w:val="BodyText"/>
              <w:rPr>
                <w:rFonts w:ascii="Times New Roman" w:hAnsi="Times New Roman" w:cs="Times New Roman"/>
                <w:sz w:val="20"/>
              </w:rPr>
            </w:pPr>
            <w:r>
              <w:rPr>
                <w:rFonts w:ascii="Times New Roman" w:hAnsi="Times New Roman" w:cs="Times New Roman"/>
                <w:sz w:val="20"/>
              </w:rPr>
              <w:t>Povolenie okrem všeobecných náležitostí rozhodnutia podľa všeobecného predpisu o správnom konaní  obsahuje</w:t>
            </w:r>
          </w:p>
          <w:p>
            <w:pPr>
              <w:pStyle w:val="BodyText"/>
              <w:numPr>
                <w:ilvl w:val="0"/>
                <w:numId w:val="61"/>
              </w:numPr>
              <w:tabs>
                <w:tab w:val="left" w:pos="720"/>
              </w:tabs>
              <w:rPr>
                <w:rFonts w:ascii="Times New Roman" w:hAnsi="Times New Roman" w:cs="Times New Roman"/>
                <w:sz w:val="20"/>
              </w:rPr>
            </w:pPr>
            <w:r>
              <w:rPr>
                <w:rFonts w:ascii="Times New Roman" w:hAnsi="Times New Roman" w:cs="Times New Roman"/>
                <w:sz w:val="20"/>
              </w:rPr>
              <w:t>opis činností vykonávaných v prevádzke a emisií z nej,</w:t>
            </w:r>
          </w:p>
          <w:p>
            <w:pPr>
              <w:pStyle w:val="BodyText"/>
              <w:numPr>
                <w:ilvl w:val="0"/>
                <w:numId w:val="61"/>
              </w:numPr>
              <w:tabs>
                <w:tab w:val="left" w:pos="720"/>
              </w:tabs>
              <w:rPr>
                <w:rFonts w:ascii="Times New Roman" w:hAnsi="Times New Roman" w:cs="Times New Roman"/>
                <w:sz w:val="20"/>
              </w:rPr>
            </w:pPr>
            <w:r>
              <w:rPr>
                <w:rFonts w:ascii="Times New Roman" w:hAnsi="Times New Roman" w:cs="Times New Roman"/>
                <w:sz w:val="20"/>
              </w:rPr>
              <w:t xml:space="preserve">požiadavky na monitorovanie emisií určujúce metodiku a frekvenciu monitorovania, postup zisťovania množstva emisií skleníkových plynov alebo znečisťujúcich látok, ktorý bol schválený alebo schválenie návrhu takéhoto postupu, </w:t>
            </w:r>
          </w:p>
          <w:p>
            <w:pPr>
              <w:pStyle w:val="BodyText"/>
              <w:numPr>
                <w:ilvl w:val="0"/>
                <w:numId w:val="61"/>
              </w:numPr>
              <w:tabs>
                <w:tab w:val="left" w:pos="720"/>
              </w:tabs>
              <w:rPr>
                <w:rFonts w:ascii="Times New Roman" w:hAnsi="Times New Roman" w:cs="Times New Roman"/>
                <w:sz w:val="20"/>
              </w:rPr>
            </w:pPr>
            <w:r>
              <w:rPr>
                <w:rFonts w:ascii="Times New Roman" w:hAnsi="Times New Roman" w:cs="Times New Roman"/>
                <w:sz w:val="20"/>
              </w:rPr>
              <w:t xml:space="preserve">požiadavky na podávanie správ o emisiách, </w:t>
            </w:r>
          </w:p>
          <w:p>
            <w:pPr>
              <w:pStyle w:val="Heading2"/>
              <w:numPr>
                <w:ilvl w:val="0"/>
                <w:numId w:val="61"/>
              </w:numPr>
              <w:tabs>
                <w:tab w:val="left" w:pos="720"/>
              </w:tabs>
              <w:jc w:val="both"/>
              <w:rPr>
                <w:rFonts w:ascii="Times New Roman" w:hAnsi="Times New Roman" w:cs="Times New Roman"/>
                <w:b w:val="0"/>
                <w:bCs/>
                <w:sz w:val="20"/>
              </w:rPr>
            </w:pPr>
            <w:r>
              <w:rPr>
                <w:rFonts w:ascii="Times New Roman" w:hAnsi="Times New Roman" w:cs="Times New Roman"/>
                <w:b w:val="0"/>
                <w:bCs/>
                <w:sz w:val="20"/>
              </w:rPr>
              <w:t>povinnosti prevádzkovateľov podľa  § 13.</w:t>
            </w:r>
          </w:p>
          <w:p>
            <w:pPr>
              <w:tabs>
                <w:tab w:val="left" w:pos="72"/>
              </w:tabs>
              <w:jc w:val="both"/>
              <w:rPr>
                <w:rFonts w:ascii="Times New Roman" w:hAnsi="Times New Roman" w:cs="Times New Roman"/>
                <w:sz w:val="20"/>
              </w:rPr>
            </w:pPr>
          </w:p>
          <w:p>
            <w:pPr>
              <w:pStyle w:val="Heading6"/>
              <w:tabs>
                <w:tab w:val="left" w:pos="72"/>
                <w:tab w:val="clear" w:pos="381"/>
              </w:tabs>
              <w:rPr>
                <w:rFonts w:ascii="Times New Roman" w:hAnsi="Times New Roman" w:cs="Times New Roman"/>
                <w:bCs/>
                <w:iCs w:val="0"/>
                <w:sz w:val="20"/>
              </w:rPr>
            </w:pPr>
            <w:r>
              <w:rPr>
                <w:rFonts w:ascii="Times New Roman" w:hAnsi="Times New Roman" w:cs="Times New Roman"/>
                <w:bCs/>
                <w:iCs w:val="0"/>
                <w:sz w:val="20"/>
              </w:rPr>
              <w:t>Povinnosti prevádzkovateľov</w:t>
            </w:r>
          </w:p>
          <w:p>
            <w:pPr>
              <w:tabs>
                <w:tab w:val="left" w:pos="72"/>
              </w:tabs>
              <w:jc w:val="both"/>
              <w:rPr>
                <w:rFonts w:ascii="Times New Roman" w:hAnsi="Times New Roman" w:cs="Times New Roman"/>
                <w:sz w:val="20"/>
              </w:rPr>
            </w:pPr>
            <w:r>
              <w:rPr>
                <w:rFonts w:ascii="Times New Roman" w:hAnsi="Times New Roman" w:cs="Times New Roman"/>
                <w:sz w:val="20"/>
              </w:rPr>
              <w:t xml:space="preserve">Prevádzkovateľ,  ktorý je  povinným účastníkom schémy </w:t>
            </w:r>
            <w:r>
              <w:rPr>
                <w:rFonts w:ascii="Times New Roman" w:hAnsi="Times New Roman" w:cs="Times New Roman"/>
              </w:rPr>
              <w:t>obchodovania</w:t>
            </w:r>
            <w:r>
              <w:rPr>
                <w:rFonts w:ascii="Times New Roman" w:hAnsi="Times New Roman" w:cs="Times New Roman"/>
                <w:sz w:val="20"/>
              </w:rPr>
              <w:t xml:space="preserve"> je povinný predložiť správcovi registra každoročne, najneskôr do 30. apríla, správu podľa písmena a) aj s potvrdením obvodného úradu životného prostredia o jej správnosti a súčasne mu odovzdať alikvotnú časť kvóty skleníkových plynov v množstve rovnajúcom sa celkovým emisiám z prevádzky počas predchádzajúceho kalendárneho roka podľa overenej správy, pričom povinní účastníci schémy</w:t>
            </w:r>
            <w:r>
              <w:rPr>
                <w:rFonts w:ascii="Times New Roman" w:hAnsi="Times New Roman" w:cs="Times New Roman"/>
                <w:sz w:val="20"/>
              </w:rPr>
              <w:t xml:space="preserve"> </w:t>
            </w:r>
            <w:r>
              <w:rPr>
                <w:rFonts w:ascii="Times New Roman" w:hAnsi="Times New Roman" w:cs="Times New Roman"/>
              </w:rPr>
              <w:t>obchodovania</w:t>
            </w:r>
            <w:r>
              <w:rPr>
                <w:rFonts w:ascii="Times New Roman" w:hAnsi="Times New Roman" w:cs="Times New Roman"/>
                <w:sz w:val="20"/>
              </w:rPr>
              <w:t xml:space="preserve"> prevádzkujúci prevádzky podľa § 3 ods.2 písm. a) nemôžu na tento účel použiť priznané jednotky.</w:t>
            </w:r>
            <w:r>
              <w:rPr>
                <w:rFonts w:ascii="Times New Roman" w:hAnsi="Times New Roman" w:cs="Times New Roman"/>
              </w:rPr>
              <w:t xml:space="preserve">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7</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Zmeny týkajúce sa zariadení</w:t>
            </w:r>
          </w:p>
          <w:p>
            <w:pPr>
              <w:rPr>
                <w:rFonts w:ascii="Times New Roman" w:hAnsi="Times New Roman" w:cs="Times New Roman"/>
              </w:rPr>
            </w:pPr>
            <w:r>
              <w:rPr>
                <w:rFonts w:ascii="Times New Roman" w:hAnsi="Times New Roman" w:cs="Times New Roman"/>
              </w:rPr>
              <w:t>Prevádzkovateľ musí informovať zodpovedný orgán o každej pripravovanej zmene charakteru, fungovania alebo o každom rozšírení zariadenia, ktoré môže vyžadovať aktualizáciu povolenia emisií skleníkových plynov. Zodpovedný orgán aktualizuje povolenie ak je to vhodné. Ak dôjde k zmene identity prevádzkovateľa zariadenia, zodpovedný orgán aktualizuje povolenie tak, aby obsahovalo meno a adresu nového prevádzkovateľa.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§6</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9"/>
              <w:jc w:val="left"/>
              <w:rPr>
                <w:rFonts w:ascii="Times New Roman" w:hAnsi="Times New Roman" w:cs="Times New Roman"/>
                <w:sz w:val="20"/>
              </w:rPr>
            </w:pPr>
            <w:r>
              <w:rPr>
                <w:rFonts w:ascii="Times New Roman" w:hAnsi="Times New Roman" w:cs="Times New Roman"/>
                <w:sz w:val="20"/>
              </w:rPr>
              <w:t>Zmena povolenia</w:t>
            </w:r>
          </w:p>
          <w:p>
            <w:pPr>
              <w:pStyle w:val="BodyText"/>
              <w:numPr>
                <w:ilvl w:val="0"/>
                <w:numId w:val="82"/>
              </w:numPr>
              <w:tabs>
                <w:tab w:val="left" w:pos="700"/>
              </w:tabs>
              <w:rPr>
                <w:rFonts w:ascii="Times New Roman" w:hAnsi="Times New Roman" w:cs="Times New Roman"/>
                <w:sz w:val="20"/>
              </w:rPr>
            </w:pPr>
            <w:r>
              <w:rPr>
                <w:rFonts w:ascii="Times New Roman" w:hAnsi="Times New Roman" w:cs="Times New Roman"/>
                <w:sz w:val="20"/>
              </w:rPr>
              <w:t>Prevádzkovateľ je povinný oznámiť obvodnému úradu životného prostredia každú pripravovanú zmenu charakteru, fungovania alebo rozšírenia prevádzky, ktorá môže byť dôv</w:t>
            </w:r>
            <w:r>
              <w:rPr>
                <w:rFonts w:ascii="Times New Roman" w:hAnsi="Times New Roman" w:cs="Times New Roman"/>
                <w:sz w:val="20"/>
              </w:rPr>
              <w:t xml:space="preserve">odom pre zmenu povolenia alebo pre vyradenie zo schémy </w:t>
            </w:r>
            <w:r>
              <w:rPr>
                <w:rFonts w:ascii="Times New Roman" w:hAnsi="Times New Roman" w:cs="Times New Roman"/>
              </w:rPr>
              <w:t>obchodovania</w:t>
            </w:r>
            <w:r>
              <w:rPr>
                <w:rFonts w:ascii="Times New Roman" w:hAnsi="Times New Roman" w:cs="Times New Roman"/>
                <w:sz w:val="20"/>
              </w:rPr>
              <w:t xml:space="preserve"> alebo zo systému </w:t>
            </w:r>
            <w:r>
              <w:rPr>
                <w:rFonts w:ascii="Times New Roman" w:hAnsi="Times New Roman" w:cs="Times New Roman"/>
              </w:rPr>
              <w:t>obchodovania</w:t>
            </w:r>
            <w:r>
              <w:rPr>
                <w:rFonts w:ascii="Times New Roman" w:hAnsi="Times New Roman" w:cs="Times New Roman"/>
                <w:sz w:val="20"/>
              </w:rPr>
              <w:t xml:space="preserve">. Obvodný úrad životného prostredia zmení povolenie, ak je to potrebné alebo vydá rozhodnutie o vyradení prevádzky zo schémy </w:t>
            </w:r>
            <w:r>
              <w:rPr>
                <w:rFonts w:ascii="Times New Roman" w:hAnsi="Times New Roman" w:cs="Times New Roman"/>
              </w:rPr>
              <w:t>obchodovania</w:t>
            </w:r>
            <w:r>
              <w:rPr>
                <w:rFonts w:ascii="Times New Roman" w:hAnsi="Times New Roman" w:cs="Times New Roman"/>
                <w:sz w:val="20"/>
              </w:rPr>
              <w:t xml:space="preserve"> alebo zo systému </w:t>
            </w:r>
            <w:r>
              <w:rPr>
                <w:rFonts w:ascii="Times New Roman" w:hAnsi="Times New Roman" w:cs="Times New Roman"/>
              </w:rPr>
              <w:t>obch</w:t>
            </w:r>
            <w:r>
              <w:rPr>
                <w:rFonts w:ascii="Times New Roman" w:hAnsi="Times New Roman" w:cs="Times New Roman"/>
              </w:rPr>
              <w:t>odovania</w:t>
            </w:r>
            <w:r>
              <w:rPr>
                <w:rFonts w:ascii="Times New Roman" w:hAnsi="Times New Roman" w:cs="Times New Roman"/>
                <w:sz w:val="20"/>
              </w:rPr>
              <w:t xml:space="preserve"> v prípade, že jej prevádzkovateľ nezostane dobrovoľným účastníkom schémy </w:t>
            </w:r>
            <w:r>
              <w:rPr>
                <w:rFonts w:ascii="Times New Roman" w:hAnsi="Times New Roman" w:cs="Times New Roman"/>
              </w:rPr>
              <w:t>obchodovania</w:t>
            </w:r>
            <w:r>
              <w:rPr>
                <w:rFonts w:ascii="Times New Roman" w:hAnsi="Times New Roman" w:cs="Times New Roman"/>
                <w:sz w:val="20"/>
              </w:rPr>
              <w:t>. Na konanie o zmene povolenia sa primerane vzťahujú ustanovenia § 4 ods. 4 a § 5.</w:t>
            </w:r>
          </w:p>
          <w:p>
            <w:pPr>
              <w:pStyle w:val="BodyText2"/>
              <w:numPr>
                <w:ilvl w:val="0"/>
              </w:numPr>
              <w:ind w:firstLine="0"/>
              <w:jc w:val="both"/>
              <w:rPr>
                <w:rFonts w:ascii="Times New Roman" w:hAnsi="Times New Roman" w:cs="Times New Roman"/>
                <w:color w:val="auto"/>
                <w:sz w:val="20"/>
              </w:rPr>
            </w:pPr>
          </w:p>
          <w:p>
            <w:pPr>
              <w:pStyle w:val="BodyText"/>
              <w:numPr>
                <w:ilvl w:val="0"/>
                <w:numId w:val="82"/>
              </w:numPr>
              <w:tabs>
                <w:tab w:val="left" w:pos="700"/>
              </w:tabs>
              <w:rPr>
                <w:rFonts w:ascii="Times New Roman" w:hAnsi="Times New Roman" w:cs="Times New Roman"/>
                <w:sz w:val="20"/>
              </w:rPr>
            </w:pPr>
            <w:r>
              <w:rPr>
                <w:rFonts w:ascii="Times New Roman" w:hAnsi="Times New Roman" w:cs="Times New Roman"/>
                <w:sz w:val="20"/>
              </w:rPr>
              <w:t xml:space="preserve">Práva a povinnosti prevádzkovateľa určené v povolení prechádzajú aj na jeho právneho nástupcu. Nový prevádzkovateľ je povinný oznámiť obvodnému úradu životného prostredia, ministerstvu a ministerstvom poverenej organizácii (ďalej len „správca registra“) zmenu prevádzkovateľa a svoje identifikačné údaje podľa § 4 do desiatich dní odo dňa účinnosti prechodu práv a povinností.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bCs/>
              </w:rPr>
            </w:pPr>
            <w:r>
              <w:rPr>
                <w:rFonts w:ascii="Times New Roman" w:hAnsi="Times New Roman" w:cs="Times New Roman"/>
                <w:b/>
                <w:bCs/>
              </w:rPr>
              <w:t>Nadväznosť na smernicu 96/61/ES</w:t>
            </w:r>
          </w:p>
          <w:p>
            <w:pPr>
              <w:rPr>
                <w:rFonts w:ascii="Times New Roman" w:hAnsi="Times New Roman" w:cs="Times New Roman"/>
              </w:rPr>
            </w:pPr>
            <w:r>
              <w:rPr>
                <w:rFonts w:ascii="Times New Roman" w:hAnsi="Times New Roman" w:cs="Times New Roman"/>
              </w:rPr>
              <w:t>Členské štáty prijmú potrebné opatrenia, aby sa zabezpečilo, že tam kde zariadenia vykonávajú činnosti uvedené v prílohe I k smernici 96/61/ES, podmienky a postup na</w:t>
            </w:r>
            <w:r>
              <w:rPr>
                <w:rFonts w:ascii="Times New Roman" w:hAnsi="Times New Roman" w:cs="Times New Roman"/>
              </w:rPr>
              <w:t xml:space="preserve"> vydanie povolenia na emisie skleníkových plynov sú skoordinované s tými, ktoré na vydanie povolenia ukladá uvedená smernica. </w:t>
            </w:r>
          </w:p>
          <w:p>
            <w:pPr>
              <w:rPr>
                <w:rFonts w:ascii="Times New Roman" w:hAnsi="Times New Roman" w:cs="Times New Roman"/>
              </w:rPr>
            </w:pPr>
            <w:r>
              <w:rPr>
                <w:rFonts w:ascii="Times New Roman" w:hAnsi="Times New Roman" w:cs="Times New Roman"/>
              </w:rPr>
              <w:t>Požiadavky článkov 5, 6 a 7 tejto smernice možno zahrnúť do postupov zavedených smernicou 96/61/ES.</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N</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Návrh zákon</w:t>
            </w:r>
            <w:r>
              <w:rPr>
                <w:rFonts w:ascii="Times New Roman" w:hAnsi="Times New Roman" w:cs="Times New Roman"/>
              </w:rPr>
              <w:t>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§5(5)</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ind w:left="72"/>
              <w:jc w:val="both"/>
              <w:rPr>
                <w:rFonts w:ascii="Times New Roman" w:hAnsi="Times New Roman" w:cs="Times New Roman"/>
              </w:rPr>
            </w:pPr>
          </w:p>
          <w:p>
            <w:pPr>
              <w:pStyle w:val="Heading9"/>
              <w:rPr>
                <w:rFonts w:ascii="Times New Roman" w:hAnsi="Times New Roman" w:cs="Times New Roman"/>
              </w:rPr>
            </w:pPr>
            <w:r>
              <w:rPr>
                <w:rFonts w:ascii="Times New Roman" w:hAnsi="Times New Roman" w:cs="Times New Roman"/>
              </w:rPr>
              <w:t>Podmienky a obsah povolenia</w:t>
            </w:r>
          </w:p>
          <w:p>
            <w:pPr>
              <w:ind w:left="72"/>
              <w:jc w:val="both"/>
              <w:rPr>
                <w:rFonts w:ascii="Times New Roman" w:hAnsi="Times New Roman" w:cs="Times New Roman"/>
              </w:rPr>
            </w:pPr>
            <w:r>
              <w:rPr>
                <w:rFonts w:ascii="Times New Roman" w:hAnsi="Times New Roman" w:cs="Times New Roman"/>
              </w:rPr>
              <w:t>Ak sa vydáva povolenie na vypúšťanie emisií skleníkových plynov z prevádzky, v ktorej sa vykonávajú činnosti uvedené v prílohe č. 1 osobitného zákona</w:t>
            </w:r>
            <w:r>
              <w:rPr>
                <w:rStyle w:val="FootnoteReference"/>
                <w:rFonts w:ascii="Times New Roman" w:hAnsi="Times New Roman" w:cs="Times New Roman"/>
                <w:rtl w:val="0"/>
              </w:rPr>
              <w:footnoteReference w:id="0"/>
            </w:r>
            <w:r>
              <w:rPr>
                <w:rFonts w:ascii="Times New Roman" w:hAnsi="Times New Roman" w:cs="Times New Roman"/>
                <w:vertAlign w:val="superscript"/>
              </w:rPr>
              <w:t>)</w:t>
            </w:r>
            <w:r>
              <w:rPr>
                <w:rFonts w:ascii="Times New Roman" w:hAnsi="Times New Roman" w:cs="Times New Roman"/>
              </w:rPr>
              <w:t xml:space="preserve"> podmienky a postupy určené v povolení a v integrovanom povolení podľa uvedeného zákona. musia byť skoordinované.</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br w:type="page"/>
              <w:t>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jc w:val="left"/>
              <w:rPr>
                <w:rFonts w:ascii="Times New Roman" w:hAnsi="Times New Roman" w:cs="Times New Roman"/>
                <w:b/>
                <w:sz w:val="24"/>
              </w:rPr>
            </w:pPr>
            <w:r>
              <w:rPr>
                <w:rFonts w:ascii="Times New Roman" w:hAnsi="Times New Roman" w:cs="Times New Roman"/>
                <w:b/>
                <w:sz w:val="24"/>
              </w:rPr>
              <w:t>Národný alokačný plán</w:t>
            </w:r>
          </w:p>
          <w:p>
            <w:pPr>
              <w:pStyle w:val="BodyText21"/>
              <w:spacing w:before="0" w:line="240" w:lineRule="auto"/>
              <w:jc w:val="left"/>
              <w:rPr>
                <w:rFonts w:ascii="Times New Roman" w:hAnsi="Times New Roman" w:cs="Times New Roman"/>
                <w:sz w:val="24"/>
              </w:rPr>
            </w:pPr>
            <w:r>
              <w:rPr>
                <w:rFonts w:ascii="Times New Roman" w:hAnsi="Times New Roman" w:cs="Times New Roman"/>
                <w:sz w:val="24"/>
              </w:rPr>
              <w:t xml:space="preserve">Pre každé obdobie uvedené v článku 11 (1) a (2) vypracuje každý členský štát národný plán, ktorý uvedie celkové množstvo kvót, ktoré plánuje prideliť pre uvedené obdobie a ako ich navrhuje rozdeliť. Plán musí byť založený na objektívnych a transparentných kritériách, vrátane tých, ktoré sú uvedené v prílohe III pri náležitom zohľadnení pripomienok verejnosti. </w:t>
            </w: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p>
            <w:pPr>
              <w:pStyle w:val="BodyText21"/>
              <w:spacing w:before="0" w:line="240" w:lineRule="auto"/>
              <w:jc w:val="left"/>
              <w:rPr>
                <w:rFonts w:ascii="Times New Roman" w:hAnsi="Times New Roman" w:cs="Times New Roman"/>
                <w:sz w:val="24"/>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6"/>
              </w:rPr>
            </w:pPr>
            <w:r>
              <w:rPr>
                <w:rFonts w:ascii="Times New Roman" w:hAnsi="Times New Roman" w:cs="Times New Roman"/>
                <w:sz w:val="16"/>
              </w:rPr>
              <w:t>§8</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bCs/>
                <w:sz w:val="16"/>
              </w:rPr>
            </w:pPr>
            <w:r>
              <w:rPr>
                <w:rFonts w:ascii="Times New Roman" w:hAnsi="Times New Roman" w:cs="Times New Roman"/>
                <w:b/>
                <w:bCs/>
                <w:sz w:val="16"/>
              </w:rPr>
              <w:t xml:space="preserve">Plán </w:t>
            </w:r>
          </w:p>
          <w:p>
            <w:pPr>
              <w:pStyle w:val="BodyText"/>
              <w:rPr>
                <w:rFonts w:ascii="Times New Roman" w:hAnsi="Times New Roman" w:cs="Times New Roman"/>
                <w:sz w:val="16"/>
              </w:rPr>
            </w:pPr>
            <w:r>
              <w:rPr>
                <w:rFonts w:ascii="Times New Roman" w:hAnsi="Times New Roman" w:cs="Times New Roman"/>
                <w:sz w:val="16"/>
              </w:rPr>
              <w:t>Ministerstvo spracuje plán osobitne pre účastníkov schémy obchodovania prevádzkujúcich prevádzky podľa § 24 ods.1 písm. a) a počnúc päťročným obchodovateľným obdobím začínajúcim 1. januára 2008 plán osobitne pre účastníkov schémy obchodovania prevádzkujúcich prevádzky podľa § 24 ods1 písm. b) a dobrovoľných účastníkov schémy obchodovania. Plán musí byť založený na objektívnych a transparentných kritériách a v prípade účastníkov schémy obchodovania prevádzkujúcich prevádzky podľa § 24 ods. 1 písm. a) musí zohľadňovať kritériá uvedené v prílohe č. 3.</w:t>
            </w:r>
          </w:p>
          <w:p>
            <w:pPr>
              <w:pStyle w:val="BodyText"/>
              <w:rPr>
                <w:rFonts w:ascii="Times New Roman" w:hAnsi="Times New Roman" w:cs="Times New Roman"/>
                <w:sz w:val="16"/>
              </w:rPr>
            </w:pPr>
            <w:r>
              <w:rPr>
                <w:rFonts w:ascii="Times New Roman" w:hAnsi="Times New Roman" w:cs="Times New Roman"/>
                <w:sz w:val="16"/>
              </w:rPr>
              <w:t>Ministerstvo pri spracovaní plánu prihliada aj na potrebu pridelenia kvót novým účastníkom schémy obchodovania a za tým účelom vytvorí rezervu kvót, ktorá bude na účte kvót minist</w:t>
            </w:r>
            <w:r>
              <w:rPr>
                <w:rFonts w:ascii="Times New Roman" w:hAnsi="Times New Roman" w:cs="Times New Roman"/>
                <w:sz w:val="16"/>
              </w:rPr>
              <w:t>erstva.</w:t>
            </w:r>
          </w:p>
          <w:p>
            <w:pPr>
              <w:pStyle w:val="BodyText"/>
              <w:rPr>
                <w:rFonts w:ascii="Times New Roman" w:hAnsi="Times New Roman" w:cs="Times New Roman"/>
                <w:sz w:val="16"/>
              </w:rPr>
            </w:pPr>
            <w:r>
              <w:rPr>
                <w:rFonts w:ascii="Times New Roman" w:hAnsi="Times New Roman" w:cs="Times New Roman"/>
                <w:sz w:val="16"/>
              </w:rPr>
              <w:t>Pre účastníkov schémy obchodovania prevádzkujúcich prevádzky podľa § 24 ods.1 písm. a) pre obchodovateľné obdobie uvedené v § 9 ods.1 ministerstvo vydá plán a oznámi ho komisii a ostatným členským štátom Európskej únie najneskôr do 31. októbra 2004. Pre nasledujúce obchodovateľné obdobia plán vydáva a oznamuje komisii a ostatným členským štátom Európskej únie najneskôr osemnásť mesiacov pred začiatkom príslušného obdobia.</w:t>
            </w:r>
          </w:p>
          <w:p>
            <w:pPr>
              <w:pStyle w:val="BodyText"/>
              <w:rPr>
                <w:rFonts w:ascii="Times New Roman" w:hAnsi="Times New Roman" w:cs="Times New Roman"/>
                <w:sz w:val="16"/>
              </w:rPr>
            </w:pPr>
            <w:r>
              <w:rPr>
                <w:rFonts w:ascii="Times New Roman" w:hAnsi="Times New Roman" w:cs="Times New Roman"/>
                <w:sz w:val="16"/>
              </w:rPr>
              <w:t>Pre účastníkov schémy obchodovania prevádzkujúcich prevádzky podľa § 24 ods.1 písm. b) pre obchodovateľné obdobie uvedené v § 9 ods.2 a pre nasledujúce obchodovateľné obdobia ministerstvo vydá plán najneskôr osemnásť mesiacov pred začiatkom príslušného obdobia.</w:t>
            </w:r>
          </w:p>
          <w:p>
            <w:pPr>
              <w:pStyle w:val="BodyText"/>
              <w:rPr>
                <w:rFonts w:ascii="Times New Roman" w:hAnsi="Times New Roman" w:cs="Times New Roman"/>
                <w:sz w:val="16"/>
              </w:rPr>
            </w:pPr>
            <w:r>
              <w:rPr>
                <w:rFonts w:ascii="Times New Roman" w:hAnsi="Times New Roman" w:cs="Times New Roman"/>
                <w:sz w:val="16"/>
              </w:rPr>
              <w:t>Ministerstvo je povinné zverejniť návrh plánu na svojej internetovej stránke najmenej na 30 dní tak, aby sa s ním mohli oboznámiť účastníci schémy obchodovania a verejnosť.</w:t>
            </w:r>
          </w:p>
          <w:p>
            <w:pPr>
              <w:pStyle w:val="BodyText"/>
              <w:rPr>
                <w:rFonts w:ascii="Times New Roman" w:hAnsi="Times New Roman" w:cs="Times New Roman"/>
                <w:sz w:val="16"/>
              </w:rPr>
            </w:pPr>
            <w:r>
              <w:rPr>
                <w:rFonts w:ascii="Times New Roman" w:hAnsi="Times New Roman" w:cs="Times New Roman"/>
                <w:sz w:val="16"/>
              </w:rPr>
              <w:t>Účastníci schémy obchodovania a verejnosť majú v lehote podľa odseku 5 právo podať k návrhu plánu písomné pripomienky ministerstvu.</w:t>
            </w:r>
          </w:p>
          <w:p>
            <w:pPr>
              <w:pStyle w:val="BodyText"/>
              <w:rPr>
                <w:rFonts w:ascii="Times New Roman" w:hAnsi="Times New Roman" w:cs="Times New Roman"/>
                <w:sz w:val="16"/>
              </w:rPr>
            </w:pPr>
            <w:r>
              <w:rPr>
                <w:rFonts w:ascii="Times New Roman" w:hAnsi="Times New Roman" w:cs="Times New Roman"/>
                <w:sz w:val="16"/>
              </w:rPr>
              <w:t>Ministerstvo je povinné najneskôr do 30 dní od uplynutia lehoty podľa odseku 5 uskutočniť verejné prerokovanie návrhu plánu a pri dopracúvaní plánu prihliadať na podané písomné pripomienky alebo pripomienky uplatnené najneskôr na verejnom prerokovaní. Prihliada sa len na odôvodn</w:t>
            </w:r>
            <w:r>
              <w:rPr>
                <w:rFonts w:ascii="Times New Roman" w:hAnsi="Times New Roman" w:cs="Times New Roman"/>
                <w:sz w:val="16"/>
              </w:rPr>
              <w:t>ené vecné pripomienky.</w:t>
            </w:r>
          </w:p>
          <w:p>
            <w:pPr>
              <w:pStyle w:val="BodyText"/>
              <w:rPr>
                <w:rFonts w:ascii="Times New Roman" w:hAnsi="Times New Roman" w:cs="Times New Roman"/>
                <w:sz w:val="16"/>
              </w:rPr>
            </w:pPr>
            <w:r>
              <w:rPr>
                <w:rFonts w:ascii="Times New Roman" w:hAnsi="Times New Roman" w:cs="Times New Roman"/>
                <w:sz w:val="16"/>
              </w:rPr>
              <w:t>Plán podľa odseku 3 sa po prijatí komisiou už nemôže meniť a po zverejnení na internete sa stáva platným. Platný plán je pre ministerstvo a príslušných účastníkov schémy záväzný.</w:t>
            </w:r>
          </w:p>
          <w:p>
            <w:pPr>
              <w:pStyle w:val="BodyText"/>
              <w:rPr>
                <w:rFonts w:ascii="Times New Roman" w:hAnsi="Times New Roman" w:cs="Times New Roman"/>
                <w:sz w:val="16"/>
              </w:rPr>
            </w:pPr>
            <w:r>
              <w:rPr>
                <w:rFonts w:ascii="Times New Roman" w:hAnsi="Times New Roman" w:cs="Times New Roman"/>
                <w:sz w:val="16"/>
              </w:rPr>
              <w:t xml:space="preserve">Plán podľa odseku 4 sa po dopracovaní podľa odseku 7 už nemôže meniť po zverejnení na internete sa stáva pre ministerstvo a príslušných účastníkov schémy obchodovania záväzný. </w:t>
            </w:r>
          </w:p>
          <w:p>
            <w:pPr>
              <w:rPr>
                <w:rFonts w:ascii="Times New Roman" w:hAnsi="Times New Roman" w:cs="Times New Roman"/>
                <w:b/>
                <w:bCs/>
                <w:sz w:val="16"/>
              </w:rPr>
            </w:pPr>
            <w:r>
              <w:rPr>
                <w:rFonts w:ascii="Times New Roman" w:hAnsi="Times New Roman" w:cs="Times New Roman"/>
                <w:sz w:val="16"/>
              </w:rPr>
              <w:t xml:space="preserve">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jc w:val="left"/>
              <w:rPr>
                <w:rFonts w:ascii="Times New Roman" w:hAnsi="Times New Roman" w:cs="Times New Roman"/>
                <w:b/>
                <w:sz w:val="24"/>
              </w:rPr>
            </w:pPr>
            <w:r>
              <w:rPr>
                <w:rFonts w:ascii="Times New Roman" w:hAnsi="Times New Roman" w:cs="Times New Roman"/>
                <w:b/>
                <w:sz w:val="24"/>
              </w:rPr>
              <w:t>Národný alokačný plán</w:t>
            </w:r>
            <w:r>
              <w:rPr>
                <w:rFonts w:ascii="Times New Roman" w:hAnsi="Times New Roman" w:cs="Times New Roman"/>
                <w:sz w:val="24"/>
              </w:rPr>
              <w:t xml:space="preserve"> Komisia vypracuje najneskôr do 31. decembra 2003, bez toho aby bola dotknutá zmluva, usmernenie</w:t>
            </w:r>
            <w:r>
              <w:rPr>
                <w:rFonts w:ascii="Times New Roman" w:hAnsi="Times New Roman" w:cs="Times New Roman"/>
                <w:sz w:val="24"/>
              </w:rPr>
              <w:t xml:space="preserve"> o implementácii kritérií uvedených v prílohe III.</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21"/>
              <w:spacing w:before="0" w:line="240" w:lineRule="auto"/>
              <w:jc w:val="left"/>
              <w:rPr>
                <w:rFonts w:ascii="Times New Roman" w:hAnsi="Times New Roman" w:cs="Times New Roman"/>
                <w:sz w:val="24"/>
              </w:rPr>
            </w:pPr>
            <w:r>
              <w:rPr>
                <w:rFonts w:ascii="Times New Roman" w:hAnsi="Times New Roman" w:cs="Times New Roman"/>
                <w:b/>
                <w:sz w:val="24"/>
              </w:rPr>
              <w:t>Národný alokačný plán</w:t>
            </w:r>
          </w:p>
          <w:p>
            <w:pPr>
              <w:pStyle w:val="BodyText21"/>
              <w:spacing w:before="0" w:line="240" w:lineRule="auto"/>
              <w:jc w:val="left"/>
              <w:rPr>
                <w:rFonts w:ascii="Times New Roman" w:hAnsi="Times New Roman" w:cs="Times New Roman"/>
                <w:b/>
                <w:sz w:val="24"/>
              </w:rPr>
            </w:pPr>
            <w:r>
              <w:rPr>
                <w:rFonts w:ascii="Times New Roman" w:hAnsi="Times New Roman" w:cs="Times New Roman"/>
                <w:sz w:val="24"/>
              </w:rPr>
              <w:t>Pre obdobie uvedené v článku 11 (1), bude plán publikovaný a oznámený Komisii a ostatným členským štátom najneskôr do 31. marca 2004. Pre nasledujúce obdobia bude plán publikovaný a zaslaný Komisii a ostatným členským štátom najneskôr osemnásť mesiacov pred začiatkom príslušného obdobia.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§8 (3)</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b/>
                <w:bCs/>
              </w:rPr>
              <w:t xml:space="preserve">Plán </w:t>
            </w:r>
          </w:p>
          <w:p>
            <w:pPr>
              <w:pStyle w:val="FootnoteText"/>
              <w:rPr>
                <w:rFonts w:ascii="Times New Roman" w:hAnsi="Times New Roman" w:cs="Times New Roman"/>
                <w:b/>
                <w:bCs/>
              </w:rPr>
            </w:pPr>
            <w:r>
              <w:rPr>
                <w:rFonts w:ascii="Times New Roman" w:hAnsi="Times New Roman" w:cs="Times New Roman"/>
              </w:rPr>
              <w:t>Pre účastníkov schémy obchodovania prevádzkujúcich prevádzky podľa § 24 ods.1 písm. a) pre obchodovateľné obdobie uvedené v § 9 ods.1 ministerstvo vydá plán o oznámi ho komisii a ostatným členským štátom Európskej únie najneskôr do 31. októbra 2004. Pre nasledujúce obchodovateľné obdobia plán vydáva a oznamuje  komisii a ostatným členským štátom Európskej únie najneskôr osemnásť mesiacov pred začiatkom príslušného obdobia.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er"/>
              <w:keepNext/>
              <w:keepLines/>
              <w:tabs>
                <w:tab w:val="left" w:pos="193"/>
                <w:tab w:val="clear" w:pos="4536"/>
                <w:tab w:val="clear" w:pos="9072"/>
              </w:tabs>
              <w:rPr>
                <w:rFonts w:ascii="Times New Roman" w:hAnsi="Times New Roman" w:cs="Times New Roman"/>
                <w:b/>
              </w:rPr>
            </w:pPr>
            <w:r>
              <w:rPr>
                <w:rFonts w:ascii="Times New Roman" w:hAnsi="Times New Roman" w:cs="Times New Roman"/>
                <w:b/>
              </w:rPr>
              <w:t>Národný alokačný plán</w:t>
            </w:r>
          </w:p>
          <w:p>
            <w:pPr>
              <w:pStyle w:val="Footer"/>
              <w:keepNext/>
              <w:keepLines/>
              <w:tabs>
                <w:tab w:val="left" w:pos="193"/>
                <w:tab w:val="clear" w:pos="4536"/>
                <w:tab w:val="clear" w:pos="9072"/>
              </w:tabs>
              <w:rPr>
                <w:rFonts w:ascii="Times New Roman" w:hAnsi="Times New Roman" w:cs="Times New Roman"/>
              </w:rPr>
            </w:pPr>
            <w:r>
              <w:rPr>
                <w:rFonts w:ascii="Times New Roman" w:hAnsi="Times New Roman" w:cs="Times New Roman"/>
              </w:rPr>
              <w:t>Národné alokačné plány budú posúdené vo výbore uvedenom v článku 23 (1).</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keepNext/>
              <w:keepLines/>
              <w:tabs>
                <w:tab w:val="left" w:pos="193"/>
              </w:tabs>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9</w:t>
            </w:r>
          </w:p>
        </w:tc>
        <w:tc>
          <w:tcPr>
            <w:tcW w:w="3056"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Národný alokačný plán</w:t>
            </w:r>
          </w:p>
          <w:p>
            <w:pPr>
              <w:rPr>
                <w:rFonts w:ascii="Times New Roman" w:hAnsi="Times New Roman" w:cs="Times New Roman"/>
              </w:rPr>
            </w:pPr>
            <w:r>
              <w:rPr>
                <w:rFonts w:ascii="Times New Roman" w:hAnsi="Times New Roman" w:cs="Times New Roman"/>
              </w:rPr>
              <w:t>Do troch mesiacov od oznámenia národného alokačného plánu členským štátom podľa odseku 1 môže Komisia tento plán, alebo ktorýkoľvek z jeho aspektov odmietnuť na základe nekompatibility s kritériami uvedenými v prílohe III alebo s článkom 10. Členský štát prijme rozhodnutie podľa Článku 11(1) alebo (2) len v prípade, ak sú navrhované zmeny a doplnenia prijaté Komisiou. V prípade každého odmietnutého návrhu Komisia uvedie dôvody odmietnutia.</w:t>
            </w:r>
          </w:p>
        </w:tc>
        <w:tc>
          <w:tcPr>
            <w:tcW w:w="771"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§8 (8)</w:t>
            </w:r>
          </w:p>
        </w:tc>
        <w:tc>
          <w:tcPr>
            <w:tcW w:w="3827"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pStyle w:val="odsek"/>
              <w:rPr>
                <w:rFonts w:ascii="Times New Roman" w:hAnsi="Times New Roman" w:cs="Times New Roman"/>
                <w:b/>
                <w:bCs/>
                <w:color w:val="auto"/>
                <w:sz w:val="20"/>
              </w:rPr>
            </w:pPr>
            <w:r>
              <w:rPr>
                <w:rFonts w:ascii="Times New Roman" w:hAnsi="Times New Roman" w:cs="Times New Roman"/>
                <w:b/>
                <w:bCs/>
                <w:color w:val="auto"/>
                <w:sz w:val="20"/>
              </w:rPr>
              <w:t xml:space="preserve">Plán </w:t>
            </w:r>
          </w:p>
          <w:p>
            <w:pPr>
              <w:pStyle w:val="odsek"/>
              <w:rPr>
                <w:rFonts w:ascii="Times New Roman" w:hAnsi="Times New Roman" w:cs="Times New Roman"/>
                <w:color w:val="auto"/>
              </w:rPr>
            </w:pPr>
            <w:r>
              <w:rPr>
                <w:rFonts w:ascii="Times New Roman" w:hAnsi="Times New Roman" w:cs="Times New Roman"/>
              </w:rPr>
              <w:t xml:space="preserve">Ak komisia odmietne plán do troch mesiacov od jeho oznámenia podľa odseku 3 alebo odmietne ktorýkoľvek z jeho aspektov na základe nesúladu s kritériami uvedenými v prílohe č. 3, ministerstvo navrhne zmeny a doplnenia plánu. Zmeny a doplnenia plánu ministerstvo zverejní na svojej internetovej stránke na 10 dní. Účastníci schémy </w:t>
            </w:r>
            <w:r>
              <w:rPr>
                <w:rFonts w:ascii="Times New Roman" w:hAnsi="Times New Roman" w:cs="Times New Roman"/>
                <w:color w:val="auto"/>
              </w:rPr>
              <w:t>obchodovania</w:t>
            </w:r>
            <w:r>
              <w:rPr>
                <w:rFonts w:ascii="Times New Roman" w:hAnsi="Times New Roman" w:cs="Times New Roman"/>
                <w:sz w:val="16"/>
              </w:rPr>
              <w:t xml:space="preserve"> </w:t>
            </w:r>
            <w:r>
              <w:rPr>
                <w:rFonts w:ascii="Times New Roman" w:hAnsi="Times New Roman" w:cs="Times New Roman"/>
              </w:rPr>
              <w:t>a verejnosť majú v tejto lehote právo podať k zmenám a doplneniam návrhu plánu písomné pripomienky ministerstvu. Po vyhodnotení pripomienok ministerstvo zašle upravený plán komisii.</w:t>
            </w:r>
          </w:p>
        </w:tc>
        <w:tc>
          <w:tcPr>
            <w:tcW w:w="851"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4" w:space="0" w:color="auto"/>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4" w:space="0" w:color="auto"/>
              <w:left w:val="single" w:sz="4" w:space="0" w:color="auto"/>
              <w:bottom w:val="single" w:sz="4" w:space="0" w:color="auto"/>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10</w:t>
            </w:r>
          </w:p>
        </w:tc>
        <w:tc>
          <w:tcPr>
            <w:tcW w:w="3056"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Spôsob prideľovania</w:t>
            </w:r>
          </w:p>
          <w:p>
            <w:pPr>
              <w:rPr>
                <w:rFonts w:ascii="Times New Roman" w:hAnsi="Times New Roman" w:cs="Times New Roman"/>
              </w:rPr>
            </w:pPr>
            <w:r>
              <w:rPr>
                <w:rFonts w:ascii="Times New Roman" w:hAnsi="Times New Roman" w:cs="Times New Roman"/>
              </w:rPr>
              <w:t>Pre trojročné obdobie začínajúce od 1. januára 2005 pridelia členské štáty minimálne 95% kvót zadarmo. Pre päťročné obdobie začínajúce od 1. januára 2008 pridelia členské štáty najmenej 90 % kvót zadarmo.</w:t>
            </w:r>
          </w:p>
        </w:tc>
        <w:tc>
          <w:tcPr>
            <w:tcW w:w="771"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 xml:space="preserve">§9 (1,2,3) </w:t>
            </w:r>
          </w:p>
        </w:tc>
        <w:tc>
          <w:tcPr>
            <w:tcW w:w="3827"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rPr>
                <w:rFonts w:ascii="Times New Roman" w:hAnsi="Times New Roman" w:cs="Times New Roman"/>
                <w:b/>
                <w:bCs/>
                <w:sz w:val="20"/>
              </w:rPr>
            </w:pPr>
            <w:r>
              <w:rPr>
                <w:rFonts w:ascii="Times New Roman" w:hAnsi="Times New Roman" w:cs="Times New Roman"/>
                <w:b/>
                <w:bCs/>
                <w:sz w:val="20"/>
              </w:rPr>
              <w:t>Pridelenie a vydanie kvót skleníkových plynov</w:t>
            </w:r>
          </w:p>
          <w:p>
            <w:pPr>
              <w:pStyle w:val="BodyText"/>
              <w:rPr>
                <w:rFonts w:ascii="Times New Roman" w:hAnsi="Times New Roman" w:cs="Times New Roman"/>
                <w:sz w:val="20"/>
              </w:rPr>
            </w:pPr>
            <w:r>
              <w:rPr>
                <w:rFonts w:ascii="Times New Roman" w:hAnsi="Times New Roman" w:cs="Times New Roman"/>
                <w:sz w:val="20"/>
              </w:rPr>
              <w:t xml:space="preserve">Pre trojročné obchodovateľné obdobie začínajúce 1. januára 2005 ministerstvo na základe platného plánu bezodplatne pridelí kvóty do 28. februára 2005 všetkým povinným účastníkom schémy obchodovania prevádzkujúcim prevádzky podľa § 24 ods.1 písm. a); o pridelení kvót vydá účastníkom schémy potvrdenie. </w:t>
            </w:r>
          </w:p>
          <w:p>
            <w:pPr>
              <w:pStyle w:val="BodyText"/>
              <w:numPr>
                <w:ilvl w:val="0"/>
              </w:numPr>
              <w:ind w:firstLine="0"/>
              <w:rPr>
                <w:rFonts w:ascii="Times New Roman" w:hAnsi="Times New Roman" w:cs="Times New Roman"/>
                <w:sz w:val="20"/>
              </w:rPr>
            </w:pPr>
          </w:p>
          <w:p>
            <w:pPr>
              <w:pStyle w:val="BodyText"/>
              <w:rPr>
                <w:rFonts w:ascii="Times New Roman" w:hAnsi="Times New Roman" w:cs="Times New Roman"/>
                <w:sz w:val="20"/>
              </w:rPr>
            </w:pPr>
            <w:r>
              <w:rPr>
                <w:rFonts w:ascii="Times New Roman" w:hAnsi="Times New Roman" w:cs="Times New Roman"/>
                <w:sz w:val="20"/>
              </w:rPr>
              <w:t>Pre päťročné obchodovateľné obdobie začínajúce 1. januára 2008 a pre každé nasledujúce päťročné obchodovateľné obdobie ministerstvo na základe plánu (§ 8 ods. 10), v prípade účastníkov schémy obchodovania prevádzkujúcich prevádzky podľa § 24 ods.1 písm. a) na základe platného plánu (§ 8 ods. 9), bezodplatne pridelí kvóty najneskôr dvanásť mesiacov pred začiatkom príslušného obdobia všetkým povinným účastníkom schémy obchodovania a dobrovoľným účastníkom schémy obchodovania; o pridelení kvót vydá účastníkom schémy potvrdenie.</w:t>
            </w:r>
          </w:p>
          <w:p>
            <w:pPr>
              <w:pStyle w:val="BodyText"/>
              <w:ind w:left="340"/>
              <w:rPr>
                <w:rFonts w:ascii="Times New Roman" w:hAnsi="Times New Roman" w:cs="Times New Roman"/>
                <w:sz w:val="20"/>
              </w:rPr>
            </w:pPr>
            <w:r>
              <w:rPr>
                <w:rFonts w:ascii="Times New Roman" w:hAnsi="Times New Roman" w:cs="Times New Roman"/>
                <w:sz w:val="20"/>
              </w:rPr>
              <w:t xml:space="preserve"> </w:t>
            </w:r>
          </w:p>
          <w:p>
            <w:pPr>
              <w:pStyle w:val="BodyText"/>
              <w:rPr>
                <w:rFonts w:ascii="Times New Roman" w:hAnsi="Times New Roman" w:cs="Times New Roman"/>
                <w:sz w:val="20"/>
              </w:rPr>
            </w:pPr>
            <w:r>
              <w:rPr>
                <w:rFonts w:ascii="Times New Roman" w:hAnsi="Times New Roman" w:cs="Times New Roman"/>
                <w:sz w:val="20"/>
              </w:rPr>
              <w:t>Kvóty podľa odsekov 1 alebo 2 možno prideliť len na základe plánu podľa § 8 ods. 9 alebo ods. 10.</w:t>
            </w:r>
          </w:p>
          <w:p>
            <w:pPr>
              <w:pStyle w:val="BodyText"/>
              <w:numPr>
                <w:ilvl w:val="0"/>
              </w:numPr>
              <w:ind w:firstLine="0"/>
              <w:rPr>
                <w:rFonts w:ascii="Times New Roman" w:hAnsi="Times New Roman" w:cs="Times New Roman"/>
                <w:sz w:val="20"/>
              </w:rPr>
            </w:pPr>
          </w:p>
          <w:p>
            <w:pPr>
              <w:pStyle w:val="BodyText"/>
              <w:rPr>
                <w:rFonts w:ascii="Times New Roman" w:hAnsi="Times New Roman" w:cs="Times New Roman"/>
                <w:sz w:val="20"/>
              </w:rPr>
            </w:pPr>
          </w:p>
          <w:p>
            <w:pPr>
              <w:rPr>
                <w:rFonts w:ascii="Times New Roman" w:hAnsi="Times New Roman" w:cs="Times New Roman"/>
                <w:b/>
                <w:bCs/>
                <w:sz w:val="20"/>
              </w:rPr>
            </w:pPr>
          </w:p>
        </w:tc>
        <w:tc>
          <w:tcPr>
            <w:tcW w:w="851"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4" w:space="0" w:color="auto"/>
              <w:left w:val="single" w:sz="4" w:space="0" w:color="auto"/>
              <w:bottom w:val="single" w:sz="4" w:space="0" w:color="auto"/>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11</w:t>
            </w:r>
          </w:p>
        </w:tc>
        <w:tc>
          <w:tcPr>
            <w:tcW w:w="3056"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tabs>
                <w:tab w:val="left" w:pos="0"/>
              </w:tabs>
              <w:rPr>
                <w:rFonts w:ascii="Times New Roman" w:hAnsi="Times New Roman" w:cs="Times New Roman"/>
                <w:b/>
              </w:rPr>
            </w:pPr>
            <w:r>
              <w:rPr>
                <w:rFonts w:ascii="Times New Roman" w:hAnsi="Times New Roman" w:cs="Times New Roman"/>
                <w:b/>
              </w:rPr>
              <w:t>Pridelenie a vydanie kvót</w:t>
            </w:r>
          </w:p>
          <w:p>
            <w:pPr>
              <w:tabs>
                <w:tab w:val="left" w:pos="0"/>
              </w:tabs>
              <w:rPr>
                <w:rFonts w:ascii="Times New Roman" w:hAnsi="Times New Roman" w:cs="Times New Roman"/>
              </w:rPr>
            </w:pPr>
            <w:r>
              <w:rPr>
                <w:rFonts w:ascii="Times New Roman" w:hAnsi="Times New Roman" w:cs="Times New Roman"/>
              </w:rPr>
              <w:t>Pre trojročné obdobie začínajúce od 1. januára 2005 rozhodne každý členský štát o celkovom množstve kvót, ktoré pridelí na toto obdobie a o pridelení týchto kvót prevádzkovateľom jednotlivých zariadení. Toto rozhodnutie musí byť prijaté aspoň tri mesiace pred začiatkom obdobia a musí byť založené na národnom alokačnom pláne vypracovanom podľa článku 9 a v súlade s článkom 10, pri náležitom zohľadnení pripomienok verejnosti.</w:t>
            </w:r>
          </w:p>
        </w:tc>
        <w:tc>
          <w:tcPr>
            <w:tcW w:w="771"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Návrh zákona</w:t>
            </w:r>
          </w:p>
        </w:tc>
        <w:tc>
          <w:tcPr>
            <w:tcW w:w="851"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§9 (1)</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§8 (5)</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§8 (6)</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§8 (7)</w:t>
            </w:r>
          </w:p>
        </w:tc>
        <w:tc>
          <w:tcPr>
            <w:tcW w:w="3827"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rPr>
                <w:rFonts w:ascii="Times New Roman" w:hAnsi="Times New Roman" w:cs="Times New Roman"/>
                <w:b/>
                <w:bCs/>
                <w:sz w:val="20"/>
              </w:rPr>
            </w:pPr>
            <w:r>
              <w:rPr>
                <w:rFonts w:ascii="Times New Roman" w:hAnsi="Times New Roman" w:cs="Times New Roman"/>
                <w:b/>
                <w:bCs/>
                <w:sz w:val="20"/>
              </w:rPr>
              <w:t>Pridelenie a vydanie kvót skleníkových plynov</w:t>
            </w:r>
          </w:p>
          <w:p>
            <w:pPr>
              <w:jc w:val="both"/>
              <w:rPr>
                <w:rFonts w:ascii="Times New Roman" w:hAnsi="Times New Roman" w:cs="Times New Roman"/>
                <w:sz w:val="20"/>
              </w:rPr>
            </w:pPr>
            <w:r>
              <w:rPr>
                <w:rFonts w:ascii="Times New Roman" w:hAnsi="Times New Roman" w:cs="Times New Roman"/>
                <w:sz w:val="20"/>
              </w:rPr>
              <w:t>Pre trojročné obchodovateľné obdobie začínajúce 1. januára 2005 ministerstvo na základe platného plánu bezodplatne pridelí kvóty do 31.decembra 2004 všetkým povinným účastníkom schémy obchodovania prevádzkujúcim prevádzky podľa § 24 ods.1 písm. a); o pridelení kvót vydá účastníkom schémy potvrde</w:t>
            </w:r>
            <w:r>
              <w:rPr>
                <w:rFonts w:ascii="Times New Roman" w:hAnsi="Times New Roman" w:cs="Times New Roman"/>
                <w:sz w:val="20"/>
              </w:rPr>
              <w:t>nie.</w:t>
            </w:r>
          </w:p>
          <w:p>
            <w:pPr>
              <w:jc w:val="both"/>
              <w:rPr>
                <w:rFonts w:ascii="Times New Roman" w:hAnsi="Times New Roman" w:cs="Times New Roman"/>
                <w:sz w:val="20"/>
              </w:rPr>
            </w:pPr>
          </w:p>
          <w:p>
            <w:pPr>
              <w:jc w:val="both"/>
              <w:rPr>
                <w:rFonts w:ascii="Times New Roman" w:hAnsi="Times New Roman" w:cs="Times New Roman"/>
                <w:sz w:val="20"/>
              </w:rPr>
            </w:pPr>
            <w:r>
              <w:rPr>
                <w:rFonts w:ascii="Times New Roman" w:hAnsi="Times New Roman" w:cs="Times New Roman"/>
                <w:b/>
                <w:bCs/>
                <w:sz w:val="20"/>
              </w:rPr>
              <w:t xml:space="preserve">Plán </w:t>
            </w:r>
          </w:p>
          <w:p>
            <w:pPr>
              <w:pStyle w:val="odsek"/>
              <w:tabs>
                <w:tab w:val="left" w:pos="993"/>
              </w:tabs>
              <w:spacing w:before="0"/>
              <w:rPr>
                <w:rFonts w:ascii="Times New Roman" w:hAnsi="Times New Roman" w:cs="Times New Roman"/>
                <w:color w:val="auto"/>
                <w:sz w:val="20"/>
              </w:rPr>
            </w:pPr>
            <w:r>
              <w:rPr>
                <w:rFonts w:ascii="Times New Roman" w:hAnsi="Times New Roman" w:cs="Times New Roman"/>
                <w:color w:val="auto"/>
                <w:sz w:val="20"/>
              </w:rPr>
              <w:t>Ministerstvo je povinné zverejniť návrh plánu na svojej internetovej stránke najmenej na 30 dní  tak, aby sa s ním mohli oboznámiť účastníci schémy obchodovania a verejnosť.</w:t>
            </w:r>
          </w:p>
          <w:p>
            <w:pPr>
              <w:pStyle w:val="odsek"/>
              <w:tabs>
                <w:tab w:val="left" w:pos="993"/>
              </w:tabs>
              <w:spacing w:before="0"/>
              <w:rPr>
                <w:rFonts w:ascii="Times New Roman" w:hAnsi="Times New Roman" w:cs="Times New Roman"/>
                <w:color w:val="auto"/>
                <w:sz w:val="20"/>
              </w:rPr>
            </w:pPr>
          </w:p>
          <w:p>
            <w:pPr>
              <w:pStyle w:val="odsek"/>
              <w:tabs>
                <w:tab w:val="left" w:pos="993"/>
              </w:tabs>
              <w:spacing w:before="0"/>
              <w:rPr>
                <w:rFonts w:ascii="Times New Roman" w:hAnsi="Times New Roman" w:cs="Times New Roman"/>
                <w:color w:val="auto"/>
                <w:sz w:val="20"/>
              </w:rPr>
            </w:pPr>
            <w:r>
              <w:rPr>
                <w:rFonts w:ascii="Times New Roman" w:hAnsi="Times New Roman" w:cs="Times New Roman"/>
                <w:color w:val="auto"/>
                <w:sz w:val="20"/>
              </w:rPr>
              <w:t>Účastníci schémy obchodovania a verejnosť majú v lehote podľa odseku 5 právo podať k návrhu plánu písomné pripomienky ministerstvu.</w:t>
            </w:r>
          </w:p>
          <w:p>
            <w:pPr>
              <w:pStyle w:val="odsek"/>
              <w:tabs>
                <w:tab w:val="left" w:pos="993"/>
              </w:tabs>
              <w:spacing w:before="0"/>
              <w:rPr>
                <w:rFonts w:ascii="Times New Roman" w:hAnsi="Times New Roman" w:cs="Times New Roman"/>
                <w:color w:val="auto"/>
                <w:sz w:val="20"/>
              </w:rPr>
            </w:pPr>
          </w:p>
          <w:p>
            <w:pPr>
              <w:pStyle w:val="BodyText21"/>
              <w:spacing w:before="0" w:line="240" w:lineRule="auto"/>
              <w:rPr>
                <w:rFonts w:ascii="Times New Roman" w:hAnsi="Times New Roman" w:cs="Times New Roman"/>
              </w:rPr>
            </w:pPr>
            <w:r>
              <w:rPr>
                <w:rFonts w:ascii="Times New Roman" w:hAnsi="Times New Roman" w:cs="Times New Roman"/>
              </w:rPr>
              <w:t>Ministerstvo je povinné najneskôr do 30 dní od uplynutia lehoty podľa odseku 5 uskutočniť verejné prerokovanie návrhu plánu a pri dopracúvaní plánu prihliadať na podané písomné pripomienky ale</w:t>
            </w:r>
            <w:r>
              <w:rPr>
                <w:rFonts w:ascii="Times New Roman" w:hAnsi="Times New Roman" w:cs="Times New Roman"/>
              </w:rPr>
              <w:t>bo pripomienky uplatnené najneskôr na verejnom prerokovaní. Prihliada sa len na odôvodnené vecné pripomienky</w:t>
            </w:r>
          </w:p>
        </w:tc>
        <w:tc>
          <w:tcPr>
            <w:tcW w:w="851"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rPr>
              <w:t xml:space="preserve"> Ú</w:t>
            </w:r>
          </w:p>
        </w:tc>
        <w:tc>
          <w:tcPr>
            <w:tcW w:w="1134" w:type="dxa"/>
            <w:tcBorders>
              <w:top w:val="single" w:sz="4" w:space="0" w:color="auto"/>
              <w:left w:val="single" w:sz="6" w:space="0" w:color="000000"/>
              <w:bottom w:val="single" w:sz="4" w:space="0" w:color="auto"/>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11</w:t>
            </w:r>
          </w:p>
        </w:tc>
        <w:tc>
          <w:tcPr>
            <w:tcW w:w="3056"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Pridelenie a vydanie kvót</w:t>
            </w:r>
          </w:p>
          <w:p>
            <w:pPr>
              <w:rPr>
                <w:rFonts w:ascii="Times New Roman" w:hAnsi="Times New Roman" w:cs="Times New Roman"/>
              </w:rPr>
            </w:pPr>
            <w:r>
              <w:rPr>
                <w:rFonts w:ascii="Times New Roman" w:hAnsi="Times New Roman" w:cs="Times New Roman"/>
              </w:rPr>
              <w:t>Pre päťročné obdobie začínajúce od1. januára 2008 a pre každé nasledujúce päťročné obdobie rozhodne každý členský štát o celkovom množstve kvót, ktoré pridelí pre dané obdobie a začne s procesom prideľovania týchto kvót prevádzkovateľom jednotlivých zariadení. Toto rozhodnutie musí byť prijaté aspoň dvanásť mesiacov pred začiatkom príslušného obdobia a musí byť založené na národnom alokačnom pláne vytvorenom podľa článku 9 a v súlade s článkom 10, pri náležitom zohľadnení pripomienok verejnosti.</w:t>
            </w:r>
          </w:p>
        </w:tc>
        <w:tc>
          <w:tcPr>
            <w:tcW w:w="771"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§9(2)</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§8 (5)</w:t>
            </w: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§8 (6)</w:t>
            </w:r>
          </w:p>
          <w:p>
            <w:pPr>
              <w:jc w:val="center"/>
              <w:rPr>
                <w:rFonts w:ascii="Times New Roman" w:hAnsi="Times New Roman" w:cs="Times New Roman"/>
                <w:sz w:val="20"/>
              </w:rPr>
            </w:pPr>
          </w:p>
          <w:p>
            <w:pPr>
              <w:jc w:val="center"/>
              <w:rPr>
                <w:rFonts w:ascii="Times New Roman" w:hAnsi="Times New Roman" w:cs="Times New Roman"/>
                <w:sz w:val="20"/>
              </w:rPr>
            </w:pPr>
          </w:p>
          <w:p>
            <w:pPr>
              <w:rPr>
                <w:rFonts w:ascii="Times New Roman" w:hAnsi="Times New Roman" w:cs="Times New Roman"/>
                <w:sz w:val="20"/>
              </w:rPr>
            </w:pPr>
          </w:p>
          <w:p>
            <w:pPr>
              <w:rPr>
                <w:rFonts w:ascii="Times New Roman" w:hAnsi="Times New Roman" w:cs="Times New Roman"/>
                <w:sz w:val="20"/>
              </w:rPr>
            </w:pPr>
          </w:p>
          <w:p>
            <w:pPr>
              <w:jc w:val="center"/>
              <w:rPr>
                <w:rFonts w:ascii="Times New Roman" w:hAnsi="Times New Roman" w:cs="Times New Roman"/>
                <w:sz w:val="20"/>
              </w:rPr>
            </w:pPr>
            <w:r>
              <w:rPr>
                <w:rFonts w:ascii="Times New Roman" w:hAnsi="Times New Roman" w:cs="Times New Roman"/>
                <w:sz w:val="20"/>
              </w:rPr>
              <w:t>§8 (7)</w:t>
            </w:r>
          </w:p>
        </w:tc>
        <w:tc>
          <w:tcPr>
            <w:tcW w:w="3827"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pStyle w:val="BodyText"/>
              <w:rPr>
                <w:rFonts w:ascii="Times New Roman" w:hAnsi="Times New Roman" w:cs="Times New Roman"/>
                <w:sz w:val="20"/>
              </w:rPr>
            </w:pPr>
            <w:r>
              <w:rPr>
                <w:rFonts w:ascii="Times New Roman" w:hAnsi="Times New Roman" w:cs="Times New Roman"/>
                <w:b/>
                <w:bCs/>
                <w:sz w:val="20"/>
              </w:rPr>
              <w:t>Pridelenie a vydanie kvót skleníkových plynov</w:t>
            </w:r>
          </w:p>
          <w:p>
            <w:pPr>
              <w:pStyle w:val="BodyText"/>
              <w:rPr>
                <w:rFonts w:ascii="Times New Roman" w:hAnsi="Times New Roman" w:cs="Times New Roman"/>
                <w:sz w:val="20"/>
              </w:rPr>
            </w:pPr>
            <w:r>
              <w:rPr>
                <w:rFonts w:ascii="Times New Roman" w:hAnsi="Times New Roman" w:cs="Times New Roman"/>
                <w:sz w:val="20"/>
              </w:rPr>
              <w:t xml:space="preserve">Pre päťročné obchodovateľné obdobie začínajúce 1. januára 2008 a pre každé nasledujúce päťročné obchodovateľné obdobie ministerstvo na základe plánu (§ 8 ods. 10), v prípade účastníkov schémy obchodovania  prevádzkujúcich prevádzky podľa § 24 ods.1 písm. a) na základe platného plánu (§ 8 ods. 9), bezodplatne pridelí kvóty najneskôr dvanásť mesiacov pred začiatkom príslušného obdobia všetkým povinným účastníkom schémy obchodovania a dobrovoľným účastníkom schémy obchodovania; o pridelení kvót vydá účastníkom </w:t>
            </w:r>
            <w:r>
              <w:rPr>
                <w:rFonts w:ascii="Times New Roman" w:hAnsi="Times New Roman" w:cs="Times New Roman"/>
                <w:sz w:val="20"/>
              </w:rPr>
              <w:t>schémy obchodovania potvrdenie.</w:t>
            </w:r>
          </w:p>
          <w:p>
            <w:pPr>
              <w:pStyle w:val="Textpoznpodcarou"/>
              <w:rPr>
                <w:rFonts w:ascii="Times New Roman" w:hAnsi="Times New Roman" w:cs="Times New Roman"/>
                <w:lang w:val="sk-SK"/>
              </w:rPr>
            </w:pPr>
          </w:p>
          <w:p>
            <w:pPr>
              <w:pStyle w:val="Heading4"/>
              <w:rPr>
                <w:rFonts w:ascii="Times New Roman" w:hAnsi="Times New Roman" w:cs="Times New Roman"/>
                <w:sz w:val="20"/>
              </w:rPr>
            </w:pPr>
            <w:r>
              <w:rPr>
                <w:rFonts w:ascii="Times New Roman" w:hAnsi="Times New Roman" w:cs="Times New Roman"/>
                <w:sz w:val="20"/>
              </w:rPr>
              <w:t xml:space="preserve">Plán </w:t>
            </w:r>
          </w:p>
          <w:p>
            <w:pPr>
              <w:pStyle w:val="odsek"/>
              <w:tabs>
                <w:tab w:val="left" w:pos="993"/>
              </w:tabs>
              <w:spacing w:before="0"/>
              <w:rPr>
                <w:rFonts w:ascii="Times New Roman" w:hAnsi="Times New Roman" w:cs="Times New Roman"/>
                <w:color w:val="auto"/>
                <w:sz w:val="20"/>
              </w:rPr>
            </w:pPr>
            <w:r>
              <w:rPr>
                <w:rFonts w:ascii="Times New Roman" w:hAnsi="Times New Roman" w:cs="Times New Roman"/>
                <w:color w:val="auto"/>
                <w:sz w:val="20"/>
              </w:rPr>
              <w:t>Ministerstvo je povinné zverejniť návrh plánu na svojej internetovej stránke najmenej na 30 dní  tak, aby sa s ním mohli oboznámiť účastníci schémy obchodovania a verejnosť.</w:t>
            </w:r>
          </w:p>
          <w:p>
            <w:pPr>
              <w:pStyle w:val="odsek"/>
              <w:tabs>
                <w:tab w:val="left" w:pos="993"/>
              </w:tabs>
              <w:spacing w:before="0"/>
              <w:rPr>
                <w:rFonts w:ascii="Times New Roman" w:hAnsi="Times New Roman" w:cs="Times New Roman"/>
                <w:color w:val="auto"/>
                <w:sz w:val="20"/>
              </w:rPr>
            </w:pPr>
          </w:p>
          <w:p>
            <w:pPr>
              <w:pStyle w:val="odsek"/>
              <w:tabs>
                <w:tab w:val="left" w:pos="993"/>
              </w:tabs>
              <w:spacing w:before="0"/>
              <w:rPr>
                <w:rFonts w:ascii="Times New Roman" w:hAnsi="Times New Roman" w:cs="Times New Roman"/>
                <w:color w:val="auto"/>
                <w:sz w:val="20"/>
              </w:rPr>
            </w:pPr>
            <w:r>
              <w:rPr>
                <w:rFonts w:ascii="Times New Roman" w:hAnsi="Times New Roman" w:cs="Times New Roman"/>
                <w:color w:val="auto"/>
                <w:sz w:val="20"/>
              </w:rPr>
              <w:t>Účastníci schémy obchodovania a verejnosť majú v lehote podľa odseku 5 právo podať k návrhu plánu písomné pripomienky ministerstvu.</w:t>
            </w:r>
          </w:p>
          <w:p>
            <w:pPr>
              <w:pStyle w:val="odsek"/>
              <w:tabs>
                <w:tab w:val="left" w:pos="993"/>
              </w:tabs>
              <w:spacing w:before="0"/>
              <w:rPr>
                <w:rFonts w:ascii="Times New Roman" w:hAnsi="Times New Roman" w:cs="Times New Roman"/>
                <w:color w:val="auto"/>
                <w:sz w:val="20"/>
              </w:rPr>
            </w:pPr>
          </w:p>
          <w:p>
            <w:pPr>
              <w:pStyle w:val="odsek"/>
              <w:tabs>
                <w:tab w:val="left" w:pos="993"/>
                <w:tab w:val="left" w:pos="1276"/>
              </w:tabs>
              <w:spacing w:before="0"/>
              <w:rPr>
                <w:rFonts w:ascii="Times New Roman" w:hAnsi="Times New Roman" w:cs="Times New Roman"/>
                <w:color w:val="auto"/>
                <w:sz w:val="20"/>
              </w:rPr>
            </w:pPr>
            <w:r>
              <w:rPr>
                <w:rFonts w:ascii="Times New Roman" w:hAnsi="Times New Roman" w:cs="Times New Roman"/>
                <w:color w:val="auto"/>
                <w:sz w:val="20"/>
              </w:rPr>
              <w:t>Ministerstvo je povinné najneskôr do 30 dní od uplynutia lehoty podľa odseku 5 uskutočniť verejné prerokovanie návrhu plánu a pri dopracúvaní plánu prihliadať na pod</w:t>
            </w:r>
            <w:r>
              <w:rPr>
                <w:rFonts w:ascii="Times New Roman" w:hAnsi="Times New Roman" w:cs="Times New Roman"/>
                <w:color w:val="auto"/>
                <w:sz w:val="20"/>
              </w:rPr>
              <w:t>ané písomné pripomienky alebo pripomienky uplatnené najneskôr na verejnom prerokovaní. Prihliada sa len na odôvodnené vecné pripomienky.</w:t>
            </w:r>
          </w:p>
          <w:p>
            <w:pPr>
              <w:rPr>
                <w:rFonts w:ascii="Times New Roman" w:hAnsi="Times New Roman" w:cs="Times New Roman"/>
                <w:b/>
                <w:bCs/>
                <w:sz w:val="20"/>
              </w:rPr>
            </w:pPr>
          </w:p>
        </w:tc>
        <w:tc>
          <w:tcPr>
            <w:tcW w:w="851"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4" w:space="0" w:color="auto"/>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Pridelenie a vydanie kvót</w:t>
            </w:r>
          </w:p>
          <w:p>
            <w:pPr>
              <w:rPr>
                <w:rFonts w:ascii="Times New Roman" w:hAnsi="Times New Roman" w:cs="Times New Roman"/>
              </w:rPr>
            </w:pPr>
            <w:r>
              <w:rPr>
                <w:rFonts w:ascii="Times New Roman" w:hAnsi="Times New Roman" w:cs="Times New Roman"/>
              </w:rPr>
              <w:t>Rozhodnutia prijaté podľa odsekov 1 alebo 2 musia byť v súlade s požiadavkami zmluvy, najmä jej článkov 87 a 88. Pri rozhodovaní o pridelení musia členské štáty prihliadať na potrebu poskytovať prístup ku kvótam novým účastníkom.</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§8 (2)</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§9 (4)</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bCs/>
              </w:rPr>
            </w:pPr>
            <w:r>
              <w:rPr>
                <w:rFonts w:ascii="Times New Roman" w:hAnsi="Times New Roman" w:cs="Times New Roman"/>
                <w:b/>
                <w:bCs/>
              </w:rPr>
              <w:t xml:space="preserve">Plán </w:t>
            </w:r>
          </w:p>
          <w:p>
            <w:pPr>
              <w:rPr>
                <w:rFonts w:ascii="Times New Roman" w:hAnsi="Times New Roman" w:cs="Times New Roman"/>
              </w:rPr>
            </w:pPr>
            <w:r>
              <w:rPr>
                <w:rFonts w:ascii="Times New Roman" w:hAnsi="Times New Roman" w:cs="Times New Roman"/>
              </w:rPr>
              <w:t>Ministerstvo pri spracovaní plánu prihliada aj na potrebu pridelenia kvót novým účastníkom schémy obchodovania a za tým účelom vytvorí rezervu kvót, ktorá bude na účte ministerstva.</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bCs/>
              </w:rPr>
              <w:t>Pridelenie a vydanie kvót skleníkových plynov</w:t>
            </w:r>
          </w:p>
          <w:p>
            <w:pPr>
              <w:rPr>
                <w:rFonts w:ascii="Times New Roman" w:hAnsi="Times New Roman" w:cs="Times New Roman"/>
                <w:b/>
                <w:bCs/>
              </w:rPr>
            </w:pPr>
            <w:r>
              <w:rPr>
                <w:rFonts w:ascii="Times New Roman" w:hAnsi="Times New Roman" w:cs="Times New Roman"/>
              </w:rPr>
              <w:t xml:space="preserve">Novým účastníkom schémy obchodovania ministerstvo bezodplatne pridelí kvóty z rezervy kvót, ktoré vydá do 60 dní odo dňa doručenia kópie povolenia; o pridelení kvót vydá účastníkom schémy obchodovania potvrdenie. Ministerstvo prideľuje kvóty novým účastníkom schémy obchodovania, v poradí podľa času doručenia písomnej žiadosti o povolenie emitovať skleníkové plyny, až do vyčerpania rezervy kvót.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Pridelenie a vydanie kvót</w:t>
            </w:r>
          </w:p>
          <w:p>
            <w:pPr>
              <w:rPr>
                <w:rFonts w:ascii="Times New Roman" w:hAnsi="Times New Roman" w:cs="Times New Roman"/>
              </w:rPr>
            </w:pPr>
            <w:r>
              <w:rPr>
                <w:rFonts w:ascii="Times New Roman" w:hAnsi="Times New Roman" w:cs="Times New Roman"/>
              </w:rPr>
              <w:t>Zodpovedný orgán vydá proporčný podiel celkového množstva kvót každý rok v období uvedenom v odseku 1 alebo 2 do 28. februára daného roku.</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20"/>
              </w:rPr>
            </w:pPr>
            <w:r>
              <w:rPr>
                <w:rFonts w:ascii="Times New Roman" w:hAnsi="Times New Roman" w:cs="Times New Roman"/>
                <w:sz w:val="20"/>
              </w:rPr>
              <w:t>§9 (8)</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sz w:val="20"/>
              </w:rPr>
            </w:pPr>
            <w:r>
              <w:rPr>
                <w:rFonts w:ascii="Times New Roman" w:hAnsi="Times New Roman" w:cs="Times New Roman"/>
                <w:b/>
                <w:bCs/>
                <w:sz w:val="20"/>
              </w:rPr>
              <w:t>Pridelenie a vydanie kvót skleníkových plynov</w:t>
            </w:r>
            <w:r>
              <w:rPr>
                <w:rFonts w:ascii="Times New Roman" w:hAnsi="Times New Roman" w:cs="Times New Roman"/>
                <w:sz w:val="20"/>
              </w:rPr>
              <w:t xml:space="preserve"> </w:t>
            </w:r>
          </w:p>
          <w:p>
            <w:pPr>
              <w:rPr>
                <w:rFonts w:ascii="Times New Roman" w:hAnsi="Times New Roman" w:cs="Times New Roman"/>
                <w:bCs/>
                <w:sz w:val="20"/>
              </w:rPr>
            </w:pPr>
            <w:r>
              <w:rPr>
                <w:rFonts w:ascii="Times New Roman" w:hAnsi="Times New Roman" w:cs="Times New Roman"/>
              </w:rPr>
              <w:t>Kvóty pridelené podľa odsekov 1,2 a 4 zapisuje na pokyn ministerstva správca registra do registra každoročne do 28. februára v roku, v množstve rovnajúcom sa proporčnému podielu celkového množstva pridelených kvót na príslušné obchodovateľné obdobie. Ak bude novému účastníkovi schémy obchodovania pridelená kvóta po uvedenom termíne, zapíše sa jej proporčné množstvo v príslušnom roku do registra do 30 dní odo dňa vydania potvrdenia o jej pridelení.</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Prenos, odovzdanie a zrušenie kvót</w:t>
            </w:r>
          </w:p>
          <w:p>
            <w:pPr>
              <w:pStyle w:val="BodyText"/>
              <w:rPr>
                <w:rFonts w:ascii="Times New Roman" w:hAnsi="Times New Roman" w:cs="Times New Roman"/>
              </w:rPr>
            </w:pPr>
            <w:r>
              <w:rPr>
                <w:rFonts w:ascii="Times New Roman" w:hAnsi="Times New Roman" w:cs="Times New Roman"/>
              </w:rPr>
              <w:t>Členské štáty zabezpečia, aby sa kvóty mohli prenášať medzi</w:t>
            </w:r>
          </w:p>
          <w:p>
            <w:pPr>
              <w:pStyle w:val="BodyText"/>
              <w:rPr>
                <w:rFonts w:ascii="Times New Roman" w:hAnsi="Times New Roman" w:cs="Times New Roman"/>
              </w:rPr>
            </w:pPr>
            <w:r>
              <w:rPr>
                <w:rFonts w:ascii="Times New Roman" w:hAnsi="Times New Roman" w:cs="Times New Roman"/>
              </w:rPr>
              <w:t>- osobami v Spoločenstve,</w:t>
            </w:r>
          </w:p>
          <w:p>
            <w:pPr>
              <w:rPr>
                <w:rFonts w:ascii="Times New Roman" w:hAnsi="Times New Roman" w:cs="Times New Roman"/>
              </w:rPr>
            </w:pPr>
            <w:r>
              <w:rPr>
                <w:rFonts w:ascii="Times New Roman" w:hAnsi="Times New Roman" w:cs="Times New Roman"/>
              </w:rPr>
              <w:t>- osobami v Spoločenstve a osobami v tretích krajinách, uznaných v súlade s postupom podľa článku 25 bez akýchkoľvek obmedzení, okrem tých, ktoré obsahuje táto smernica alebo ktoré sú prijaté podľa tejto smernice.</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§12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Prenos, odovzdanie, zrušenie kvót</w:t>
            </w:r>
          </w:p>
          <w:p>
            <w:pPr>
              <w:pStyle w:val="BodyText"/>
              <w:rPr>
                <w:rFonts w:ascii="Times New Roman" w:hAnsi="Times New Roman" w:cs="Times New Roman"/>
              </w:rPr>
            </w:pPr>
            <w:r>
              <w:rPr>
                <w:rFonts w:ascii="Times New Roman" w:hAnsi="Times New Roman" w:cs="Times New Roman"/>
              </w:rPr>
              <w:t>Vydané kvóty skleníkových plynov alebo ich časti pridelené na dané obchodovateľné obdobie sa môžu podľa určenia možno</w:t>
            </w:r>
            <w:r>
              <w:rPr>
                <w:rFonts w:ascii="Times New Roman" w:hAnsi="Times New Roman" w:cs="Times New Roman"/>
              </w:rPr>
              <w:t xml:space="preserve">sti ich prenosu </w:t>
            </w:r>
            <w:r>
              <w:rPr>
                <w:rFonts w:ascii="Times New Roman" w:hAnsi="Times New Roman" w:cs="Times New Roman"/>
                <w:i/>
              </w:rPr>
              <w:t xml:space="preserve"> </w:t>
            </w:r>
            <w:r>
              <w:rPr>
                <w:rFonts w:ascii="Times New Roman" w:hAnsi="Times New Roman" w:cs="Times New Roman"/>
              </w:rPr>
              <w:t>podľa § 9 ods. 5 prenášať bez akýchkoľvek ďalších obmedzení medzi</w:t>
            </w:r>
          </w:p>
          <w:p>
            <w:pPr>
              <w:pStyle w:val="BodyText"/>
              <w:numPr>
                <w:ilvl w:val="0"/>
                <w:numId w:val="74"/>
              </w:numPr>
              <w:tabs>
                <w:tab w:val="left" w:pos="360"/>
              </w:tabs>
              <w:rPr>
                <w:rFonts w:ascii="Times New Roman" w:hAnsi="Times New Roman" w:cs="Times New Roman"/>
              </w:rPr>
            </w:pPr>
            <w:r>
              <w:rPr>
                <w:rFonts w:ascii="Times New Roman" w:hAnsi="Times New Roman" w:cs="Times New Roman"/>
              </w:rPr>
              <w:t>účastníkmi schémy obchodovania zo Slovenskej republiky,</w:t>
            </w:r>
          </w:p>
          <w:p>
            <w:pPr>
              <w:pStyle w:val="BodyText"/>
              <w:numPr>
                <w:ilvl w:val="0"/>
                <w:numId w:val="74"/>
              </w:numPr>
              <w:tabs>
                <w:tab w:val="left" w:pos="360"/>
              </w:tabs>
              <w:rPr>
                <w:rFonts w:ascii="Times New Roman" w:hAnsi="Times New Roman" w:cs="Times New Roman"/>
              </w:rPr>
            </w:pPr>
            <w:r>
              <w:rPr>
                <w:rFonts w:ascii="Times New Roman" w:hAnsi="Times New Roman" w:cs="Times New Roman"/>
              </w:rPr>
              <w:t>účastníkmi schémy obchodovania podľa písmena a) a zahraničnými účastníkmi schémy obchodovania z členských štátov Euró</w:t>
            </w:r>
            <w:r>
              <w:rPr>
                <w:rFonts w:ascii="Times New Roman" w:hAnsi="Times New Roman" w:cs="Times New Roman"/>
              </w:rPr>
              <w:t>pskej únie,</w:t>
            </w:r>
          </w:p>
          <w:p>
            <w:pPr>
              <w:pStyle w:val="BodyText"/>
              <w:numPr>
                <w:ilvl w:val="0"/>
                <w:numId w:val="74"/>
              </w:numPr>
              <w:tabs>
                <w:tab w:val="left" w:pos="360"/>
              </w:tabs>
              <w:rPr>
                <w:rFonts w:ascii="Times New Roman" w:hAnsi="Times New Roman" w:cs="Times New Roman"/>
              </w:rPr>
            </w:pPr>
            <w:r>
              <w:rPr>
                <w:rFonts w:ascii="Times New Roman" w:hAnsi="Times New Roman" w:cs="Times New Roman"/>
              </w:rPr>
              <w:t>zahraničnými účastníkmi schémy obchodovania z členských štátov Európskej únie a osobami z členských štátov Európskej únie, ktoré nie sú účastníkmi schémy obchodovania,</w:t>
            </w:r>
          </w:p>
          <w:p>
            <w:pPr>
              <w:pStyle w:val="BodyText"/>
              <w:numPr>
                <w:ilvl w:val="0"/>
                <w:numId w:val="74"/>
              </w:numPr>
              <w:tabs>
                <w:tab w:val="left" w:pos="360"/>
              </w:tabs>
              <w:rPr>
                <w:rFonts w:ascii="Times New Roman" w:hAnsi="Times New Roman" w:cs="Times New Roman"/>
              </w:rPr>
            </w:pPr>
            <w:r>
              <w:rPr>
                <w:rFonts w:ascii="Times New Roman" w:hAnsi="Times New Roman" w:cs="Times New Roman"/>
              </w:rPr>
              <w:t>účastníkmi schémy obchodovania podľa písmena a) alebo b) a účastníkmi schémy</w:t>
            </w:r>
            <w:r>
              <w:rPr>
                <w:rFonts w:ascii="Times New Roman" w:hAnsi="Times New Roman" w:cs="Times New Roman"/>
              </w:rPr>
              <w:t xml:space="preserve"> zo štátov  z prílohy B Kjótskeho protokolu.</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Prenos, odovzdanie a zrušenie kvót</w:t>
            </w:r>
          </w:p>
          <w:p>
            <w:pPr>
              <w:rPr>
                <w:rFonts w:ascii="Times New Roman" w:hAnsi="Times New Roman" w:cs="Times New Roman"/>
              </w:rPr>
            </w:pPr>
            <w:r>
              <w:rPr>
                <w:rFonts w:ascii="Times New Roman" w:hAnsi="Times New Roman" w:cs="Times New Roman"/>
              </w:rPr>
              <w:t>Členské štáty zabezpečia, aby kvóty vydané zodpovedným orgánom iného členského štátu boli uznané za účelom splnenia povinností prevádzkovateľa podľa odseku 3.</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§12 (4)</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Prenos, odovzdanie, zrušenie kvót</w:t>
            </w:r>
          </w:p>
          <w:p>
            <w:pPr>
              <w:rPr>
                <w:rFonts w:ascii="Times New Roman" w:hAnsi="Times New Roman" w:cs="Times New Roman"/>
                <w:bCs/>
              </w:rPr>
            </w:pPr>
            <w:r>
              <w:rPr>
                <w:rFonts w:ascii="Times New Roman" w:hAnsi="Times New Roman" w:cs="Times New Roman"/>
              </w:rPr>
              <w:t>Kvóty skleníkových plynov vydané príslušným orgánom iného členského štátu Európskej únie alebo štátu z prílohy B Kjótskeho protokolu sú rovnocenné kvótam skleníkových plynov vydaným ministerstvom a môžu byť ich vlastníkom použité na účel plnenia povinnosti prevádzkovateľa podľa odseku 5.</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Prenos, odovzdanie a zrušenie kvót</w:t>
            </w:r>
          </w:p>
          <w:p>
            <w:pPr>
              <w:rPr>
                <w:rFonts w:ascii="Times New Roman" w:hAnsi="Times New Roman" w:cs="Times New Roman"/>
              </w:rPr>
            </w:pPr>
            <w:r>
              <w:rPr>
                <w:rFonts w:ascii="Times New Roman" w:hAnsi="Times New Roman" w:cs="Times New Roman"/>
              </w:rPr>
              <w:t>Členské štáty zabezpečia, že najneskôr do 30. apríla každého roku odovzdá prevádzkovateľ každého zariadenia množstvo kvót rovnajúce sa celkovým emisiám z tohto zariadenia počas predchádzajúceho kalendárneho roku, ako to bude overené v súlade s článkom 15 a že tieto kvóty budú následne zrušené.</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§13 (1b)</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Povinnosti prevádzkovateľov</w:t>
            </w:r>
          </w:p>
          <w:p>
            <w:pPr>
              <w:rPr>
                <w:rFonts w:ascii="Times New Roman" w:hAnsi="Times New Roman" w:cs="Times New Roman"/>
                <w:bCs/>
              </w:rPr>
            </w:pPr>
            <w:r>
              <w:rPr>
                <w:rFonts w:ascii="Times New Roman" w:hAnsi="Times New Roman" w:cs="Times New Roman"/>
              </w:rPr>
              <w:t>Prevádzkovateľ,  ktorý je  povinným účastníkom schémy obchodovania je povinný predložiť správcovi registra každoročne, najneskôr do 30. apríla, správu podľa písmena a) aj s potvrdením obvodného úradu životného prostredia o jej správnosti a súčasne mu odovzdať alikvotnú časť kvóty skleníkových plynov v množstve rovnajúcom sa celkovým emisiám z prevádzky počas predchádzajúceho kalendárneho roka podľa overenej správy, pričom povinní účastníci schémy obchodovania prevádzkujúci prevádzky podľa § 24 ods.1 písm. a) nemôžu na tento účel použiť priznané jednotky.</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Prenos, odovzdanie a zrušenie kvót</w:t>
            </w:r>
          </w:p>
          <w:p>
            <w:pPr>
              <w:rPr>
                <w:rFonts w:ascii="Times New Roman" w:hAnsi="Times New Roman" w:cs="Times New Roman"/>
              </w:rPr>
            </w:pPr>
            <w:r>
              <w:rPr>
                <w:rFonts w:ascii="Times New Roman" w:hAnsi="Times New Roman" w:cs="Times New Roman"/>
              </w:rPr>
              <w:t xml:space="preserve">Členské štáty vykonajú potrebné kroky, aby zabezpečili, že sa kvóty zrušia, kedykoľvek o to požiada ich držiteľ.  </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§12 (6)</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Prenos, odovzdanie, zrušenie kvót</w:t>
            </w:r>
          </w:p>
          <w:p>
            <w:pPr>
              <w:pStyle w:val="BodyText"/>
              <w:rPr>
                <w:rFonts w:ascii="Times New Roman" w:hAnsi="Times New Roman" w:cs="Times New Roman"/>
              </w:rPr>
            </w:pPr>
            <w:r>
              <w:rPr>
                <w:rFonts w:ascii="Times New Roman" w:hAnsi="Times New Roman" w:cs="Times New Roman"/>
              </w:rPr>
              <w:t>Správca registra zruší kvóty znečisťujúcich látok alebo ich časti na základe oznámenia obvodného úradu životného prostredia vydávajúceho rozhodnutie podľa osobitného predpisu</w:t>
            </w:r>
            <w:bookmarkStart w:id="0" w:name="_Ref58749839"/>
            <w:r>
              <w:rPr>
                <w:rStyle w:val="FootnoteReference"/>
                <w:rFonts w:ascii="Times New Roman" w:hAnsi="Times New Roman" w:cs="Times New Roman"/>
                <w:rtl w:val="0"/>
              </w:rPr>
              <w:footnoteReference w:id="1"/>
            </w:r>
            <w:bookmarkEnd w:id="0"/>
            <w:r>
              <w:rPr>
                <w:rFonts w:ascii="Times New Roman" w:hAnsi="Times New Roman" w:cs="Times New Roman"/>
                <w:vertAlign w:val="superscript"/>
              </w:rPr>
              <w:t>)</w:t>
            </w:r>
            <w:r>
              <w:rPr>
                <w:rFonts w:ascii="Times New Roman" w:hAnsi="Times New Roman" w:cs="Times New Roman"/>
              </w:rPr>
              <w:t>; vždy zruší všetky kvóty alebo ich časti, ak o to požiada vlastníkom určený zástupca.</w:t>
            </w:r>
          </w:p>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w:t>
            </w:r>
            <w:r>
              <w:rPr>
                <w:rFonts w:ascii="Times New Roman" w:hAnsi="Times New Roman" w:cs="Times New Roman"/>
              </w:rPr>
              <w:t>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Platnosť kvót</w:t>
            </w:r>
          </w:p>
          <w:p>
            <w:pPr>
              <w:rPr>
                <w:rFonts w:ascii="Times New Roman" w:hAnsi="Times New Roman" w:cs="Times New Roman"/>
              </w:rPr>
            </w:pPr>
            <w:r>
              <w:rPr>
                <w:rFonts w:ascii="Times New Roman" w:hAnsi="Times New Roman" w:cs="Times New Roman"/>
              </w:rPr>
              <w:t>Kvóty budú platiť pre emisie počas obdobia uvedeného v článku 11 (1) alebo (2), na ktoré boli vydané.</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§14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Platnosť kvót</w:t>
            </w:r>
          </w:p>
          <w:p>
            <w:pPr>
              <w:rPr>
                <w:rFonts w:ascii="Times New Roman" w:hAnsi="Times New Roman" w:cs="Times New Roman"/>
                <w:b/>
              </w:rPr>
            </w:pPr>
            <w:r>
              <w:rPr>
                <w:rFonts w:ascii="Times New Roman" w:hAnsi="Times New Roman" w:cs="Times New Roman"/>
              </w:rPr>
              <w:t>Kvóty platia len počas obchodovateľného obdobia, pre ktoré boli vydané (§ 9 ods.1 a 2  a § 1</w:t>
            </w:r>
            <w:r>
              <w:rPr>
                <w:rFonts w:ascii="Times New Roman" w:hAnsi="Times New Roman" w:cs="Times New Roman"/>
              </w:rPr>
              <w:t>0 ods.1).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Platnosť kvót</w:t>
            </w:r>
          </w:p>
          <w:p>
            <w:pPr>
              <w:pStyle w:val="BodyText"/>
              <w:rPr>
                <w:rFonts w:ascii="Times New Roman" w:hAnsi="Times New Roman" w:cs="Times New Roman"/>
              </w:rPr>
            </w:pPr>
            <w:r>
              <w:rPr>
                <w:rFonts w:ascii="Times New Roman" w:hAnsi="Times New Roman" w:cs="Times New Roman"/>
              </w:rPr>
              <w:t>Štyri mesiace po začiatku prvého päťročného obdobia uvedeného v článku 11 (2), budú kvóty, ktoré už nie sú platné a ktoré neboli odovzdané a zrušené v súlade s článkom 12 (3), zrušené zodpovedným orgánom.</w:t>
            </w:r>
          </w:p>
          <w:p>
            <w:pPr>
              <w:pStyle w:val="BodyText"/>
              <w:rPr>
                <w:rFonts w:ascii="Times New Roman" w:hAnsi="Times New Roman" w:cs="Times New Roman"/>
              </w:rPr>
            </w:pPr>
          </w:p>
          <w:p>
            <w:pPr>
              <w:rPr>
                <w:rFonts w:ascii="Times New Roman" w:hAnsi="Times New Roman" w:cs="Times New Roman"/>
              </w:rPr>
            </w:pPr>
            <w:r>
              <w:rPr>
                <w:rFonts w:ascii="Times New Roman" w:hAnsi="Times New Roman" w:cs="Times New Roman"/>
              </w:rPr>
              <w:t>Členské štáty môžu vydať kvóty osobám pre súčasné obdobie, aby nahradili akékoľvek ich kvóty, ktorých boli držiteľmi a ktoré sú zrušené v súlade s prvým pododsekom.</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§14 (2)</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Platnosť kvót</w:t>
            </w:r>
          </w:p>
          <w:p>
            <w:pPr>
              <w:pStyle w:val="BodyText"/>
              <w:rPr>
                <w:rFonts w:ascii="Times New Roman" w:hAnsi="Times New Roman" w:cs="Times New Roman"/>
              </w:rPr>
            </w:pPr>
            <w:r>
              <w:rPr>
                <w:rFonts w:ascii="Times New Roman" w:hAnsi="Times New Roman" w:cs="Times New Roman"/>
              </w:rPr>
              <w:t>Ak nebudú kvóty vydané pre príslušné  obchodovateľné obdobie zrušené podľa § 12 ods. 5 a 6 všetky zostávajúce kvóty alebo ich časti zruší správca registra automaticky štyri mesiace po skončení každého obchodovateľného obdobia pre skleníkové plyny alebo tri mesiace po doručení oznámenia podľa § 12 ods.6.</w:t>
            </w:r>
          </w:p>
          <w:p>
            <w:pP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Usmernenie k monitorovaniu a podávaniu správ o emisiách</w:t>
            </w:r>
          </w:p>
          <w:p>
            <w:pPr>
              <w:pStyle w:val="BodyText"/>
              <w:rPr>
                <w:rFonts w:ascii="Times New Roman" w:hAnsi="Times New Roman" w:cs="Times New Roman"/>
              </w:rPr>
            </w:pPr>
            <w:r>
              <w:rPr>
                <w:rFonts w:ascii="Times New Roman" w:hAnsi="Times New Roman" w:cs="Times New Roman"/>
              </w:rPr>
              <w:t>Do 30. septembra 2003 prijme Komisia usmernenie k monitorovaniu a podávaniu správ o emisiách, ktoré sú následkom činností uvedených v prílohe I, skleníkových plynov uvedených vo vzťahu k týmto činnostiam, v súlade s postupom uvedeným v článku 23 (2) . Usmernenie sa bude zakladať na zásadách monitorovania a podávania správ uvedených v prílohe IV.</w:t>
            </w:r>
          </w:p>
          <w:p>
            <w:pPr>
              <w:rPr>
                <w:rFonts w:ascii="Times New Roman" w:hAnsi="Times New Roman" w:cs="Times New Roman"/>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Usmernenie k monitorovaniu a podávaniu správ o emisiách</w:t>
            </w:r>
          </w:p>
          <w:p>
            <w:pPr>
              <w:rPr>
                <w:rFonts w:ascii="Times New Roman" w:hAnsi="Times New Roman" w:cs="Times New Roman"/>
              </w:rPr>
            </w:pPr>
            <w:r>
              <w:rPr>
                <w:rFonts w:ascii="Times New Roman" w:hAnsi="Times New Roman" w:cs="Times New Roman"/>
              </w:rPr>
              <w:t>Členské štáty zabezpečia, že emisie sa budú monitorovať v súlade s usmernením.</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§22</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Podávanie správ</w:t>
            </w:r>
          </w:p>
          <w:p>
            <w:pPr>
              <w:rPr>
                <w:rFonts w:ascii="Times New Roman" w:hAnsi="Times New Roman" w:cs="Times New Roman"/>
                <w:b/>
              </w:rPr>
            </w:pPr>
            <w:r>
              <w:rPr>
                <w:rFonts w:ascii="Times New Roman" w:hAnsi="Times New Roman" w:cs="Times New Roman"/>
              </w:rPr>
              <w:t>Ministerstvo každoročne vypracúva a zasiela komisii správu o uplatňovaní zákona pri obchodovaní s kvótami skleníkových plynov. Správa musí obsahovať najmä informácie o spôsobe prideľovania kvót, o prevádzke registra, o uplatňovaní požiadaviek na monitorovanie emisií a podávanie správ o emisiách, o overovaní správ o emisiách a o prenosoch kvót, ak k nejakému dochádza. Prvá správa sa zasiela komisii do 30. júna  2005.</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Usmernenie k monitorovaniu a podávaniu správ o emisiách</w:t>
            </w:r>
          </w:p>
          <w:p>
            <w:pPr>
              <w:rPr>
                <w:rFonts w:ascii="Times New Roman" w:hAnsi="Times New Roman" w:cs="Times New Roman"/>
              </w:rPr>
            </w:pPr>
            <w:r>
              <w:rPr>
                <w:rFonts w:ascii="Times New Roman" w:hAnsi="Times New Roman" w:cs="Times New Roman"/>
              </w:rPr>
              <w:t>Členské štáty zabezpečia, aby každý prevádzkovateľ zariadenia podával zodpovednému orgánu správy o emisiách z daného zariadenia v každom kalendárneho roku po skončení daného roku v súlade s usmernen</w:t>
            </w:r>
            <w:r>
              <w:rPr>
                <w:rFonts w:ascii="Times New Roman" w:hAnsi="Times New Roman" w:cs="Times New Roman"/>
              </w:rPr>
              <w:t>ím.</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§13 (1a)</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Povinnosti prevádzkovateľov</w:t>
            </w:r>
          </w:p>
          <w:p>
            <w:pPr>
              <w:pStyle w:val="FootnoteText"/>
              <w:rPr>
                <w:rFonts w:ascii="Times New Roman" w:hAnsi="Times New Roman" w:cs="Times New Roman"/>
              </w:rPr>
            </w:pPr>
            <w:r>
              <w:rPr>
                <w:rFonts w:ascii="Times New Roman" w:hAnsi="Times New Roman" w:cs="Times New Roman"/>
              </w:rPr>
              <w:t>Prevádzkovateľ,  ktorý je  povinným účastníkom schémy obchodovania je povinný predložiť obvodnému úradu životného prostredia každoročne do 15. marca správu o emisiách skleníkových plynov z prevádzky počas predchádzajúceho kalendárneho roka overenú oprávneným overovateľom podľa kritérií uvedených v prílohe č.5.</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15</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Overovanie</w:t>
            </w:r>
          </w:p>
          <w:p>
            <w:pPr>
              <w:pStyle w:val="BodyText"/>
              <w:rPr>
                <w:rFonts w:ascii="Times New Roman" w:hAnsi="Times New Roman" w:cs="Times New Roman"/>
              </w:rPr>
            </w:pPr>
            <w:r>
              <w:rPr>
                <w:rFonts w:ascii="Times New Roman" w:hAnsi="Times New Roman" w:cs="Times New Roman"/>
              </w:rPr>
              <w:t>Členské štáty zabezpečia, aby boli správy zaslané prevádzkovateľmi podľa článku 14 (3) overené v súlade s kritériami u</w:t>
            </w:r>
            <w:r>
              <w:rPr>
                <w:rFonts w:ascii="Times New Roman" w:hAnsi="Times New Roman" w:cs="Times New Roman"/>
              </w:rPr>
              <w:t>vedenými v prílohe V a aby zodpovedný orgán o tom bol informovaný.</w:t>
            </w:r>
          </w:p>
          <w:p>
            <w:pPr>
              <w:pStyle w:val="BodyText"/>
              <w:rPr>
                <w:rFonts w:ascii="Times New Roman" w:hAnsi="Times New Roman" w:cs="Times New Roman"/>
              </w:rPr>
            </w:pPr>
          </w:p>
          <w:p>
            <w:pPr>
              <w:rPr>
                <w:rFonts w:ascii="Times New Roman" w:hAnsi="Times New Roman" w:cs="Times New Roman"/>
              </w:rPr>
            </w:pPr>
            <w:r>
              <w:rPr>
                <w:rFonts w:ascii="Times New Roman" w:hAnsi="Times New Roman" w:cs="Times New Roman"/>
              </w:rPr>
              <w:t>Členské štáty zabezpečia, aby prevádzkovateľ, ktorého správa o emisiách z predchádzajúceho roku nebola overená ako uspokojivá v súlade s kritériami uvedenými v prílohe V do 31. marca nasledujúceho roku, nemohol uskutočňovať ďalšie prenosy kvót, pokým nie je správa tohto prevádzkovateľa overená ako uspokojivá.</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 xml:space="preserve">§18 </w:t>
            </w:r>
          </w:p>
          <w:p>
            <w:pPr>
              <w:jc w:val="center"/>
              <w:rPr>
                <w:rFonts w:ascii="Times New Roman" w:hAnsi="Times New Roman" w:cs="Times New Roman"/>
              </w:rPr>
            </w:pPr>
            <w:r>
              <w:rPr>
                <w:rFonts w:ascii="Times New Roman" w:hAnsi="Times New Roman" w:cs="Times New Roman"/>
              </w:rPr>
              <w:t>odsek 2 písm.e)</w:t>
            </w:r>
          </w:p>
          <w:p>
            <w:pPr>
              <w:jc w:val="center"/>
              <w:rPr>
                <w:rFonts w:ascii="Times New Roman" w:hAnsi="Times New Roman" w:cs="Times New Roman"/>
              </w:rPr>
            </w:pPr>
          </w:p>
          <w:p>
            <w:pPr>
              <w:pStyle w:val="FootnoteText"/>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§13</w:t>
            </w:r>
          </w:p>
          <w:p>
            <w:pPr>
              <w:jc w:val="center"/>
              <w:rPr>
                <w:rFonts w:ascii="Times New Roman" w:hAnsi="Times New Roman" w:cs="Times New Roman"/>
              </w:rPr>
            </w:pPr>
            <w:r>
              <w:rPr>
                <w:rFonts w:ascii="Times New Roman" w:hAnsi="Times New Roman" w:cs="Times New Roman"/>
              </w:rPr>
              <w:t>odsek1 c)</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sz w:val="20"/>
              </w:rPr>
            </w:pPr>
            <w:r>
              <w:rPr>
                <w:rFonts w:ascii="Times New Roman" w:hAnsi="Times New Roman" w:cs="Times New Roman"/>
                <w:bCs w:val="0"/>
                <w:sz w:val="20"/>
              </w:rPr>
              <w:t>Krajský úrad životného prostredia a obvodný úrad životného prostredia</w:t>
            </w:r>
          </w:p>
          <w:p>
            <w:pPr>
              <w:pStyle w:val="FootnoteText"/>
              <w:rPr>
                <w:rFonts w:ascii="Times New Roman" w:hAnsi="Times New Roman" w:cs="Times New Roman"/>
                <w:sz w:val="20"/>
              </w:rPr>
            </w:pPr>
            <w:r>
              <w:rPr>
                <w:rFonts w:ascii="Times New Roman" w:hAnsi="Times New Roman" w:cs="Times New Roman"/>
                <w:sz w:val="20"/>
              </w:rPr>
              <w:t xml:space="preserve">Obvodný úrad životného prostredia vydáva prevádzkovateľom, ktorí sú povinnými alebo dobrovoľnými účastníkmi schémy obchodovania potvrdenia o správnosti správy predloženej podľa § 13 ods.1 písmena a); </w:t>
            </w:r>
          </w:p>
          <w:p>
            <w:pPr>
              <w:pStyle w:val="FootnoteText"/>
              <w:rPr>
                <w:rFonts w:ascii="Times New Roman" w:hAnsi="Times New Roman" w:cs="Times New Roman"/>
                <w:sz w:val="20"/>
              </w:rPr>
            </w:pPr>
          </w:p>
          <w:p>
            <w:pPr>
              <w:pStyle w:val="FootnoteText"/>
              <w:rPr>
                <w:rFonts w:ascii="Times New Roman" w:hAnsi="Times New Roman" w:cs="Times New Roman"/>
                <w:b/>
                <w:bCs/>
                <w:sz w:val="20"/>
              </w:rPr>
            </w:pPr>
            <w:r>
              <w:rPr>
                <w:rFonts w:ascii="Times New Roman" w:hAnsi="Times New Roman" w:cs="Times New Roman"/>
                <w:b/>
                <w:bCs/>
                <w:sz w:val="20"/>
              </w:rPr>
              <w:t>Povinnosti prevádzkovateľov</w:t>
            </w:r>
          </w:p>
          <w:p>
            <w:pPr>
              <w:pStyle w:val="FootnoteText"/>
              <w:rPr>
                <w:rFonts w:ascii="Times New Roman" w:hAnsi="Times New Roman" w:cs="Times New Roman"/>
                <w:bCs/>
                <w:sz w:val="20"/>
              </w:rPr>
            </w:pPr>
            <w:r>
              <w:rPr>
                <w:rFonts w:ascii="Times New Roman" w:hAnsi="Times New Roman" w:cs="Times New Roman"/>
                <w:sz w:val="20"/>
              </w:rPr>
              <w:t>Prevádzkovateľ,  ktorý je  povinným účastníkom schémy obchodovania je povinný neuskutočňovať prenosy kvót skleníkových plynov po 31. marci kalendárneho roka, ak nie je jeho správa podľa písmena a) do uvedeného termínu overená ako správna. To platí až do overenia správnosti správy.</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Úrad</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Pokuty</w:t>
            </w:r>
          </w:p>
          <w:p>
            <w:pPr>
              <w:rPr>
                <w:rFonts w:ascii="Times New Roman" w:hAnsi="Times New Roman" w:cs="Times New Roman"/>
              </w:rPr>
            </w:pPr>
            <w:r>
              <w:rPr>
                <w:rFonts w:ascii="Times New Roman" w:hAnsi="Times New Roman" w:cs="Times New Roman"/>
              </w:rPr>
              <w:t>Členské štáty ustanovia pravidlá pre pokuty za porušenie národných predpisov prijatých podľa tejto smernice a prijmú všetky potrebné opatrenia na zabezpečenie ich implementácie. Prijaté pokuty musia byť účinné, proporčné a odrádzajúce. Členské štáty oznámia tieto pokuty Komisii najneskôr do 31. decembra 2003 a bez meškania oznámia akékoľvek ich dodatočné zmeny, ktoré ich ovplyvňujú.</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6"/>
              </w:rPr>
            </w:pPr>
            <w:r>
              <w:rPr>
                <w:rFonts w:ascii="Times New Roman" w:hAnsi="Times New Roman" w:cs="Times New Roman"/>
                <w:sz w:val="16"/>
              </w:rPr>
              <w:t>§19 (1) a (2)</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sz w:val="16"/>
              </w:rPr>
            </w:pPr>
            <w:r>
              <w:rPr>
                <w:rFonts w:ascii="Times New Roman" w:hAnsi="Times New Roman" w:cs="Times New Roman"/>
                <w:bCs w:val="0"/>
                <w:sz w:val="16"/>
              </w:rPr>
              <w:t xml:space="preserve">Iné správne delikty </w:t>
            </w:r>
          </w:p>
          <w:p>
            <w:pPr>
              <w:pStyle w:val="BodyText"/>
              <w:rPr>
                <w:rFonts w:ascii="Times New Roman" w:hAnsi="Times New Roman" w:cs="Times New Roman"/>
                <w:sz w:val="16"/>
              </w:rPr>
            </w:pPr>
            <w:r>
              <w:rPr>
                <w:rFonts w:ascii="Times New Roman" w:hAnsi="Times New Roman" w:cs="Times New Roman"/>
                <w:sz w:val="16"/>
              </w:rPr>
              <w:t>Obvodný úrad uloží prevádzkovateľovi, ktorý je povinným účastníkom schémy obchodovania alebo dobrovoľným účastníkom schémy obchodovania a ktorý do 30. apríla každého roku neodovzdá alikvotnú časť kvóty potrebnú na pokrytie emisií za predchádzajúci rok, pokutu vo výške 4 000 Sk za každú nepokrytú tonu ekvivalentu oxidu uhličitého emitovaného z prevádzky. Zaplatenie pokuty za prekročenie emisií nezbavuje prevádzkovateľa povinnosti odovzdať alikvotnú časť kvóty rovnajúcu sa danému prekročeniu emisií pri odovzdávaní kvót za nasledovný kalendárny rok. Počas obchodovateľného obdobia uvedeného v § 9 ods.1 je výška pokuty za tonu ekvivalentu oxidu uhličitého 1 600 Sk.</w:t>
            </w:r>
          </w:p>
          <w:p>
            <w:pPr>
              <w:pStyle w:val="BodyText"/>
              <w:rPr>
                <w:rFonts w:ascii="Times New Roman" w:hAnsi="Times New Roman" w:cs="Times New Roman"/>
                <w:sz w:val="16"/>
              </w:rPr>
            </w:pPr>
          </w:p>
          <w:p>
            <w:pPr>
              <w:pStyle w:val="BodyText"/>
              <w:rPr>
                <w:rFonts w:ascii="Times New Roman" w:hAnsi="Times New Roman" w:cs="Times New Roman"/>
                <w:sz w:val="16"/>
              </w:rPr>
            </w:pPr>
            <w:r>
              <w:rPr>
                <w:rFonts w:ascii="Times New Roman" w:hAnsi="Times New Roman" w:cs="Times New Roman"/>
                <w:sz w:val="16"/>
              </w:rPr>
              <w:t>Obvodný úrad môže uložiť prevádzkovateľovi pokutu do 500 000 Sk, ak</w:t>
            </w:r>
          </w:p>
          <w:p>
            <w:pPr>
              <w:pStyle w:val="BodyText"/>
              <w:numPr>
                <w:ilvl w:val="0"/>
                <w:numId w:val="66"/>
              </w:numPr>
              <w:tabs>
                <w:tab w:val="left" w:pos="360"/>
              </w:tabs>
              <w:rPr>
                <w:rFonts w:ascii="Times New Roman" w:hAnsi="Times New Roman" w:cs="Times New Roman"/>
                <w:sz w:val="16"/>
              </w:rPr>
            </w:pPr>
            <w:r>
              <w:rPr>
                <w:rFonts w:ascii="Times New Roman" w:hAnsi="Times New Roman" w:cs="Times New Roman"/>
                <w:sz w:val="16"/>
              </w:rPr>
              <w:t>nepodá  v určenej lehote žiadosť o povolenie,</w:t>
            </w:r>
          </w:p>
          <w:p>
            <w:pPr>
              <w:pStyle w:val="BodyTextIndent"/>
              <w:numPr>
                <w:ilvl w:val="0"/>
                <w:numId w:val="66"/>
              </w:numPr>
              <w:tabs>
                <w:tab w:val="left" w:pos="360"/>
              </w:tabs>
              <w:rPr>
                <w:rFonts w:ascii="Times New Roman" w:hAnsi="Times New Roman" w:cs="Times New Roman"/>
                <w:color w:val="auto"/>
                <w:sz w:val="16"/>
              </w:rPr>
            </w:pPr>
            <w:r>
              <w:rPr>
                <w:rFonts w:ascii="Times New Roman" w:hAnsi="Times New Roman" w:cs="Times New Roman"/>
                <w:color w:val="auto"/>
                <w:sz w:val="16"/>
              </w:rPr>
              <w:t>nedodržiava požiadavky na monitorovanie emisií skl</w:t>
            </w:r>
            <w:r>
              <w:rPr>
                <w:rFonts w:ascii="Times New Roman" w:hAnsi="Times New Roman" w:cs="Times New Roman"/>
                <w:color w:val="auto"/>
                <w:sz w:val="16"/>
              </w:rPr>
              <w:t>eníkových plynov alebo na podávanie správ o ich emisiách ustanovené v povolení,</w:t>
            </w:r>
          </w:p>
          <w:p>
            <w:pPr>
              <w:pStyle w:val="BodyTextIndent"/>
              <w:numPr>
                <w:ilvl w:val="0"/>
                <w:numId w:val="66"/>
              </w:numPr>
              <w:tabs>
                <w:tab w:val="left" w:pos="360"/>
              </w:tabs>
              <w:rPr>
                <w:rFonts w:ascii="Times New Roman" w:hAnsi="Times New Roman" w:cs="Times New Roman"/>
                <w:color w:val="auto"/>
                <w:sz w:val="16"/>
              </w:rPr>
            </w:pPr>
            <w:r>
              <w:rPr>
                <w:rFonts w:ascii="Times New Roman" w:hAnsi="Times New Roman" w:cs="Times New Roman"/>
                <w:color w:val="auto"/>
                <w:sz w:val="16"/>
              </w:rPr>
              <w:t>neoznámi údaje ustanovené v §6 ods.1,</w:t>
            </w:r>
          </w:p>
          <w:p>
            <w:pPr>
              <w:pStyle w:val="BodyTextIndent"/>
              <w:numPr>
                <w:ilvl w:val="0"/>
                <w:numId w:val="66"/>
              </w:numPr>
              <w:tabs>
                <w:tab w:val="left" w:pos="360"/>
              </w:tabs>
              <w:rPr>
                <w:rFonts w:ascii="Times New Roman" w:hAnsi="Times New Roman" w:cs="Times New Roman"/>
                <w:color w:val="auto"/>
                <w:sz w:val="16"/>
              </w:rPr>
            </w:pPr>
            <w:r>
              <w:rPr>
                <w:rFonts w:ascii="Times New Roman" w:hAnsi="Times New Roman" w:cs="Times New Roman"/>
                <w:color w:val="auto"/>
                <w:sz w:val="16"/>
              </w:rPr>
              <w:t>nesplní v určenej lehote povinnosti ustanovené v § 13 ods.1.</w:t>
            </w:r>
          </w:p>
          <w:p>
            <w:pPr>
              <w:pStyle w:val="BodyTextIndent"/>
              <w:rPr>
                <w:rFonts w:ascii="Times New Roman" w:hAnsi="Times New Roman" w:cs="Times New Roman"/>
                <w:b/>
                <w:color w:val="auto"/>
                <w:sz w:val="16"/>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Pokuty</w:t>
            </w:r>
          </w:p>
          <w:p>
            <w:pPr>
              <w:rPr>
                <w:rFonts w:ascii="Times New Roman" w:hAnsi="Times New Roman" w:cs="Times New Roman"/>
              </w:rPr>
            </w:pPr>
            <w:r>
              <w:rPr>
                <w:rFonts w:ascii="Times New Roman" w:hAnsi="Times New Roman" w:cs="Times New Roman"/>
              </w:rPr>
              <w:t>Členské štáty zabezpečia zverejnenie mien prevádzkovateľov, ktorí porušujú požiadavky na odovzdanie dostatočného množstva kvót podľa článku 12 (3).</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§19 (5)</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 xml:space="preserve">Iné správne delikty </w:t>
            </w:r>
          </w:p>
          <w:p>
            <w:pPr>
              <w:rPr>
                <w:rFonts w:ascii="Times New Roman" w:hAnsi="Times New Roman" w:cs="Times New Roman"/>
                <w:bCs/>
              </w:rPr>
            </w:pPr>
            <w:r>
              <w:rPr>
                <w:rFonts w:ascii="Times New Roman" w:hAnsi="Times New Roman" w:cs="Times New Roman"/>
              </w:rPr>
              <w:t>Ministerstvo zverejňuje na svojej internetovej stránke prevádzkovateľov, ktorí porušia požiadavku na odovzdanie adekvátneho množstva kvóty podľa § 13 ods.1 písm. b) a § 13 ods. 3.</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Pokuty</w:t>
            </w:r>
          </w:p>
          <w:p>
            <w:pPr>
              <w:rPr>
                <w:rFonts w:ascii="Times New Roman" w:hAnsi="Times New Roman" w:cs="Times New Roman"/>
              </w:rPr>
            </w:pPr>
            <w:r>
              <w:rPr>
                <w:rFonts w:ascii="Times New Roman" w:hAnsi="Times New Roman" w:cs="Times New Roman"/>
              </w:rPr>
              <w:t>Členské štáty zabezpečia, aby každý prevádzkovateľ, ktorý neodovzdá dostatočné množstvo kvót do 30. apríla každého roku na pokrytie emisií za predchádzajúci rok, bol povinný uhradiť pokutu za prekročenie emisií. Pokuta za prekročenie emisií bude 100 € za každú tonu ekvivalentu oxidu uhličitého emitovaného zariadením, ktorého prevádzkovateľ neodovzdal kvóty. Úhrada pokuty za prekročenie emisií nezbaví prevádzkovateľa povinnosti odovzdať množstvo kvót rovnajúce sa danému prekročeniu emisií pri odovzdávaní emisií za nasledovný kalendárny rok.</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§19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 xml:space="preserve">Iné správne delikty </w:t>
            </w:r>
          </w:p>
          <w:p>
            <w:pPr>
              <w:rPr>
                <w:rFonts w:ascii="Times New Roman" w:hAnsi="Times New Roman" w:cs="Times New Roman"/>
                <w:bCs/>
              </w:rPr>
            </w:pPr>
            <w:r>
              <w:rPr>
                <w:rFonts w:ascii="Times New Roman" w:hAnsi="Times New Roman" w:cs="Times New Roman"/>
              </w:rPr>
              <w:t>Obvodný úrad uloží prevádzkovateľovi, ktorý je povinným účastníkom schémy obchodovania alebo dobrovoľným účastníkom schémy obchodovania a ktorý do 30. apríla každého roku neodovzdá alikvotnú časť kvóty potrebnú na pokrytie emisií za predchádzajúci rok, pokutu vo výške 4 000 Sk za každú nepokrytú tonu ekvivalentu oxidu uhličitého emitovaného z prevádzky. Zaplatenie pokuty za prekročenie emisií nezbavuje prevádzkovateľa povinnosti odovzdať alikvotnú časť kvóty rovnajúcu sa danému prekročeniu emisií pri odovzdávaní kvót za nasledovný kalendárny rok. Počas obchodovateľného obdobia uvedeného v § 9 ods.1 je výška pokuty za tonu ekvivalentu oxidu uhličitého 1 600 Sk.</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Pokuty</w:t>
            </w:r>
          </w:p>
          <w:p>
            <w:pPr>
              <w:rPr>
                <w:rFonts w:ascii="Times New Roman" w:hAnsi="Times New Roman" w:cs="Times New Roman"/>
              </w:rPr>
            </w:pPr>
            <w:r>
              <w:rPr>
                <w:rFonts w:ascii="Times New Roman" w:hAnsi="Times New Roman" w:cs="Times New Roman"/>
              </w:rPr>
              <w:t xml:space="preserve">Počas trojročného obdobia začínajúceho od 1. januára 2005 budú členské štáty uplatňovať nižšie pokuty za prekročenie emisií vo výške 40 € za každú tonu ekvivalentu oxidu uhličitého emitovaného zariadením, ktorého prevádzkovateľ neodovzdal kvóty. Úhrada pokuty za prekročenie emisií nezbaví prevádzkovateľa povinnosti odovzdať množstvo kvót rovnajúce sa danému prekročeniu emisií pri odovzdávaní emisií za nasledovný kalendárny </w:t>
            </w:r>
            <w:r>
              <w:rPr>
                <w:rFonts w:ascii="Times New Roman" w:hAnsi="Times New Roman" w:cs="Times New Roman"/>
              </w:rPr>
              <w:t>rok.</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 xml:space="preserve">Návrh </w:t>
            </w:r>
            <w:r>
              <w:rPr>
                <w:rFonts w:ascii="Times New Roman" w:hAnsi="Times New Roman" w:cs="Times New Roman"/>
                <w:sz w:val="18"/>
                <w:szCs w:val="18"/>
              </w:rPr>
              <w:t xml:space="preserve">) </w:t>
            </w:r>
            <w:r>
              <w:rPr>
                <w:rFonts w:ascii="Times New Roman" w:hAnsi="Times New Roman" w:cs="Times New Roman"/>
              </w:rPr>
              <w:t>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§19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
              <w:rPr>
                <w:rFonts w:ascii="Times New Roman" w:hAnsi="Times New Roman" w:cs="Times New Roman"/>
                <w:b/>
                <w:bCs/>
              </w:rPr>
            </w:pPr>
            <w:r>
              <w:rPr>
                <w:rFonts w:ascii="Times New Roman" w:hAnsi="Times New Roman" w:cs="Times New Roman"/>
                <w:b/>
                <w:bCs/>
              </w:rPr>
              <w:t xml:space="preserve">Iné správne delikty </w:t>
            </w:r>
          </w:p>
          <w:p>
            <w:pPr>
              <w:pStyle w:val="BodyText"/>
              <w:rPr>
                <w:rFonts w:ascii="Times New Roman" w:hAnsi="Times New Roman" w:cs="Times New Roman"/>
              </w:rPr>
            </w:pPr>
            <w:r>
              <w:rPr>
                <w:rFonts w:ascii="Times New Roman" w:hAnsi="Times New Roman" w:cs="Times New Roman"/>
              </w:rPr>
              <w:t>Zaplatenie pokuty za prekročenie emisií nezbavuje prevádzkovateľa povinnosti odovzdať alikvotnú časť kvóty rovnajúcu sa danému prekročeniu emisií pri odovzdávaní kvót za nasledovný kalendárny rok. Počas obchodovateľného obdobia uvedeného v § 9 ods.1 je výška pokuty za tonu ekvivalentu oxidu uhličitého 1 600 Sk.</w:t>
            </w:r>
          </w:p>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17</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Prístup k informáciám</w:t>
            </w:r>
          </w:p>
          <w:p>
            <w:pPr>
              <w:rPr>
                <w:rFonts w:ascii="Times New Roman" w:hAnsi="Times New Roman" w:cs="Times New Roman"/>
              </w:rPr>
            </w:pPr>
            <w:r>
              <w:rPr>
                <w:rFonts w:ascii="Times New Roman" w:hAnsi="Times New Roman" w:cs="Times New Roman"/>
              </w:rPr>
              <w:t>Rozhodnutia týkajúce sa pridelenia kvót a správy o emisiách vyžadované v povolení na emisie skleníkových plynov, vydané zodpovedným orgánom, musia byť sprístupnené verejnosti podľa obmedzenia ustanoveného v článku 3 (2) a (3) smernice 90/313/EHS alebo v jej náhrade, keď nadobudne platnosť.</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Prístup k informáciám</w:t>
            </w:r>
          </w:p>
          <w:p>
            <w:pPr>
              <w:rPr>
                <w:rFonts w:ascii="Times New Roman" w:hAnsi="Times New Roman" w:cs="Times New Roman"/>
                <w:b/>
              </w:rPr>
            </w:pPr>
            <w:r>
              <w:rPr>
                <w:rFonts w:ascii="Times New Roman" w:hAnsi="Times New Roman" w:cs="Times New Roman"/>
              </w:rPr>
              <w:t>Ministerstvo na svojej internetovej stránke sprístupňuje verejnosti aktuálne všeobecne záväzné právne predpisy a potvrdenia o pridelení kvót účastníkom schémy obchodovania a účastníkom systému obchodovania, správy podľa §13 ods.1 písm. b) a  informácie podľa § 17 ods.1 písm. f).</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Zodpovedný orgán</w:t>
            </w:r>
          </w:p>
          <w:p>
            <w:pPr>
              <w:rPr>
                <w:rFonts w:ascii="Times New Roman" w:hAnsi="Times New Roman" w:cs="Times New Roman"/>
              </w:rPr>
            </w:pPr>
            <w:r>
              <w:rPr>
                <w:rFonts w:ascii="Times New Roman" w:hAnsi="Times New Roman" w:cs="Times New Roman"/>
              </w:rPr>
              <w:t>Členské štáty uskutočnia potrebné administratívne úpravy, vrátane poverenia vhodného zodpovedného orgánu alebo orgánov na implementáciu pravidiel tejto smernice. Tam kde je určený viac ako jeden zodpovedný orgán musí byť ich činnosť podľa tejto smernice koordinovaná</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6"/>
              </w:rPr>
            </w:pPr>
            <w:r>
              <w:rPr>
                <w:rFonts w:ascii="Times New Roman" w:hAnsi="Times New Roman" w:cs="Times New Roman"/>
                <w:sz w:val="16"/>
              </w:rPr>
              <w:t>§16</w:t>
            </w:r>
          </w:p>
          <w:p>
            <w:pPr>
              <w:jc w:val="center"/>
              <w:rPr>
                <w:rFonts w:ascii="Times New Roman" w:hAnsi="Times New Roman" w:cs="Times New Roman"/>
                <w:sz w:val="16"/>
              </w:rPr>
            </w:pPr>
          </w:p>
          <w:p>
            <w:pPr>
              <w:jc w:val="center"/>
              <w:rPr>
                <w:rFonts w:ascii="Times New Roman" w:hAnsi="Times New Roman" w:cs="Times New Roman"/>
                <w:sz w:val="16"/>
              </w:rPr>
            </w:pPr>
          </w:p>
          <w:p>
            <w:pP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r>
              <w:rPr>
                <w:rFonts w:ascii="Times New Roman" w:hAnsi="Times New Roman" w:cs="Times New Roman"/>
                <w:sz w:val="16"/>
              </w:rPr>
              <w:t xml:space="preserve">§17 </w:t>
            </w: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p>
            <w:pPr>
              <w:rPr>
                <w:rFonts w:ascii="Times New Roman" w:hAnsi="Times New Roman" w:cs="Times New Roman"/>
                <w:sz w:val="16"/>
              </w:rPr>
            </w:pPr>
          </w:p>
          <w:p>
            <w:pPr>
              <w:jc w:val="center"/>
              <w:rPr>
                <w:rFonts w:ascii="Times New Roman" w:hAnsi="Times New Roman" w:cs="Times New Roman"/>
                <w:sz w:val="16"/>
              </w:rPr>
            </w:pPr>
          </w:p>
          <w:p>
            <w:pPr>
              <w:jc w:val="center"/>
              <w:rPr>
                <w:rFonts w:ascii="Times New Roman" w:hAnsi="Times New Roman" w:cs="Times New Roman"/>
                <w:sz w:val="16"/>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sz w:val="16"/>
              </w:rPr>
            </w:pPr>
            <w:r>
              <w:rPr>
                <w:rFonts w:ascii="Times New Roman" w:hAnsi="Times New Roman" w:cs="Times New Roman"/>
                <w:bCs w:val="0"/>
                <w:sz w:val="16"/>
              </w:rPr>
              <w:t>Orgány štátnej správy</w:t>
            </w:r>
          </w:p>
          <w:p>
            <w:pPr>
              <w:pStyle w:val="BodyTextIndent"/>
              <w:jc w:val="left"/>
              <w:rPr>
                <w:rFonts w:ascii="Times New Roman" w:hAnsi="Times New Roman" w:cs="Times New Roman"/>
                <w:color w:val="auto"/>
                <w:sz w:val="16"/>
              </w:rPr>
            </w:pPr>
            <w:r>
              <w:rPr>
                <w:rFonts w:ascii="Times New Roman" w:hAnsi="Times New Roman" w:cs="Times New Roman"/>
                <w:color w:val="auto"/>
                <w:sz w:val="16"/>
              </w:rPr>
              <w:t xml:space="preserve">Štátnu správu podľa tohto zákona vykonávajú ministerstvo, krajský úrad životného prostredia a obvodný úrad životného prostredia </w:t>
            </w:r>
          </w:p>
          <w:p>
            <w:pPr>
              <w:pStyle w:val="BodyText"/>
              <w:jc w:val="left"/>
              <w:rPr>
                <w:rFonts w:ascii="Times New Roman" w:hAnsi="Times New Roman" w:cs="Times New Roman"/>
                <w:sz w:val="16"/>
              </w:rPr>
            </w:pPr>
            <w:r>
              <w:rPr>
                <w:rFonts w:ascii="Times New Roman" w:hAnsi="Times New Roman" w:cs="Times New Roman"/>
                <w:b/>
                <w:bCs/>
                <w:sz w:val="16"/>
              </w:rPr>
              <w:t xml:space="preserve">Ministerstvo </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je úst</w:t>
            </w:r>
            <w:r>
              <w:rPr>
                <w:rFonts w:ascii="Times New Roman" w:hAnsi="Times New Roman" w:cs="Times New Roman"/>
                <w:sz w:val="16"/>
              </w:rPr>
              <w:t xml:space="preserve">redným orgánom štátnej správy vo veciach obchodovania s kvótami </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 xml:space="preserve">vykonáva hlavný štátny dozor vo veciach obchodovania s kvótami,  </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vypracováva a vydáva plán pre skleníkové plyny (§ 8) a oznamuje ho komisii a ostatným štátom  Európskej únie,</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prideľuje kvóty skleníkových plynov účastníkom schémy obchodovania  podľa § 9 ods. 1 a 2,</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môže obmedziť použitie kvót skleníkových plynov alebo ich častí alebo možnosť ich prenosu podľa § 9 ods.6,</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 xml:space="preserve">predáva kvóty z rezervy kvót skleníkových plynov, ktoré neboli pridelené novým účastníkom schémy obchodovania podľa § 9 ods.5, </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predáva nepridelené kvóty znečisťujúcich látok podľa §10 ods.6,</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spravuje nepridelené priznané jednotky a je oprávnené s nimi priamo alebo prostredníctvom povereného subjektu obchodovať,</w:t>
            </w:r>
          </w:p>
          <w:p>
            <w:pPr>
              <w:pStyle w:val="BodyText"/>
              <w:numPr>
                <w:ilvl w:val="0"/>
                <w:numId w:val="88"/>
              </w:numPr>
              <w:tabs>
                <w:tab w:val="left" w:pos="-709"/>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ako zodpovedný o</w:t>
            </w:r>
            <w:r>
              <w:rPr>
                <w:rFonts w:ascii="Times New Roman" w:hAnsi="Times New Roman" w:cs="Times New Roman"/>
                <w:sz w:val="16"/>
              </w:rPr>
              <w:t>rgán spravuje register prostredníctvom správcu registra,</w:t>
            </w:r>
          </w:p>
          <w:p>
            <w:pPr>
              <w:pStyle w:val="BodyText"/>
              <w:numPr>
                <w:ilvl w:val="0"/>
                <w:numId w:val="88"/>
              </w:numPr>
              <w:tabs>
                <w:tab w:val="right" w:pos="0"/>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je vo vzťahu ku  komisii notifikačným orgánom a podáva jej správy vo veciach obchodovania s kvótami skleníkových plynov,</w:t>
            </w:r>
          </w:p>
          <w:p>
            <w:pPr>
              <w:pStyle w:val="BodyText"/>
              <w:numPr>
                <w:ilvl w:val="0"/>
                <w:numId w:val="88"/>
              </w:numPr>
              <w:tabs>
                <w:tab w:val="right" w:pos="0"/>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ako zodpovedný orgán podľa písm. i) nariaďuje každoročne správcovi registra po 31. marci zablokovať prenosy kvót skleníkových plynov prevádzkovateľa, ktorý je povinným alebo dobrovoľným účastníkom schémy obchodovania, ak nie je jeho správa podľa § 13 ods.1 písm. a) do uvedeného termínu overená ako správna. To platí až do overenia sp</w:t>
            </w:r>
            <w:r>
              <w:rPr>
                <w:rFonts w:ascii="Times New Roman" w:hAnsi="Times New Roman" w:cs="Times New Roman"/>
                <w:sz w:val="16"/>
              </w:rPr>
              <w:t>rávnosti správy,</w:t>
            </w:r>
          </w:p>
          <w:p>
            <w:pPr>
              <w:pStyle w:val="BodyText"/>
              <w:numPr>
                <w:ilvl w:val="0"/>
                <w:numId w:val="88"/>
              </w:numPr>
              <w:tabs>
                <w:tab w:val="right" w:pos="0"/>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uzatvára dohody s tretími krajinami, uvedenými v prílohe B Kjótskeho protokolu, ktoré ratifikovali protokol o vzájomnom uznávaní priznaných jednotiek,</w:t>
            </w:r>
          </w:p>
          <w:p>
            <w:pPr>
              <w:pStyle w:val="BodyText"/>
              <w:numPr>
                <w:ilvl w:val="0"/>
                <w:numId w:val="88"/>
              </w:numPr>
              <w:tabs>
                <w:tab w:val="right" w:pos="0"/>
                <w:tab w:val="left" w:pos="360"/>
                <w:tab w:val="left" w:pos="700"/>
              </w:tabs>
              <w:ind w:left="0" w:firstLine="0"/>
              <w:jc w:val="left"/>
              <w:rPr>
                <w:rFonts w:ascii="Times New Roman" w:hAnsi="Times New Roman" w:cs="Times New Roman"/>
                <w:sz w:val="16"/>
              </w:rPr>
            </w:pPr>
            <w:r>
              <w:rPr>
                <w:rFonts w:ascii="Times New Roman" w:hAnsi="Times New Roman" w:cs="Times New Roman"/>
                <w:sz w:val="16"/>
              </w:rPr>
              <w:t>vydáva oprávnenia podľa §15 ods. 1.</w:t>
            </w:r>
          </w:p>
          <w:p>
            <w:pPr>
              <w:pStyle w:val="BodyText"/>
              <w:jc w:val="left"/>
              <w:rPr>
                <w:rFonts w:ascii="Times New Roman" w:hAnsi="Times New Roman" w:cs="Times New Roman"/>
                <w:sz w:val="16"/>
              </w:rPr>
            </w:pPr>
            <w:r>
              <w:rPr>
                <w:rFonts w:ascii="Times New Roman" w:hAnsi="Times New Roman" w:cs="Times New Roman"/>
                <w:sz w:val="16"/>
              </w:rPr>
              <w:t xml:space="preserve">Ministerstvo vydá všeobecne záväzný právny predpis, </w:t>
            </w:r>
            <w:r>
              <w:rPr>
                <w:rFonts w:ascii="Times New Roman" w:hAnsi="Times New Roman" w:cs="Times New Roman"/>
                <w:sz w:val="16"/>
              </w:rPr>
              <w:t>ktorým ustanoví</w:t>
            </w:r>
          </w:p>
          <w:p>
            <w:pPr>
              <w:pStyle w:val="BodyText"/>
              <w:numPr>
                <w:ilvl w:val="0"/>
                <w:numId w:val="86"/>
              </w:numPr>
              <w:tabs>
                <w:tab w:val="left" w:pos="360"/>
              </w:tabs>
              <w:ind w:left="0" w:firstLine="0"/>
              <w:jc w:val="left"/>
              <w:rPr>
                <w:rFonts w:ascii="Times New Roman" w:hAnsi="Times New Roman" w:cs="Times New Roman"/>
                <w:sz w:val="16"/>
              </w:rPr>
            </w:pPr>
            <w:r>
              <w:rPr>
                <w:rFonts w:ascii="Times New Roman" w:hAnsi="Times New Roman" w:cs="Times New Roman"/>
                <w:sz w:val="16"/>
              </w:rPr>
              <w:t>národné emisné stropy</w:t>
            </w:r>
            <w:r>
              <w:rPr>
                <w:rStyle w:val="FootnoteReference"/>
                <w:rFonts w:ascii="Times New Roman" w:hAnsi="Times New Roman" w:cs="Times New Roman"/>
                <w:sz w:val="16"/>
                <w:rtl w:val="0"/>
              </w:rPr>
              <w:footnoteReference w:id="2"/>
            </w:r>
            <w:r>
              <w:rPr>
                <w:rFonts w:ascii="Times New Roman" w:hAnsi="Times New Roman" w:cs="Times New Roman"/>
                <w:sz w:val="16"/>
                <w:vertAlign w:val="superscript"/>
              </w:rPr>
              <w:t>)</w:t>
            </w:r>
            <w:r>
              <w:rPr>
                <w:rFonts w:ascii="Times New Roman" w:hAnsi="Times New Roman" w:cs="Times New Roman"/>
                <w:sz w:val="16"/>
              </w:rPr>
              <w:t xml:space="preserve"> a celkové množstvo kvót znečisťujúcich látok, ktoré vydá pre dané obchodovateľné obdobie v členení podľa okresov,</w:t>
            </w:r>
          </w:p>
          <w:p>
            <w:pPr>
              <w:pStyle w:val="BodyText"/>
              <w:numPr>
                <w:ilvl w:val="0"/>
                <w:numId w:val="86"/>
              </w:numPr>
              <w:tabs>
                <w:tab w:val="left" w:pos="360"/>
              </w:tabs>
              <w:ind w:left="0" w:firstLine="0"/>
              <w:jc w:val="left"/>
              <w:rPr>
                <w:rFonts w:ascii="Times New Roman" w:hAnsi="Times New Roman" w:cs="Times New Roman"/>
                <w:sz w:val="16"/>
                <w:szCs w:val="19"/>
              </w:rPr>
            </w:pPr>
            <w:r>
              <w:rPr>
                <w:rFonts w:ascii="Times New Roman" w:hAnsi="Times New Roman" w:cs="Times New Roman"/>
                <w:sz w:val="16"/>
              </w:rPr>
              <w:t xml:space="preserve">podrobnosti o náležitostiach žiadosti o vydanie oprávnenia, </w:t>
            </w:r>
            <w:r>
              <w:rPr>
                <w:rFonts w:ascii="Times New Roman" w:hAnsi="Times New Roman" w:cs="Times New Roman"/>
                <w:sz w:val="16"/>
                <w:szCs w:val="19"/>
              </w:rPr>
              <w:t>o preukazovaní a overovaní splnenia predpokladov na vydanie oprávnenia, o overovaní odbornej spôsobilosti, o vydaní oprávnenia, o čase jeho platnosti, o predlžovaní jeho platnosti, o zániku oprávnenia a o registri oprávnených osôb.</w:t>
            </w:r>
          </w:p>
          <w:p>
            <w:pPr>
              <w:pStyle w:val="BodyText"/>
              <w:jc w:val="left"/>
              <w:rPr>
                <w:rFonts w:ascii="Times New Roman" w:hAnsi="Times New Roman" w:cs="Times New Roman"/>
                <w:sz w:val="16"/>
              </w:rPr>
            </w:pPr>
            <w:r>
              <w:rPr>
                <w:rFonts w:ascii="Times New Roman" w:hAnsi="Times New Roman" w:cs="Times New Roman"/>
                <w:sz w:val="16"/>
              </w:rPr>
              <w:t xml:space="preserve"> </w:t>
            </w:r>
          </w:p>
          <w:p>
            <w:pPr>
              <w:pStyle w:val="BodyText"/>
              <w:jc w:val="left"/>
              <w:rPr>
                <w:rFonts w:ascii="Times New Roman" w:hAnsi="Times New Roman" w:cs="Times New Roman"/>
                <w:sz w:val="16"/>
              </w:rPr>
            </w:pPr>
          </w:p>
          <w:p>
            <w:pPr>
              <w:pStyle w:val="BodyText"/>
              <w:jc w:val="left"/>
              <w:rPr>
                <w:rFonts w:ascii="Times New Roman" w:hAnsi="Times New Roman" w:cs="Times New Roman"/>
                <w:b/>
                <w:bCs/>
                <w:sz w:val="16"/>
              </w:rPr>
            </w:pPr>
            <w:r>
              <w:rPr>
                <w:rFonts w:ascii="Times New Roman" w:hAnsi="Times New Roman" w:cs="Times New Roman"/>
                <w:b/>
                <w:bCs/>
                <w:sz w:val="16"/>
              </w:rPr>
              <w:t>Obvodný úrad</w:t>
            </w:r>
          </w:p>
          <w:p>
            <w:pPr>
              <w:pStyle w:val="BodyText"/>
              <w:numPr>
                <w:ilvl w:val="0"/>
                <w:numId w:val="77"/>
              </w:numPr>
              <w:tabs>
                <w:tab w:val="left" w:pos="360"/>
              </w:tabs>
              <w:ind w:left="0" w:firstLine="0"/>
              <w:jc w:val="left"/>
              <w:rPr>
                <w:rFonts w:ascii="Times New Roman" w:hAnsi="Times New Roman" w:cs="Times New Roman"/>
                <w:sz w:val="16"/>
              </w:rPr>
            </w:pPr>
            <w:r>
              <w:rPr>
                <w:rFonts w:ascii="Times New Roman" w:hAnsi="Times New Roman" w:cs="Times New Roman"/>
                <w:sz w:val="16"/>
              </w:rPr>
              <w:t>rozhoduje o vydaní povolenia, jeho aktualizácii al</w:t>
            </w:r>
            <w:r>
              <w:rPr>
                <w:rFonts w:ascii="Times New Roman" w:hAnsi="Times New Roman" w:cs="Times New Roman"/>
                <w:sz w:val="16"/>
              </w:rPr>
              <w:t>ebo o vyradení prevádzky zo schémy,</w:t>
            </w:r>
          </w:p>
          <w:p>
            <w:pPr>
              <w:pStyle w:val="BodyText"/>
              <w:numPr>
                <w:ilvl w:val="0"/>
                <w:numId w:val="77"/>
              </w:numPr>
              <w:tabs>
                <w:tab w:val="left" w:pos="360"/>
              </w:tabs>
              <w:ind w:left="0" w:firstLine="0"/>
              <w:jc w:val="left"/>
              <w:rPr>
                <w:rFonts w:ascii="Times New Roman" w:hAnsi="Times New Roman" w:cs="Times New Roman"/>
                <w:sz w:val="16"/>
              </w:rPr>
            </w:pPr>
            <w:r>
              <w:rPr>
                <w:rFonts w:ascii="Times New Roman" w:hAnsi="Times New Roman" w:cs="Times New Roman"/>
                <w:sz w:val="16"/>
              </w:rPr>
              <w:t>oznamuje vydanie povolenia, jeho aktualizáciu alebo vyradenie prevádzky zo schémy ministerstvu,</w:t>
            </w:r>
          </w:p>
          <w:p>
            <w:pPr>
              <w:pStyle w:val="BodyText"/>
              <w:numPr>
                <w:ilvl w:val="0"/>
                <w:numId w:val="77"/>
              </w:numPr>
              <w:tabs>
                <w:tab w:val="left" w:pos="360"/>
              </w:tabs>
              <w:ind w:left="0" w:firstLine="0"/>
              <w:jc w:val="left"/>
              <w:rPr>
                <w:rFonts w:ascii="Times New Roman" w:hAnsi="Times New Roman" w:cs="Times New Roman"/>
                <w:sz w:val="16"/>
              </w:rPr>
            </w:pPr>
            <w:r>
              <w:rPr>
                <w:rFonts w:ascii="Times New Roman" w:hAnsi="Times New Roman" w:cs="Times New Roman"/>
                <w:sz w:val="16"/>
              </w:rPr>
              <w:t>rozhoduje o pridelení kvót znečisťujúcich látok povinným účastníkom systému,</w:t>
            </w:r>
          </w:p>
          <w:p>
            <w:pPr>
              <w:pStyle w:val="BodyText"/>
              <w:numPr>
                <w:ilvl w:val="0"/>
                <w:numId w:val="77"/>
              </w:numPr>
              <w:tabs>
                <w:tab w:val="left" w:pos="360"/>
              </w:tabs>
              <w:ind w:left="0" w:firstLine="0"/>
              <w:jc w:val="left"/>
              <w:rPr>
                <w:rFonts w:ascii="Times New Roman" w:hAnsi="Times New Roman" w:cs="Times New Roman"/>
                <w:sz w:val="16"/>
              </w:rPr>
            </w:pPr>
            <w:r>
              <w:rPr>
                <w:rFonts w:ascii="Times New Roman" w:hAnsi="Times New Roman" w:cs="Times New Roman"/>
                <w:sz w:val="16"/>
              </w:rPr>
              <w:t>overuje správy o emisiách skleníkových plynov z prevádzky a správnosť údajov podľa kritérií uvedených v prílohe č. 5,</w:t>
            </w:r>
          </w:p>
          <w:p>
            <w:pPr>
              <w:pStyle w:val="BodyText"/>
              <w:numPr>
                <w:ilvl w:val="0"/>
                <w:numId w:val="77"/>
              </w:numPr>
              <w:tabs>
                <w:tab w:val="left" w:pos="360"/>
              </w:tabs>
              <w:ind w:left="0" w:firstLine="0"/>
              <w:jc w:val="left"/>
              <w:rPr>
                <w:rFonts w:ascii="Times New Roman" w:hAnsi="Times New Roman" w:cs="Times New Roman"/>
                <w:sz w:val="16"/>
              </w:rPr>
            </w:pPr>
            <w:r>
              <w:rPr>
                <w:rFonts w:ascii="Times New Roman" w:hAnsi="Times New Roman" w:cs="Times New Roman"/>
                <w:sz w:val="16"/>
              </w:rPr>
              <w:t>vydáva prevádzkovateľom, ktorí sú povinnými alebo dobrovoľnými účastníkmi schémy potvrdenia o overení a správnosti údajov podľa písmena c),</w:t>
            </w:r>
          </w:p>
          <w:p>
            <w:pPr>
              <w:pStyle w:val="BodyText"/>
              <w:numPr>
                <w:ilvl w:val="0"/>
                <w:numId w:val="77"/>
              </w:numPr>
              <w:tabs>
                <w:tab w:val="left" w:pos="360"/>
              </w:tabs>
              <w:ind w:left="0" w:firstLine="0"/>
              <w:jc w:val="left"/>
              <w:rPr>
                <w:rFonts w:ascii="Times New Roman" w:hAnsi="Times New Roman" w:cs="Times New Roman"/>
                <w:b/>
                <w:sz w:val="16"/>
              </w:rPr>
            </w:pPr>
            <w:r>
              <w:rPr>
                <w:rFonts w:ascii="Times New Roman" w:hAnsi="Times New Roman" w:cs="Times New Roman"/>
                <w:sz w:val="16"/>
              </w:rPr>
              <w:t>je povinný oznámiť správcovi registra množstvá emisií znečisťujúcich látok z prevádzok povinných účastníkov systému do 30 dní odo dňa nadobudnutia právoplatnosti rozhodnutia podľa osobitného predpisu.</w:t>
            </w:r>
            <w:r>
              <w:rPr>
                <w:rFonts w:ascii="Times New Roman" w:hAnsi="Times New Roman" w:cs="Times New Roman"/>
                <w:b/>
                <w:sz w:val="16"/>
              </w:rPr>
              <w:t xml:space="preserve">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Registre</w:t>
            </w:r>
          </w:p>
          <w:p>
            <w:pPr>
              <w:rPr>
                <w:rFonts w:ascii="Times New Roman" w:hAnsi="Times New Roman" w:cs="Times New Roman"/>
              </w:rPr>
            </w:pPr>
            <w:r>
              <w:rPr>
                <w:rFonts w:ascii="Times New Roman" w:hAnsi="Times New Roman" w:cs="Times New Roman"/>
              </w:rPr>
              <w:t>Členské štáty zabezpečia vytvorenie a udržiavanie registra, aby sa zabezpečila presná evidencia vydávania, držania, prenosu a zrušenia kvót. Členské štáty môžu svoje registre udržiavať v ucelenom systéme spolu s jedným alebo viacerými členskými štátmi.</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§11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Register</w:t>
            </w:r>
          </w:p>
          <w:p>
            <w:pPr>
              <w:rPr>
                <w:rFonts w:ascii="Times New Roman" w:hAnsi="Times New Roman" w:cs="Times New Roman"/>
              </w:rPr>
            </w:pPr>
            <w:r>
              <w:rPr>
                <w:rFonts w:ascii="Times New Roman" w:hAnsi="Times New Roman" w:cs="Times New Roman"/>
              </w:rPr>
              <w:t>Ministerstvo pre zabezpečenie presnej evidencie vydávania, prideľovania, vlastnenia, prenosu a zrušenia kvót vytvorí a spravuje register prostredníctvom správcu registra.</w:t>
            </w:r>
          </w:p>
          <w:p>
            <w:pPr>
              <w:rPr>
                <w:rFonts w:ascii="Times New Roman" w:hAnsi="Times New Roman" w:cs="Times New Roman"/>
                <w:b/>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Registre</w:t>
            </w:r>
          </w:p>
          <w:p>
            <w:pPr>
              <w:rPr>
                <w:rFonts w:ascii="Times New Roman" w:hAnsi="Times New Roman" w:cs="Times New Roman"/>
              </w:rPr>
            </w:pPr>
            <w:r>
              <w:rPr>
                <w:rFonts w:ascii="Times New Roman" w:hAnsi="Times New Roman" w:cs="Times New Roman"/>
              </w:rPr>
              <w:t>Každá osoba môže byť držiteľom kvót. Register musí byť prístupný verejnosti a musí obsahovať oddelené účty, aby sa zaznamenávali kvóty vlastnené každou osobou, ktorej sa kvóty vydávajú alebo prenášajú, alebo od ktorej sa prenášajú.</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§11 (1)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Register</w:t>
            </w:r>
          </w:p>
          <w:p>
            <w:pPr>
              <w:rPr>
                <w:rFonts w:ascii="Times New Roman" w:hAnsi="Times New Roman" w:cs="Times New Roman"/>
              </w:rPr>
            </w:pPr>
            <w:r>
              <w:rPr>
                <w:rFonts w:ascii="Times New Roman" w:hAnsi="Times New Roman" w:cs="Times New Roman"/>
              </w:rPr>
              <w:t>Register musí byť trvale prístupný verejnosti a musí obsahovať oddelené účty, aby sa zaznamenávali kvóty vlastnené každou osobou, ktorej sa kvóty vydávajú alebo prenášajú, alebo od ktorej sa prenášajú. Nesprístupňujú sa osobné údaje podľa osobitného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19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Registre</w:t>
            </w:r>
          </w:p>
          <w:p>
            <w:pPr>
              <w:rPr>
                <w:rFonts w:ascii="Times New Roman" w:hAnsi="Times New Roman" w:cs="Times New Roman"/>
              </w:rPr>
            </w:pPr>
            <w:r>
              <w:rPr>
                <w:rFonts w:ascii="Times New Roman" w:hAnsi="Times New Roman" w:cs="Times New Roman"/>
              </w:rPr>
              <w:t>Na implementáciu tejto smernice prijme Komisia nariadenie v súlade s postupom uvedeným v článku 23 (2) na štandardizovaný a zabezpečený systém registrov vo forme štandardizovaných elektronických databáz, ktoré obsahujú prvky bežných dát na sledovanie vydania, držania, prenosu a zrušenia kvót a aby sa poskytol verejnosti vhodný prístup a udržala dôvernosť a aby sa zabezpečilo, že sa neuskutočnia žiadne prenosy v rozpore s povinnosťami vyplývajúcimi z Kjótskeho protokolu.</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20</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Ústredný správca</w:t>
            </w:r>
          </w:p>
          <w:p>
            <w:pPr>
              <w:rPr>
                <w:rFonts w:ascii="Times New Roman" w:hAnsi="Times New Roman" w:cs="Times New Roman"/>
              </w:rPr>
            </w:pPr>
            <w:r>
              <w:rPr>
                <w:rFonts w:ascii="Times New Roman" w:hAnsi="Times New Roman" w:cs="Times New Roman"/>
              </w:rPr>
              <w:t>Komisia určí ústredného správcu, ktorý vedie nezávislý protokol o transakciá</w:t>
            </w:r>
            <w:r>
              <w:rPr>
                <w:rFonts w:ascii="Times New Roman" w:hAnsi="Times New Roman" w:cs="Times New Roman"/>
              </w:rPr>
              <w:t>ch, do ktorého sa zaznamenáva vydanie, prenos a zrušenie kvót.</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20</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Ústredný správca</w:t>
            </w:r>
          </w:p>
          <w:p>
            <w:pPr>
              <w:rPr>
                <w:rFonts w:ascii="Times New Roman" w:hAnsi="Times New Roman" w:cs="Times New Roman"/>
              </w:rPr>
            </w:pPr>
            <w:r>
              <w:rPr>
                <w:rFonts w:ascii="Times New Roman" w:hAnsi="Times New Roman" w:cs="Times New Roman"/>
              </w:rPr>
              <w:t>Ústredný správca vykonáva automatizovanú kontrolu každej transakcie v registroch prostredníctvom nezávislého protokolu transakcií, aby sa zabezpečilo, že nedochádza ku žiadnym nezrovnalostiam pri vydávaní, prenosu a zrušení kvót.</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20</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Ústredný správca</w:t>
            </w:r>
          </w:p>
          <w:p>
            <w:pPr>
              <w:rPr>
                <w:rFonts w:ascii="Times New Roman" w:hAnsi="Times New Roman" w:cs="Times New Roman"/>
              </w:rPr>
            </w:pPr>
            <w:r>
              <w:rPr>
                <w:rFonts w:ascii="Times New Roman" w:hAnsi="Times New Roman" w:cs="Times New Roman"/>
              </w:rPr>
              <w:t>Ak prostredníctvom automatizovanej kontroly dôjde k zisteniu nezrovnalostí, ústredný správca informuje dotknutý členský štát alebo dotknuté členské štáty, ktoré nesmú príslušné transakcie alebo akékoľvek ďalšie transakcie súvisiace s dotknutými kvótami zaregistrovať, pokiaľ sa nezrovnalosti nevyriešia.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Podávanie správ členskými štátmi</w:t>
            </w:r>
          </w:p>
          <w:p>
            <w:pPr>
              <w:rPr>
                <w:rFonts w:ascii="Times New Roman" w:hAnsi="Times New Roman" w:cs="Times New Roman"/>
              </w:rPr>
            </w:pPr>
            <w:r>
              <w:rPr>
                <w:rFonts w:ascii="Times New Roman" w:hAnsi="Times New Roman" w:cs="Times New Roman"/>
              </w:rPr>
              <w:t>Každý rok musia členské štáty zaslať Komisii správu o uplatňovaní tejto smernice. Táto správa sa musí zaoberať najmä spôsobom prideľovania kvót, prevádzkou registrov, uplatňovaním usmernenia o monitorovaní a podávaní správ, overovaním a otázkami súvisiacimi s dodržiavaním smernice, finančným zaobchádzaním s kvótami, ak k nejakému dochádza. Prvá správa musí byť zaslaná Komisii do 30. júna 2005. Správa budepripravená na základe dotazníka alebo návodu navrhnutého Komisiou v súlade s postupom ustanoveným v článku 6 smernice 91/692/EHS. Dotazník alebo návod bude zaslaný členským štátom najmenej šesť mesiacov pred posledným termínom zaslania prvej správy.</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§22</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rPr>
            </w:pPr>
            <w:r>
              <w:rPr>
                <w:rFonts w:ascii="Times New Roman" w:hAnsi="Times New Roman" w:cs="Times New Roman"/>
              </w:rPr>
              <w:t>Podávanie správ</w:t>
            </w:r>
          </w:p>
          <w:p>
            <w:pPr>
              <w:rPr>
                <w:rFonts w:ascii="Times New Roman" w:hAnsi="Times New Roman" w:cs="Times New Roman"/>
                <w:bCs/>
              </w:rPr>
            </w:pPr>
            <w:r>
              <w:rPr>
                <w:rFonts w:ascii="Times New Roman" w:hAnsi="Times New Roman" w:cs="Times New Roman"/>
              </w:rPr>
              <w:t>Ministerstvo každoročne vypracúva a zasiela komisii správu o uplatňovaní zákona pri obchodovaní s kvótami skleníkových plynov. Správa musí obsahovať najmä informácie o spôsobe prideľovania kvót, o prevádzke registra, o uplatňovaní požiadaviek na monitorovanie emisií a podávanie správ o emisiách, o overovaní správ o emisiách a o prenosoch kvót, ak k nejakému dochádza. Prvá správa sa za</w:t>
            </w:r>
            <w:r>
              <w:rPr>
                <w:rFonts w:ascii="Times New Roman" w:hAnsi="Times New Roman" w:cs="Times New Roman"/>
              </w:rPr>
              <w:t>siela komisii do 30. júna  2005.</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Podávanie správ členskými štátmi</w:t>
            </w:r>
          </w:p>
          <w:p>
            <w:pPr>
              <w:rPr>
                <w:rFonts w:ascii="Times New Roman" w:hAnsi="Times New Roman" w:cs="Times New Roman"/>
              </w:rPr>
            </w:pPr>
            <w:r>
              <w:rPr>
                <w:rFonts w:ascii="Times New Roman" w:hAnsi="Times New Roman" w:cs="Times New Roman"/>
              </w:rPr>
              <w:t>Na základe správ uvedených v odseku 1 vydá Komisia správu o uplatňovaní tejto smernice do troch mesiacov od prijatia správ členských štátov.</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Podávanie správ čl</w:t>
            </w:r>
            <w:r>
              <w:rPr>
                <w:rFonts w:ascii="Times New Roman" w:hAnsi="Times New Roman" w:cs="Times New Roman"/>
                <w:b/>
              </w:rPr>
              <w:t>enskými štátmi</w:t>
            </w:r>
          </w:p>
          <w:p>
            <w:pPr>
              <w:rPr>
                <w:rFonts w:ascii="Times New Roman" w:hAnsi="Times New Roman" w:cs="Times New Roman"/>
              </w:rPr>
            </w:pPr>
            <w:r>
              <w:rPr>
                <w:rFonts w:ascii="Times New Roman" w:hAnsi="Times New Roman" w:cs="Times New Roman"/>
              </w:rPr>
              <w:t>Komisia zorganizuje výmenu informácií medzi zodpovednými orgánmi členských štátov o vývoji, týkajúcom sa otázok prideľovania, prevádzkovania registrov, monitorovania, podávania správ, overovania a dodržiavania.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Zmeny a doplnk</w:t>
            </w:r>
            <w:r>
              <w:rPr>
                <w:rFonts w:ascii="Times New Roman" w:hAnsi="Times New Roman" w:cs="Times New Roman"/>
                <w:b/>
              </w:rPr>
              <w:t>y Prílohy III</w:t>
            </w:r>
          </w:p>
          <w:p>
            <w:pPr>
              <w:rPr>
                <w:rFonts w:ascii="Times New Roman" w:hAnsi="Times New Roman" w:cs="Times New Roman"/>
              </w:rPr>
            </w:pPr>
            <w:r>
              <w:rPr>
                <w:rFonts w:ascii="Times New Roman" w:hAnsi="Times New Roman" w:cs="Times New Roman"/>
              </w:rPr>
              <w:t>Komisia môže zmeniť alebo doplniť prílohu III, s výnimkou kritérií (1), (5) a (7), na obdobie rokov 2008 – 2012 po zohľadnení správ podľa článku 21 a skúseností z uplatňovania tejto smernice, v súlade s postupom uvedeným v článku 23 (2).</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BodyText"/>
              <w:rPr>
                <w:rFonts w:ascii="Times New Roman" w:hAnsi="Times New Roman" w:cs="Times New Roman"/>
                <w:b/>
              </w:rPr>
            </w:pPr>
            <w:r>
              <w:rPr>
                <w:rFonts w:ascii="Times New Roman" w:hAnsi="Times New Roman" w:cs="Times New Roman"/>
                <w:b/>
              </w:rPr>
              <w:t>Výbor</w:t>
            </w:r>
          </w:p>
          <w:p>
            <w:pPr>
              <w:pStyle w:val="BodyText"/>
              <w:rPr>
                <w:rFonts w:ascii="Times New Roman" w:hAnsi="Times New Roman" w:cs="Times New Roman"/>
              </w:rPr>
            </w:pPr>
            <w:r>
              <w:rPr>
                <w:rFonts w:ascii="Times New Roman" w:hAnsi="Times New Roman" w:cs="Times New Roman"/>
              </w:rPr>
              <w:t>Komisii pomáha výbor ustanovený článkom 8 rozhodnutia 93/389/EHS.</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Kde sa odkazuje na tento odsek, uplatňujú sa články 5 a 7 rozhodnutia 1999/468/ES so zreteľom na ustanovenia článku 8 tohto rozhodnutia.</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Obdobie uvedené v článku 5 (6) ro</w:t>
            </w:r>
            <w:r>
              <w:rPr>
                <w:rFonts w:ascii="Times New Roman" w:hAnsi="Times New Roman" w:cs="Times New Roman"/>
              </w:rPr>
              <w:t>zhodnutia 1999/468/ES sa ustanovuje na tri mesiace.</w:t>
            </w:r>
          </w:p>
          <w:p>
            <w:pPr>
              <w:pStyle w:val="BodyText"/>
              <w:rPr>
                <w:rFonts w:ascii="Times New Roman" w:hAnsi="Times New Roman" w:cs="Times New Roman"/>
              </w:rPr>
            </w:pPr>
          </w:p>
          <w:p>
            <w:pPr>
              <w:rPr>
                <w:rFonts w:ascii="Times New Roman" w:hAnsi="Times New Roman" w:cs="Times New Roman"/>
              </w:rPr>
            </w:pPr>
            <w:r>
              <w:rPr>
                <w:rFonts w:ascii="Times New Roman" w:hAnsi="Times New Roman" w:cs="Times New Roman"/>
              </w:rPr>
              <w:t>Výbor schváli svoje rokovacie pravidlá.</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Postupy na jednostranné začlenenie dodatočných činností a plynov</w:t>
            </w:r>
          </w:p>
          <w:p>
            <w:pPr>
              <w:rPr>
                <w:rFonts w:ascii="Times New Roman" w:hAnsi="Times New Roman" w:cs="Times New Roman"/>
              </w:rPr>
            </w:pPr>
            <w:r>
              <w:rPr>
                <w:rFonts w:ascii="Times New Roman" w:hAnsi="Times New Roman" w:cs="Times New Roman"/>
              </w:rPr>
              <w:t>Od roku 2008 môžu členské štáty uplatňovať obchodovanie s emisnými kvótami v súlade s ustanoveniami tejto smernice na činnosti a zariadenia, ktoré nie sú uvedené v prílohe I a na skleníkové plyny, ktoré nie sú uvedené v prílohe II, za predpokladu, že začlenenie takýchto činností a zariadení schváli Komisia v súlade s postupom uvedeným v článku 23 (2), pri zohľadnení všetkých relevantných kritérií, najmä účinkov na vnútorný trh, možnú deformáciu hospodárskej súťaže, environmentálnu integritu systému a spoľahlivosti plánovaného systému monitorovania a podávania správ.</w:t>
            </w:r>
          </w:p>
          <w:p>
            <w:pPr>
              <w:rPr>
                <w:rFonts w:ascii="Times New Roman" w:hAnsi="Times New Roman" w:cs="Times New Roman"/>
              </w:rPr>
            </w:pPr>
            <w:r>
              <w:rPr>
                <w:rFonts w:ascii="Times New Roman" w:hAnsi="Times New Roman" w:cs="Times New Roman"/>
              </w:rPr>
              <w:t>Od roku 2005 môžu členské štáty na základe tých istých podmienok uplatňovať obchodovanie s emisnými kvótami na zariadenia vykonávajúce činnosti uvedené v prílohe I pod kapacitným limitom uvedeným v tejto prílohe.</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 xml:space="preserve">Netransponuje sa – nejde o povinnú transpozíciu </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 xml:space="preserve">Postupy na jednostranné začlenenie dodatočných činností a plynov </w:t>
            </w:r>
          </w:p>
          <w:p>
            <w:pPr>
              <w:rPr>
                <w:rFonts w:ascii="Times New Roman" w:hAnsi="Times New Roman" w:cs="Times New Roman"/>
              </w:rPr>
            </w:pPr>
            <w:r>
              <w:rPr>
                <w:rFonts w:ascii="Times New Roman" w:hAnsi="Times New Roman" w:cs="Times New Roman"/>
              </w:rPr>
              <w:t>Kvóty pridelené pre zariadenia vykonávajúce takéto činnosti budú upresnené v národnom alokačnom pláne uvedenom v článku 9.</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24 od</w:t>
            </w:r>
            <w:r>
              <w:rPr>
                <w:rFonts w:ascii="Times New Roman" w:hAnsi="Times New Roman" w:cs="Times New Roman"/>
                <w:bCs/>
              </w:rPr>
              <w:t>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 xml:space="preserve">Postupy na jednostranné začlenenie dodatočných činností a plynov </w:t>
            </w:r>
          </w:p>
          <w:p>
            <w:pPr>
              <w:rPr>
                <w:rFonts w:ascii="Times New Roman" w:hAnsi="Times New Roman" w:cs="Times New Roman"/>
              </w:rPr>
            </w:pPr>
            <w:r>
              <w:rPr>
                <w:rFonts w:ascii="Times New Roman" w:hAnsi="Times New Roman" w:cs="Times New Roman"/>
              </w:rPr>
              <w:t>Komisia môže z vlastnej iniciatívy alebo musí na požiadanie členského štátu prijať usmernenie k monitorovaniu a podávaniu správ o emisiách z činností, ktoré nie sú uvedené v prílohe I a skleníkových plynov, ktoré nie sú uvedené v prílohe II v súlade s postupom uvedeným v článku 23 (2), ak monitorovanie a podávanie správ o týchto emisiách možno uskutočniť s dostatočnou presnosťou.</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24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24</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 xml:space="preserve">Postupy na jednostranné začlenenie dodatočných činností a plynov </w:t>
            </w:r>
          </w:p>
          <w:p>
            <w:pPr>
              <w:rPr>
                <w:rFonts w:ascii="Times New Roman" w:hAnsi="Times New Roman" w:cs="Times New Roman"/>
              </w:rPr>
            </w:pPr>
            <w:r>
              <w:rPr>
                <w:rFonts w:ascii="Times New Roman" w:hAnsi="Times New Roman" w:cs="Times New Roman"/>
              </w:rPr>
              <w:t>V prípade, že sa takéto opatrenia zavedú, preskúmania uskutočnené podľa článku 26 musia tiež zvážiť, či by malo dôjsť k zmene prílohy I tak, aby zahrnovala emisie z týchto činností harmonizovane v celom Spoločenstve.</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24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25</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Prepojenie s ostatnými systémami obchodovania s emisiami skleníkových plynov</w:t>
            </w:r>
          </w:p>
          <w:p>
            <w:pPr>
              <w:rPr>
                <w:rFonts w:ascii="Times New Roman" w:hAnsi="Times New Roman" w:cs="Times New Roman"/>
              </w:rPr>
            </w:pPr>
            <w:r>
              <w:rPr>
                <w:rFonts w:ascii="Times New Roman" w:hAnsi="Times New Roman" w:cs="Times New Roman"/>
              </w:rPr>
              <w:t>S tretími krajinami, uvedenými v prílohe B Kjótskeho protokolu, ktoré ratifikovali protokol, by sa mali uzavrieť dohody, aby sa zabezpečilo vzájomné uznávanie kvót medzi systémom obchodovania s emisiami skleníkových plynov v Spoločenstve a ďalšími systémami obchodovania s emisiami skleníkových plynov v súlade s pravidlami ustanovenými v článku 300 Zmluvy</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§17 (1l)</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FootnoteText"/>
              <w:rPr>
                <w:rFonts w:ascii="Times New Roman" w:hAnsi="Times New Roman" w:cs="Times New Roman"/>
                <w:bCs/>
              </w:rPr>
            </w:pPr>
            <w:r>
              <w:rPr>
                <w:rFonts w:ascii="Times New Roman" w:hAnsi="Times New Roman" w:cs="Times New Roman"/>
              </w:rPr>
              <w:t>Ministerstvo uzatvára dohody s tretími krajinami, uvedenými v prílohe B Kjótskeho protokolu, ktoré ratifikovali protokol o vzájomnom uznávaní priznaných jednotie</w:t>
            </w:r>
            <w:r>
              <w:rPr>
                <w:rFonts w:ascii="Times New Roman" w:hAnsi="Times New Roman" w:cs="Times New Roman"/>
              </w:rPr>
              <w:t>k.</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25</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Prepojenie s ostatnými systémami obchodovania s emisiami skleníkových plynov</w:t>
            </w:r>
          </w:p>
          <w:p>
            <w:pPr>
              <w:rPr>
                <w:rFonts w:ascii="Times New Roman" w:hAnsi="Times New Roman" w:cs="Times New Roman"/>
              </w:rPr>
            </w:pPr>
            <w:r>
              <w:rPr>
                <w:rFonts w:ascii="Times New Roman" w:hAnsi="Times New Roman" w:cs="Times New Roman"/>
              </w:rPr>
              <w:t>Ak došlo k uzavretiu dohody uvedenej v odseku 1, Komisia navrhne potrebné predpisy týkajúce sa vzájomného uznávania kvót podľa tejto dohody v súlade s postupom uvedeným v článku 23 (2).</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25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26</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Zmena a doplnenie smernice 96/61/ES</w:t>
            </w:r>
          </w:p>
          <w:p>
            <w:pPr>
              <w:pStyle w:val="BodyText"/>
              <w:rPr>
                <w:rFonts w:ascii="Times New Roman" w:hAnsi="Times New Roman" w:cs="Times New Roman"/>
              </w:rPr>
            </w:pPr>
            <w:r>
              <w:rPr>
                <w:rFonts w:ascii="Times New Roman" w:hAnsi="Times New Roman" w:cs="Times New Roman"/>
              </w:rPr>
              <w:t>Do článku 9 (3) smernice 96/61/ES sa vkladajú nasledovné pododseky:</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„Ak sú emisie skleníkových plynov zo zariadenia uvedené v prílohe I smernice  2003/87/ES Európskeho parlamentu a Rady z 13. októbra 2003,ktorou sa ustanovuje systém obchodovania s emisnými kvótami skleníkových plynov v Spoločenstve a ktorou sa mení a dopĺňa smernica rady 96/61/ES(*) vo vzťahu k činnosti vykonávanej v tomto zariadení, povolenie nebude obsahovať hodnotu emisného limitu pre priame emisie tohto plynu, pokiaľ nie je potrebné zabezpečiť, aby nedošlo k významnému miestnemu znečisteniu.</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 xml:space="preserve">Členské štáty sa môžu rozhodnúť, že na činnosti uvedené v prílohe I smernice  2003/87/ES nebudú uplatňovať požiadavky týkajúce sa energetickej účinnosti s ohľadom na spaľovacie jednotky alebo iné jednotky vypúšťajúce v prevádzkárni oxid uhličitý. </w:t>
            </w:r>
          </w:p>
          <w:p>
            <w:pPr>
              <w:pStyle w:val="BodyText"/>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Kde je to potrebné, zodpovedné orgány zmenia povolenie vho</w:t>
            </w:r>
            <w:r>
              <w:rPr>
                <w:rFonts w:ascii="Times New Roman" w:hAnsi="Times New Roman" w:cs="Times New Roman"/>
              </w:rPr>
              <w:t>dným spôsobom.</w:t>
            </w:r>
          </w:p>
          <w:p>
            <w:pPr>
              <w:pStyle w:val="BodyText"/>
              <w:rPr>
                <w:rFonts w:ascii="Times New Roman" w:hAnsi="Times New Roman" w:cs="Times New Roman"/>
              </w:rPr>
            </w:pPr>
          </w:p>
          <w:p>
            <w:pPr>
              <w:rPr>
                <w:rFonts w:ascii="Times New Roman" w:hAnsi="Times New Roman" w:cs="Times New Roman"/>
              </w:rPr>
            </w:pPr>
            <w:r>
              <w:rPr>
                <w:rFonts w:ascii="Times New Roman" w:hAnsi="Times New Roman" w:cs="Times New Roman"/>
              </w:rPr>
              <w:t>Tri predchádzajúce pododseky sa nevzťahujú na zariadenia dočasne vylúčené zo systému obchodovania s emisiami skleníkových plynov v Spoločenstve v súlade s článkom 27 smernice  2003/87ES.</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27</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Dočasné vylúčenie určitých zariadení</w:t>
            </w:r>
          </w:p>
          <w:p>
            <w:pPr>
              <w:rPr>
                <w:rFonts w:ascii="Times New Roman" w:hAnsi="Times New Roman" w:cs="Times New Roman"/>
              </w:rPr>
            </w:pPr>
            <w:r>
              <w:rPr>
                <w:rFonts w:ascii="Times New Roman" w:hAnsi="Times New Roman" w:cs="Times New Roman"/>
              </w:rPr>
              <w:t>Členské štáty si môžu od Komisie uplatňovať výnimku na určité zariadenia a činnosti, aby boli dočasne vylúčené zo systému obchodovania s emisiami skleníkových plynov v spoločenstve, maximálne do 31. decembra 2007. Každá takáto žiadosť uvedie každé takéto zariadenie a musí byť zverejnená.</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27</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Dočasné vylúčenie určitých zariadení</w:t>
            </w:r>
          </w:p>
          <w:p>
            <w:pPr>
              <w:pStyle w:val="BodyText"/>
              <w:rPr>
                <w:rFonts w:ascii="Times New Roman" w:hAnsi="Times New Roman" w:cs="Times New Roman"/>
              </w:rPr>
            </w:pPr>
            <w:r>
              <w:rPr>
                <w:rFonts w:ascii="Times New Roman" w:hAnsi="Times New Roman" w:cs="Times New Roman"/>
              </w:rPr>
              <w:t>Ak po zvážení všetkých pripomienok verejnosti k takejto žiadosti Komisia rozhodne v súlade s postupom uvedeným v článku 23 (2), že zariadenia :</w:t>
            </w:r>
          </w:p>
          <w:p>
            <w:pPr>
              <w:pStyle w:val="BodyText"/>
              <w:rPr>
                <w:rFonts w:ascii="Times New Roman" w:hAnsi="Times New Roman" w:cs="Times New Roman"/>
              </w:rPr>
            </w:pPr>
            <w:r>
              <w:rPr>
                <w:rFonts w:ascii="Times New Roman" w:hAnsi="Times New Roman" w:cs="Times New Roman"/>
              </w:rPr>
              <w:t>ako výsledok národnej politiky obmedzia svoje emisie tak, ako by sa stalo v prípade, že by podliehali ustanoveniam tejto smernice;</w:t>
            </w:r>
          </w:p>
          <w:p>
            <w:pPr>
              <w:pStyle w:val="BodyText"/>
              <w:rPr>
                <w:rFonts w:ascii="Times New Roman" w:hAnsi="Times New Roman" w:cs="Times New Roman"/>
              </w:rPr>
            </w:pPr>
            <w:r>
              <w:rPr>
                <w:rFonts w:ascii="Times New Roman" w:hAnsi="Times New Roman" w:cs="Times New Roman"/>
              </w:rPr>
              <w:t xml:space="preserve">budú predmetom monitorovania a požiadaviek na podávanie správ a overovanie, ktoré sú rovnaké ako vyžaduje smernica v článkoch 14 a 15 a </w:t>
            </w:r>
          </w:p>
          <w:p>
            <w:pPr>
              <w:pStyle w:val="BodyText"/>
              <w:rPr>
                <w:rFonts w:ascii="Times New Roman" w:hAnsi="Times New Roman" w:cs="Times New Roman"/>
              </w:rPr>
            </w:pPr>
            <w:r>
              <w:rPr>
                <w:rFonts w:ascii="Times New Roman" w:hAnsi="Times New Roman" w:cs="Times New Roman"/>
              </w:rPr>
              <w:t>budú podliehať pokutám minimálne rovnocenným s tými, ktoré uvádza článok 16(1) a 16(4) pre prípad neplnenia národných požiadaviek;</w:t>
            </w:r>
          </w:p>
          <w:p>
            <w:pPr>
              <w:pStyle w:val="BodyText"/>
              <w:rPr>
                <w:rFonts w:ascii="Times New Roman" w:hAnsi="Times New Roman" w:cs="Times New Roman"/>
              </w:rPr>
            </w:pPr>
            <w:r>
              <w:rPr>
                <w:rFonts w:ascii="Times New Roman" w:hAnsi="Times New Roman" w:cs="Times New Roman"/>
              </w:rPr>
              <w:t>umožní dočasné vylúčenie takýchto zariadení zo systému obchodovania s emisiami skleníkových plynov v Spoločenstve.</w:t>
            </w:r>
          </w:p>
          <w:p>
            <w:pPr>
              <w:rPr>
                <w:rFonts w:ascii="Times New Roman" w:hAnsi="Times New Roman" w:cs="Times New Roman"/>
              </w:rPr>
            </w:pPr>
            <w:r>
              <w:rPr>
                <w:rFonts w:ascii="Times New Roman" w:hAnsi="Times New Roman" w:cs="Times New Roman"/>
              </w:rPr>
              <w:t>Musí sa zabezpečiť, aby nedošlo k deformácii vnútorného trhu.</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Združovanie</w:t>
            </w:r>
          </w:p>
          <w:p>
            <w:pPr>
              <w:rPr>
                <w:rFonts w:ascii="Times New Roman" w:hAnsi="Times New Roman" w:cs="Times New Roman"/>
              </w:rPr>
            </w:pPr>
            <w:r>
              <w:rPr>
                <w:rFonts w:ascii="Times New Roman" w:hAnsi="Times New Roman" w:cs="Times New Roman"/>
              </w:rPr>
              <w:t>Členské štáty môžu povoliť prevádzkovateľom zariadení vykonávajúcich jednu z činností uvedených v prílohe I, aby vytvorili združenie zariadení pre tú istú činnosť na obdobie uvedené v článku 11 (1) a/alebo na prvé päťročné obdobie uvedené v článku 11 (2) v súlade s odsekmi (2) až (6).</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Združovan</w:t>
            </w:r>
            <w:r>
              <w:rPr>
                <w:rFonts w:ascii="Times New Roman" w:hAnsi="Times New Roman" w:cs="Times New Roman"/>
                <w:b/>
              </w:rPr>
              <w:t>ie</w:t>
            </w:r>
          </w:p>
          <w:p>
            <w:pPr>
              <w:rPr>
                <w:rFonts w:ascii="Times New Roman" w:hAnsi="Times New Roman" w:cs="Times New Roman"/>
              </w:rPr>
            </w:pPr>
            <w:r>
              <w:rPr>
                <w:rFonts w:ascii="Times New Roman" w:hAnsi="Times New Roman" w:cs="Times New Roman"/>
              </w:rPr>
              <w:t>Prevádzkovatelia vykonávajúci činnosť uvedenú v prílohe I, ktorí si želajú vytvoriť združenie, o to požiadajú zodpovedný orgán, kde uvedú prevádzky a obdobie, na ktoré sa chcú združiť a doložia, že zmocnenec bude schopný plniť záväzky uvedené v odsekoch</w:t>
            </w:r>
            <w:r>
              <w:rPr>
                <w:rFonts w:ascii="Times New Roman" w:hAnsi="Times New Roman" w:cs="Times New Roman"/>
              </w:rPr>
              <w:t xml:space="preserve"> (3) a (4).</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28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Združovanie</w:t>
            </w:r>
          </w:p>
          <w:p>
            <w:pPr>
              <w:pStyle w:val="BodyText"/>
              <w:rPr>
                <w:rFonts w:ascii="Times New Roman" w:hAnsi="Times New Roman" w:cs="Times New Roman"/>
              </w:rPr>
            </w:pPr>
            <w:r>
              <w:rPr>
                <w:rFonts w:ascii="Times New Roman" w:hAnsi="Times New Roman" w:cs="Times New Roman"/>
              </w:rPr>
              <w:t>Prevádzkovatelia, ktorí chcú vytvoriť združenie musia vymenovať zmocnenca:</w:t>
            </w:r>
          </w:p>
          <w:p>
            <w:pPr>
              <w:pStyle w:val="BodyText"/>
              <w:ind w:left="720"/>
              <w:rPr>
                <w:rFonts w:ascii="Times New Roman" w:hAnsi="Times New Roman" w:cs="Times New Roman"/>
              </w:rPr>
            </w:pPr>
          </w:p>
          <w:p>
            <w:pPr>
              <w:pStyle w:val="BodyText"/>
              <w:numPr>
                <w:ilvl w:val="0"/>
                <w:numId w:val="53"/>
              </w:numPr>
              <w:tabs>
                <w:tab w:val="left" w:pos="810"/>
                <w:tab w:val="left" w:pos="1080"/>
              </w:tabs>
              <w:ind w:left="810" w:hanging="450"/>
              <w:rPr>
                <w:rFonts w:ascii="Times New Roman" w:hAnsi="Times New Roman" w:cs="Times New Roman"/>
              </w:rPr>
            </w:pPr>
            <w:r>
              <w:rPr>
                <w:rFonts w:ascii="Times New Roman" w:hAnsi="Times New Roman" w:cs="Times New Roman"/>
              </w:rPr>
              <w:t>ktorému bude vydané celkové množstvo kvót vypočítané pre zariadenia prevádzkovateľov, bez ohľadu na článok 11</w:t>
            </w:r>
          </w:p>
          <w:p>
            <w:pPr>
              <w:pStyle w:val="BodyText"/>
              <w:numPr>
                <w:ilvl w:val="0"/>
                <w:numId w:val="53"/>
              </w:numPr>
              <w:tabs>
                <w:tab w:val="left" w:pos="810"/>
                <w:tab w:val="left" w:pos="1080"/>
              </w:tabs>
              <w:ind w:left="810" w:hanging="450"/>
              <w:rPr>
                <w:rFonts w:ascii="Times New Roman" w:hAnsi="Times New Roman" w:cs="Times New Roman"/>
              </w:rPr>
            </w:pPr>
            <w:r>
              <w:rPr>
                <w:rFonts w:ascii="Times New Roman" w:hAnsi="Times New Roman" w:cs="Times New Roman"/>
              </w:rPr>
              <w:t>zodpovedného za odovzdávanie kvót zodpovedajúcich celkovým emisiám zo zariadení v združení, bez ohľadu na články 6 (2)(e) a 12(3); a</w:t>
            </w:r>
          </w:p>
          <w:p>
            <w:pPr>
              <w:rPr>
                <w:rFonts w:ascii="Times New Roman" w:hAnsi="Times New Roman" w:cs="Times New Roman"/>
              </w:rPr>
            </w:pPr>
            <w:r>
              <w:rPr>
                <w:rFonts w:ascii="Times New Roman" w:hAnsi="Times New Roman" w:cs="Times New Roman"/>
              </w:rPr>
              <w:t>ktorému bude zakázané uskutočňovať ďalšie prenosy v prípade, že správa prevádzkovateľa nebola overená ako uspokojivá v súlade s druhým odsekom článku 15.</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28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Združovanie</w:t>
            </w:r>
          </w:p>
          <w:p>
            <w:pPr>
              <w:rPr>
                <w:rFonts w:ascii="Times New Roman" w:hAnsi="Times New Roman" w:cs="Times New Roman"/>
              </w:rPr>
            </w:pPr>
            <w:r>
              <w:rPr>
                <w:rFonts w:ascii="Times New Roman" w:hAnsi="Times New Roman" w:cs="Times New Roman"/>
              </w:rPr>
              <w:t>Zmocnenec bude podliehať pokutám za porušenie požiadaviek na odovzdanie dostatočných kvót na pokrytie celkových emisií zo zariadení v združení, bez ohľadu na článok 16 (2), (3) a (4).</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28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Združovanie</w:t>
            </w:r>
          </w:p>
          <w:p>
            <w:pPr>
              <w:rPr>
                <w:rFonts w:ascii="Times New Roman" w:hAnsi="Times New Roman" w:cs="Times New Roman"/>
              </w:rPr>
            </w:pPr>
            <w:r>
              <w:rPr>
                <w:rFonts w:ascii="Times New Roman" w:hAnsi="Times New Roman" w:cs="Times New Roman"/>
              </w:rPr>
              <w:t>Členský štát, ktorý si želá vytvoriť jedno alebo viac združení, zašle žiadosť uvedenú v odseku (2) Komisii. Bez toho, aby bola dotknutá Zmluva, môže Komisia žiadosť, ktorá nespĺňa požiadavky tejto smernice, odmietnuť do troch mesiacov od jej prijatia. Pre každé takéto rozhodnutie sa musia uviesť dôvody. V prípade odmietnutia môže členský štát umožniť vytvorenie združenia, len ak sú navrhované zmeny schválené Komisiou.</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28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28</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Združovanie</w:t>
            </w:r>
          </w:p>
          <w:p>
            <w:pPr>
              <w:rPr>
                <w:rFonts w:ascii="Times New Roman" w:hAnsi="Times New Roman" w:cs="Times New Roman"/>
              </w:rPr>
            </w:pPr>
            <w:r>
              <w:rPr>
                <w:rFonts w:ascii="Times New Roman" w:hAnsi="Times New Roman" w:cs="Times New Roman"/>
              </w:rPr>
              <w:t>V prípade, že zmocnenec nedokáže naplniť pokuty uvedené v odseku (4), každý prevádzkovateľ zariadenia v združení bude podľa článkov 12 (3) a 16 zodpovedný za emisie zo svojho zariadenia.</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 – viď. Článok 28 odsek 1</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Vyššia moc</w:t>
            </w:r>
          </w:p>
          <w:p>
            <w:pPr>
              <w:rPr>
                <w:rFonts w:ascii="Times New Roman" w:hAnsi="Times New Roman" w:cs="Times New Roman"/>
              </w:rPr>
            </w:pPr>
            <w:r>
              <w:rPr>
                <w:rFonts w:ascii="Times New Roman" w:hAnsi="Times New Roman" w:cs="Times New Roman"/>
              </w:rPr>
              <w:t>Počas obdobia uvedeného v článku 11 (1) môžu členské štáty žiadať od Komisie pre určité zariadenia vydanie dodatočných kvót na základe okolností spôsobených vyššou mocou. Komisia určí, či bola vyššia moc preukázaná, v pozitívnom prípade dá členskému štátu oprávnenie vydať dodatočné a neprenosné kvóty prevádzkovateľom týchto zariadení.</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D</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r>
              <w:rPr>
                <w:rFonts w:ascii="Times New Roman" w:hAnsi="Times New Roman" w:cs="Times New Roman"/>
                <w:bCs/>
              </w:rPr>
              <w:t>Netransponuje sa – nejde o povinnú transpozíciu.</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29</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Vyššia moc</w:t>
            </w:r>
          </w:p>
          <w:p>
            <w:pPr>
              <w:rPr>
                <w:rFonts w:ascii="Times New Roman" w:hAnsi="Times New Roman" w:cs="Times New Roman"/>
              </w:rPr>
            </w:pPr>
            <w:r>
              <w:rPr>
                <w:rFonts w:ascii="Times New Roman" w:hAnsi="Times New Roman" w:cs="Times New Roman"/>
              </w:rPr>
              <w:t>Najneskôr do 31. decembra 2003 Komisia bez toho, aby bola dotknutá Zmluva, pripraví usmernenie, kde uvedie okolnosti, podľa ktorých s</w:t>
            </w:r>
            <w:r>
              <w:rPr>
                <w:rFonts w:ascii="Times New Roman" w:hAnsi="Times New Roman" w:cs="Times New Roman"/>
              </w:rPr>
              <w:t>a preukazuje vyššia moc.</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30</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Preskúmanie a ďalší vývoj</w:t>
            </w:r>
          </w:p>
          <w:p>
            <w:pPr>
              <w:rPr>
                <w:rFonts w:ascii="Times New Roman" w:hAnsi="Times New Roman" w:cs="Times New Roman"/>
              </w:rPr>
            </w:pPr>
            <w:r>
              <w:rPr>
                <w:rFonts w:ascii="Times New Roman" w:hAnsi="Times New Roman" w:cs="Times New Roman"/>
              </w:rPr>
              <w:t>Na základe pokroku dosiahnutého pri monitorovaní emisií skleníkových plynov môže Komisia navrhnúť Európskemu parlamentu a Rade do 31. decembra 2004 zmenu a doplnenie prílohy I, aby obsahovala ďalšie činnosti a emisie iných skleníkových plynov uvedených v prílohe II.</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30</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Preskúmanie a ďalší vývoj</w:t>
            </w:r>
          </w:p>
          <w:p>
            <w:pPr>
              <w:pStyle w:val="BodyText"/>
              <w:numPr>
                <w:ilvl w:val="0"/>
                <w:numId w:val="54"/>
              </w:numPr>
              <w:tabs>
                <w:tab w:val="left" w:pos="360"/>
              </w:tabs>
              <w:rPr>
                <w:rFonts w:ascii="Times New Roman" w:hAnsi="Times New Roman" w:cs="Times New Roman"/>
              </w:rPr>
            </w:pPr>
            <w:r>
              <w:rPr>
                <w:rFonts w:ascii="Times New Roman" w:hAnsi="Times New Roman" w:cs="Times New Roman"/>
              </w:rPr>
              <w:t>Na základe skúseností z uplatňovania tejto smernice a pokroku dosiahnutého pri monitorovaní emisií skleníkových plynov a v súvislosti s vývojom v medzinárodnom kontexte vypracuje Komisia správu o uplatňovaní tejto smernice, kde vezme do úvahy:</w:t>
            </w:r>
          </w:p>
          <w:p>
            <w:pPr>
              <w:pStyle w:val="BodyText"/>
              <w:rPr>
                <w:rFonts w:ascii="Times New Roman" w:hAnsi="Times New Roman" w:cs="Times New Roman"/>
              </w:rPr>
            </w:pP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či a ako sa má zmeniť a doplniť príloha I tak, aby zahŕňala aj iné sketory, okrem iného chemický sektor, sektor výroby hliníka a sektro dopravy, činnosti a emisie iných skleníkových plynov uvedených v prílohe II, s ohľadom na ďalšie zlepšenie ekonomickej účinnosti systému;</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vzťah obchodovania s emisnými kvótami v Spoločenstve s medzinárodným obchodovaním s emisnými kvótami, ktoré začne v roku 2008;</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ďalšiu harmonizáciu spôsobu prideľovania (vrátane aukcií pre obdobie od roku 2012) a kritérií pre národné alokačné plány uvedené v prílohe III;</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používanie kreditov z projektových mechanizmov;</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vzťah obchodovania s emisiami k iným politikám a opatreniam implementovaným na úrovni členských štátov a Spoločenstva, vrátane zdanenia, ktoré sleduje rovnaké ciele;</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 xml:space="preserve">či je vhodné aby bol len jeden register Spoločenstva; </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výšku pokút za prekročenie emisií, berúc do úvahy okrem iného aj infláciu;</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fungovanie trhu s kvótami, pokrývajúc najmä možné výkyvy trhu;</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ako prispôsobiť systém obchodovania c Spoločenstve rozšírenej Európskej únii;</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združovanie</w:t>
            </w:r>
          </w:p>
          <w:p>
            <w:pPr>
              <w:pStyle w:val="BodyText"/>
              <w:numPr>
                <w:ilvl w:val="0"/>
                <w:numId w:val="55"/>
              </w:numPr>
              <w:tabs>
                <w:tab w:val="left" w:pos="720"/>
              </w:tabs>
              <w:rPr>
                <w:rFonts w:ascii="Times New Roman" w:hAnsi="Times New Roman" w:cs="Times New Roman"/>
              </w:rPr>
            </w:pPr>
            <w:r>
              <w:rPr>
                <w:rFonts w:ascii="Times New Roman" w:hAnsi="Times New Roman" w:cs="Times New Roman"/>
              </w:rPr>
              <w:t xml:space="preserve">vhodnosť prípravy štandardov na úrovni Spoločenstva ako základ pre prideľovanie kvót, berúc do úvahy najlepšie dostupné techniky </w:t>
            </w:r>
            <w:r>
              <w:rPr>
                <w:rFonts w:ascii="Times New Roman" w:hAnsi="Times New Roman" w:cs="Times New Roman"/>
              </w:rPr>
              <w:t>a anylýzu nákladovej efektívnosti.</w:t>
            </w:r>
          </w:p>
          <w:p>
            <w:pPr>
              <w:pStyle w:val="BodyText"/>
              <w:ind w:left="360"/>
              <w:rPr>
                <w:rFonts w:ascii="Times New Roman" w:hAnsi="Times New Roman" w:cs="Times New Roman"/>
              </w:rPr>
            </w:pPr>
          </w:p>
          <w:p>
            <w:pPr>
              <w:rPr>
                <w:rFonts w:ascii="Times New Roman" w:hAnsi="Times New Roman" w:cs="Times New Roman"/>
              </w:rPr>
            </w:pPr>
            <w:r>
              <w:rPr>
                <w:rFonts w:ascii="Times New Roman" w:hAnsi="Times New Roman" w:cs="Times New Roman"/>
              </w:rPr>
              <w:t>Komisia zašle túto správu Európskemu parlamentu a Rade do 30. júna 2006, spolu s prípadnými návrhmi.</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30</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Preskúmanie a ďalší vývoj</w:t>
            </w:r>
          </w:p>
          <w:p>
            <w:pPr>
              <w:rPr>
                <w:rFonts w:ascii="Times New Roman" w:hAnsi="Times New Roman" w:cs="Times New Roman"/>
              </w:rPr>
            </w:pPr>
            <w:r>
              <w:rPr>
                <w:rFonts w:ascii="Times New Roman" w:hAnsi="Times New Roman" w:cs="Times New Roman"/>
              </w:rPr>
              <w:t>Prepojenie projektových mechanizmov vrátane mechanizmu spoločného plnenia a mechanizmu čistého rozvoja so systémom obchodovania s emisiami skleníkových plynov v Spoločenstve je žiadúce</w:t>
            </w:r>
            <w:r>
              <w:rPr>
                <w:rStyle w:val="FootnoteReference"/>
                <w:rFonts w:ascii="Times New Roman" w:hAnsi="Times New Roman" w:cs="Times New Roman"/>
              </w:rPr>
              <w:t>*</w:t>
            </w:r>
            <w:r>
              <w:rPr>
                <w:rFonts w:ascii="Times New Roman" w:hAnsi="Times New Roman" w:cs="Times New Roman"/>
              </w:rPr>
              <w:t xml:space="preserve"> a dôležité na dosiahnutie cieľov redukcie globálnych emisií skleníkových plynov a zvýšenie efektívneho fungovania systému spoločenstva z hľadiska nákladov. Preto emisné kredity z projektových mechanizmov budú uznávané a použiteľné v tomto systéme na základe opatrení, prijatých Európskym parlamentom a Radou na návrh Komisie, ktoré by sa mali uplatňovať paralelne so systémom obchodovania s emisiami skleníkových plynov v Spoločenstve v roku 2005.</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Implementácia</w:t>
            </w:r>
          </w:p>
          <w:p>
            <w:pPr>
              <w:pStyle w:val="BodyText"/>
              <w:rPr>
                <w:rFonts w:ascii="Times New Roman" w:hAnsi="Times New Roman" w:cs="Times New Roman"/>
              </w:rPr>
            </w:pPr>
            <w:r>
              <w:rPr>
                <w:rFonts w:ascii="Times New Roman" w:hAnsi="Times New Roman" w:cs="Times New Roman"/>
              </w:rPr>
              <w:t>Členské štáty uvedú do platnosti zákony, iné predpisy a administratívne opatrenia potrebné na dosiahnutie súladu s touto smernicou najneskôr do 31. decembra 2003. Okamžite o tom budú informovať Komisiu. Komisia bude informovať o týchto zákonoch, predpisoch a administratívnych opatreniach ostatné členské štáty.</w:t>
            </w:r>
          </w:p>
          <w:p>
            <w:pPr>
              <w:pStyle w:val="BodyText"/>
              <w:rPr>
                <w:rFonts w:ascii="Times New Roman" w:hAnsi="Times New Roman" w:cs="Times New Roman"/>
              </w:rPr>
            </w:pPr>
          </w:p>
          <w:p>
            <w:pPr>
              <w:rPr>
                <w:rFonts w:ascii="Times New Roman" w:hAnsi="Times New Roman" w:cs="Times New Roman"/>
              </w:rPr>
            </w:pPr>
            <w:r>
              <w:rPr>
                <w:rFonts w:ascii="Times New Roman" w:hAnsi="Times New Roman" w:cs="Times New Roman"/>
              </w:rPr>
              <w:t>Keď členské štáty prijmú tieto opatrenia, musia obsahovať odkaz na túto smernicu alebo ich takýto odkaz musí sprevádzať pri príležitosti ich oficiálneho vydania. Členské štáty si určia spôsob akým sa tento odkaz uskutoční.</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31</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Implementácia</w:t>
            </w:r>
          </w:p>
          <w:p>
            <w:pPr>
              <w:pStyle w:val="BodyText"/>
              <w:rPr>
                <w:rFonts w:ascii="Times New Roman" w:hAnsi="Times New Roman" w:cs="Times New Roman"/>
              </w:rPr>
            </w:pPr>
            <w:r>
              <w:rPr>
                <w:rFonts w:ascii="Times New Roman" w:hAnsi="Times New Roman" w:cs="Times New Roman"/>
              </w:rPr>
              <w:t>Členské štáty predložia Komisii texty opatrení národnej legislatívy, ktorú prijali v oblasti, ktorú pokrýva táto smernica. Komisia o týchto predpisoch bude informovať ostatné členské štáty.</w:t>
            </w:r>
          </w:p>
          <w:p>
            <w:pPr>
              <w:rPr>
                <w:rFonts w:ascii="Times New Roman" w:hAnsi="Times New Roman" w:cs="Times New Roman"/>
              </w:rPr>
            </w:pP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32</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iCs/>
              </w:rPr>
            </w:pPr>
            <w:r>
              <w:rPr>
                <w:rFonts w:ascii="Times New Roman" w:hAnsi="Times New Roman" w:cs="Times New Roman"/>
                <w:iCs/>
              </w:rPr>
              <w:t>Nadobudnutie platnosti</w:t>
            </w:r>
          </w:p>
          <w:p>
            <w:pPr>
              <w:pStyle w:val="Footer"/>
              <w:tabs>
                <w:tab w:val="clear" w:pos="4536"/>
                <w:tab w:val="clear" w:pos="9072"/>
              </w:tabs>
              <w:rPr>
                <w:rFonts w:ascii="Times New Roman" w:hAnsi="Times New Roman" w:cs="Times New Roman"/>
                <w:iCs/>
              </w:rPr>
            </w:pPr>
            <w:r>
              <w:rPr>
                <w:rFonts w:ascii="Times New Roman" w:hAnsi="Times New Roman" w:cs="Times New Roman"/>
                <w:iCs/>
              </w:rPr>
              <w:t>Táto smernica nadobudne platnosť dňom jej uverejnenia v Zbierke zákonov Európskej únie.</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33</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Adresáti</w:t>
            </w:r>
          </w:p>
          <w:p>
            <w:pPr>
              <w:rPr>
                <w:rFonts w:ascii="Times New Roman" w:hAnsi="Times New Roman" w:cs="Times New Roman"/>
              </w:rPr>
            </w:pPr>
            <w:r>
              <w:rPr>
                <w:rFonts w:ascii="Times New Roman" w:hAnsi="Times New Roman" w:cs="Times New Roman"/>
              </w:rPr>
              <w:t>Táto smernica je adresovaná členským štá</w:t>
            </w:r>
            <w:r>
              <w:rPr>
                <w:rFonts w:ascii="Times New Roman" w:hAnsi="Times New Roman" w:cs="Times New Roman"/>
              </w:rPr>
              <w:t>tom.</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n.a.</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Cs/>
              </w:rPr>
            </w:pP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Príloha I</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b/>
              </w:rPr>
              <w:t>KATEGÓRIE ČINNOSTÍ UVEDENÉ V ČLÁNKOCH 2 (1), 3, 4, 14(1), 28 A 30</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Príloha č.1</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Zoznam činností</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Príloha II</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b/>
              </w:rPr>
              <w:t>SKLENÍKOVÉ OVÉ PLYNY UVEDENÉ V ČLÁNKOCH 3 A 30</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Príloha č.2</w:t>
            </w:r>
          </w:p>
          <w:p>
            <w:pPr>
              <w:jc w:val="center"/>
              <w:rPr>
                <w:rFonts w:ascii="Times New Roman" w:hAnsi="Times New Roman" w:cs="Times New Roman"/>
                <w:sz w:val="18"/>
              </w:rPr>
            </w:pPr>
            <w:r>
              <w:rPr>
                <w:rFonts w:ascii="Times New Roman" w:hAnsi="Times New Roman" w:cs="Times New Roman"/>
                <w:sz w:val="18"/>
              </w:rPr>
              <w:t>Tabuľka A</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Zoznam sklen</w:t>
            </w:r>
            <w:r>
              <w:rPr>
                <w:rFonts w:ascii="Times New Roman" w:hAnsi="Times New Roman" w:cs="Times New Roman"/>
                <w:bCs w:val="0"/>
              </w:rPr>
              <w:t>íkových plynov</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Príloha III</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b/>
              </w:rPr>
              <w:t>KRITÉRIÁ PRE NÁRODNÉ ALOKAČNÉ PLÁNY UVEDENÉ V ČLÁNKOCH 9, 22 A 30</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Príloha č.3</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Kritériá pre národné plány prideľovania kvót skleníkových plynov</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Príloha IV</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b/>
              </w:rPr>
              <w:t>ZÁSADY MONITOROVANIA A PODÁVANIA SPRÁV UVEDENÉ V ČLÁNKU 14 (1)</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Príloha č.4</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b/>
              </w:rPr>
            </w:pPr>
            <w:r>
              <w:rPr>
                <w:rFonts w:ascii="Times New Roman" w:hAnsi="Times New Roman" w:cs="Times New Roman"/>
                <w:b/>
              </w:rPr>
              <w:t>Zásady monitorovania a podávania správ</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r>
        <w:tblPrEx>
          <w:tblW w:w="14954" w:type="dxa"/>
          <w:tblLayout w:type="fixed"/>
          <w:tblCellMar>
            <w:top w:w="0" w:type="dxa"/>
            <w:left w:w="70" w:type="dxa"/>
            <w:bottom w:w="0" w:type="dxa"/>
            <w:right w:w="70" w:type="dxa"/>
          </w:tblCellMar>
        </w:tblPrEx>
        <w:trPr>
          <w:cantSplit/>
          <w:trHeight w:hRule="auto" w:val="0"/>
        </w:trPr>
        <w:tc>
          <w:tcPr>
            <w:tcW w:w="92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Príloha V</w:t>
            </w:r>
          </w:p>
        </w:tc>
        <w:tc>
          <w:tcPr>
            <w:tcW w:w="3056"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r>
              <w:rPr>
                <w:rFonts w:ascii="Times New Roman" w:hAnsi="Times New Roman" w:cs="Times New Roman"/>
                <w:b/>
              </w:rPr>
              <w:t>KRITÉRIÁ NA OVEROVANIE UVEDENÉ V ČLÁNKU 15</w:t>
            </w:r>
          </w:p>
        </w:tc>
        <w:tc>
          <w:tcPr>
            <w:tcW w:w="77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N</w:t>
            </w:r>
          </w:p>
        </w:tc>
        <w:tc>
          <w:tcPr>
            <w:tcW w:w="992"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rPr>
              <w:t>Návrh zákona</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sz w:val="18"/>
              </w:rPr>
            </w:pPr>
            <w:r>
              <w:rPr>
                <w:rFonts w:ascii="Times New Roman" w:hAnsi="Times New Roman" w:cs="Times New Roman"/>
                <w:sz w:val="18"/>
              </w:rPr>
              <w:t>Príloha č.5</w:t>
            </w:r>
          </w:p>
        </w:tc>
        <w:tc>
          <w:tcPr>
            <w:tcW w:w="382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pStyle w:val="Heading4"/>
              <w:rPr>
                <w:rFonts w:ascii="Times New Roman" w:hAnsi="Times New Roman" w:cs="Times New Roman"/>
                <w:bCs w:val="0"/>
              </w:rPr>
            </w:pPr>
            <w:r>
              <w:rPr>
                <w:rFonts w:ascii="Times New Roman" w:hAnsi="Times New Roman" w:cs="Times New Roman"/>
                <w:bCs w:val="0"/>
              </w:rPr>
              <w:t>Kritériá na overovanie správ</w:t>
            </w:r>
          </w:p>
        </w:tc>
        <w:tc>
          <w:tcPr>
            <w:tcW w:w="851"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Ú</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jc w:val="both"/>
              <w:rPr>
                <w:rFonts w:ascii="Times New Roman" w:hAnsi="Times New Roman" w:cs="Times New Roman"/>
              </w:rPr>
            </w:pPr>
            <w:r>
              <w:rPr>
                <w:rFonts w:ascii="Times New Roman" w:hAnsi="Times New Roman" w:cs="Times New Roman"/>
              </w:rPr>
              <w:t>MŽP SR</w:t>
            </w:r>
          </w:p>
        </w:tc>
        <w:tc>
          <w:tcPr>
            <w:tcW w:w="1134"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l2br w:val="nil"/>
              <w:tr2bl w:val="nil"/>
            </w:tcBorders>
            <w:textDirection w:val="lrTb"/>
            <w:vAlign w:val="top"/>
          </w:tcPr>
          <w:p>
            <w:pPr>
              <w:rPr>
                <w:rFonts w:ascii="Times New Roman" w:hAnsi="Times New Roman" w:cs="Times New Roman"/>
              </w:rPr>
            </w:pPr>
          </w:p>
        </w:tc>
      </w:tr>
    </w:tbl>
    <w:p>
      <w:pPr>
        <w:pStyle w:val="FootnoteText"/>
        <w:rPr>
          <w:rFonts w:ascii="Times New Roman" w:hAnsi="Times New Roman" w:cs="Times New Roman"/>
        </w:rPr>
      </w:pPr>
    </w:p>
    <w:sectPr>
      <w:footerReference w:type="default" r:id="rId5"/>
      <w:type w:val="oddPage"/>
      <w:pgSz w:w="16840" w:h="11907" w:orient="landscape" w:code="9"/>
      <w:pgMar w:top="1418" w:right="1418" w:bottom="1418" w:left="1418" w:header="708" w:footer="70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Tms Rmn">
    <w:altName w:val="Times New Roman"/>
    <w:panose1 w:val="00000000000000000000"/>
    <w:charset w:val="00"/>
    <w:family w:val="roman"/>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18</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 245/2003 Z.z. o integrovanej prevencii a kontrole znečisťovania životného prostredia a o zmene a doplnení niektorých zákonov v znení neskorších predpisov.</w:t>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Zákon č.401/1998 Z.z. o poplatkoch za znečisťovanie ovzdušia v znení neskorších predpisov.</w:t>
      </w:r>
    </w:p>
  </w:footnote>
  <w:footnote w:id="2">
    <w:p>
      <w:pPr>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rPr>
        <w:t xml:space="preserve"> </w:t>
      </w:r>
      <w:r>
        <w:rPr>
          <w:rFonts w:ascii="Times New Roman" w:hAnsi="Times New Roman" w:cs="Times New Roman"/>
          <w:vertAlign w:val="superscript"/>
        </w:rPr>
        <w:t>§ 4 ods. 5 zákona č.</w:t>
      </w:r>
      <w:r>
        <w:rPr>
          <w:rFonts w:ascii="Times New Roman" w:hAnsi="Times New Roman" w:cs="Times New Roman"/>
          <w:vertAlign w:val="superscript"/>
        </w:rPr>
        <w:t xml:space="preserve"> 478/2002 Z.z.. </w:t>
      </w:r>
    </w:p>
    <w:p>
      <w:pPr>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4CD"/>
    <w:multiLevelType w:val="singleLevel"/>
    <w:tmpl w:val="481A7608"/>
    <w:lvl w:ilvl="0">
      <w:start w:val="1"/>
      <w:numFmt w:val="decimal"/>
      <w:lvlText w:val="(%1)"/>
      <w:lvlJc w:val="left"/>
      <w:pPr>
        <w:tabs>
          <w:tab w:val="num" w:pos="1040"/>
        </w:tabs>
        <w:ind w:left="907" w:hanging="227"/>
      </w:pPr>
    </w:lvl>
  </w:abstractNum>
  <w:abstractNum w:abstractNumId="1">
    <w:nsid w:val="011A03CD"/>
    <w:multiLevelType w:val="singleLevel"/>
    <w:tmpl w:val="0D5CCAA0"/>
    <w:lvl w:ilvl="0">
      <w:start w:val="1"/>
      <w:numFmt w:val="lowerLetter"/>
      <w:lvlText w:val="%1) "/>
      <w:legacy w:legacy="1" w:legacySpace="0" w:legacyIndent="283"/>
      <w:lvlJc w:val="left"/>
      <w:pPr>
        <w:ind w:left="283" w:hanging="283"/>
      </w:pPr>
      <w:rPr>
        <w:rFonts w:ascii="Times New Roman" w:hAnsi="Times New Roman"/>
        <w:b w:val="0"/>
        <w:i w:val="0"/>
        <w:sz w:val="20"/>
        <w:u w:val="none"/>
        <w:rtl w:val="0"/>
      </w:rPr>
    </w:lvl>
  </w:abstractNum>
  <w:abstractNum w:abstractNumId="2">
    <w:nsid w:val="01333E7C"/>
    <w:multiLevelType w:val="singleLevel"/>
    <w:tmpl w:val="04050017"/>
    <w:lvl w:ilvl="0">
      <w:start w:val="1"/>
      <w:numFmt w:val="lowerLetter"/>
      <w:lvlText w:val="%1)"/>
      <w:lvlJc w:val="left"/>
      <w:pPr>
        <w:tabs>
          <w:tab w:val="num" w:pos="360"/>
        </w:tabs>
        <w:ind w:left="360" w:hanging="360"/>
      </w:pPr>
    </w:lvl>
  </w:abstractNum>
  <w:abstractNum w:abstractNumId="3">
    <w:nsid w:val="01CC2AFF"/>
    <w:multiLevelType w:val="multilevel"/>
    <w:tmpl w:val="0E66A2A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6F12A8"/>
    <w:multiLevelType w:val="hybridMultilevel"/>
    <w:tmpl w:val="D01AF070"/>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394073A"/>
    <w:multiLevelType w:val="singleLevel"/>
    <w:tmpl w:val="0C090017"/>
    <w:lvl w:ilvl="0">
      <w:start w:val="1"/>
      <w:numFmt w:val="lowerLetter"/>
      <w:lvlText w:val="%1)"/>
      <w:lvlJc w:val="left"/>
      <w:pPr>
        <w:tabs>
          <w:tab w:val="num" w:pos="360"/>
        </w:tabs>
        <w:ind w:left="360" w:hanging="360"/>
      </w:pPr>
    </w:lvl>
  </w:abstractNum>
  <w:abstractNum w:abstractNumId="6">
    <w:nsid w:val="03D40F49"/>
    <w:multiLevelType w:val="singleLevel"/>
    <w:tmpl w:val="12BADF70"/>
    <w:lvl w:ilvl="0">
      <w:start w:val="1"/>
      <w:numFmt w:val="lowerLetter"/>
      <w:lvlText w:val="(%1)"/>
      <w:lvlJc w:val="left"/>
      <w:pPr>
        <w:tabs>
          <w:tab w:val="num" w:pos="720"/>
        </w:tabs>
        <w:ind w:left="720" w:hanging="360"/>
      </w:pPr>
    </w:lvl>
  </w:abstractNum>
  <w:abstractNum w:abstractNumId="7">
    <w:nsid w:val="04531EC4"/>
    <w:multiLevelType w:val="multilevel"/>
    <w:tmpl w:val="B30A23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5A82987"/>
    <w:multiLevelType w:val="hybridMultilevel"/>
    <w:tmpl w:val="41C4550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7DE7BD7"/>
    <w:multiLevelType w:val="singleLevel"/>
    <w:tmpl w:val="54D295B4"/>
    <w:lvl w:ilvl="0">
      <w:start w:val="1"/>
      <w:numFmt w:val="lowerLetter"/>
      <w:pStyle w:val="pismeno"/>
      <w:lvlText w:val="%1)"/>
      <w:lvlJc w:val="left"/>
      <w:pPr>
        <w:tabs>
          <w:tab w:val="num" w:pos="360"/>
        </w:tabs>
        <w:ind w:left="340" w:hanging="340"/>
      </w:pPr>
      <w:rPr>
        <w:caps w:val="0"/>
        <w:strike w:val="0"/>
        <w:dstrike w:val="0"/>
        <w:shadow w:val="0"/>
        <w:emboss w:val="0"/>
        <w:imprint w:val="0"/>
        <w:vanish w:val="0"/>
        <w:color w:val="auto"/>
      </w:rPr>
    </w:lvl>
  </w:abstractNum>
  <w:abstractNum w:abstractNumId="10">
    <w:nsid w:val="08E15905"/>
    <w:multiLevelType w:val="singleLevel"/>
    <w:tmpl w:val="DF9847A8"/>
    <w:lvl w:ilvl="0">
      <w:start w:val="1"/>
      <w:numFmt w:val="decimal"/>
      <w:lvlText w:val="(%1)"/>
      <w:lvlJc w:val="left"/>
      <w:pPr>
        <w:tabs>
          <w:tab w:val="num" w:pos="700"/>
        </w:tabs>
        <w:ind w:left="0" w:firstLine="340"/>
      </w:pPr>
    </w:lvl>
  </w:abstractNum>
  <w:abstractNum w:abstractNumId="11">
    <w:nsid w:val="0A8A7B40"/>
    <w:multiLevelType w:val="singleLevel"/>
    <w:tmpl w:val="1F380E36"/>
    <w:lvl w:ilvl="0">
      <w:start w:val="1"/>
      <w:numFmt w:val="lowerLetter"/>
      <w:lvlText w:val="%1)"/>
      <w:lvlJc w:val="left"/>
      <w:pPr>
        <w:tabs>
          <w:tab w:val="num" w:pos="360"/>
        </w:tabs>
        <w:ind w:left="360" w:hanging="360"/>
      </w:pPr>
    </w:lvl>
  </w:abstractNum>
  <w:abstractNum w:abstractNumId="12">
    <w:nsid w:val="0BED444C"/>
    <w:multiLevelType w:val="singleLevel"/>
    <w:tmpl w:val="0C09000F"/>
    <w:lvl w:ilvl="0">
      <w:start w:val="1"/>
      <w:numFmt w:val="decimal"/>
      <w:lvlText w:val="%1."/>
      <w:lvlJc w:val="left"/>
      <w:pPr>
        <w:tabs>
          <w:tab w:val="num" w:pos="360"/>
        </w:tabs>
        <w:ind w:left="360" w:hanging="360"/>
      </w:pPr>
    </w:lvl>
  </w:abstractNum>
  <w:abstractNum w:abstractNumId="13">
    <w:nsid w:val="12A45979"/>
    <w:multiLevelType w:val="singleLevel"/>
    <w:tmpl w:val="188E832C"/>
    <w:lvl w:ilvl="0">
      <w:start w:val="1"/>
      <w:numFmt w:val="decimal"/>
      <w:lvlText w:val="(%1)"/>
      <w:lvlJc w:val="left"/>
      <w:pPr>
        <w:tabs>
          <w:tab w:val="num" w:pos="700"/>
        </w:tabs>
        <w:ind w:left="0" w:firstLine="340"/>
      </w:pPr>
    </w:lvl>
  </w:abstractNum>
  <w:abstractNum w:abstractNumId="14">
    <w:nsid w:val="12C41A33"/>
    <w:multiLevelType w:val="hybridMultilevel"/>
    <w:tmpl w:val="8BFE32E2"/>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3636C51"/>
    <w:multiLevelType w:val="singleLevel"/>
    <w:tmpl w:val="4C582A4A"/>
    <w:lvl w:ilvl="0">
      <w:start w:val="1"/>
      <w:numFmt w:val="lowerLetter"/>
      <w:lvlText w:val="%1)"/>
      <w:legacy w:legacy="1" w:legacySpace="0" w:legacyIndent="360"/>
      <w:lvlJc w:val="left"/>
      <w:pPr>
        <w:ind w:left="360" w:hanging="360"/>
      </w:pPr>
    </w:lvl>
  </w:abstractNum>
  <w:abstractNum w:abstractNumId="16">
    <w:nsid w:val="13C0520F"/>
    <w:multiLevelType w:val="hybridMultilevel"/>
    <w:tmpl w:val="C1CAFCB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47332A9"/>
    <w:multiLevelType w:val="singleLevel"/>
    <w:tmpl w:val="04050017"/>
    <w:lvl w:ilvl="0">
      <w:start w:val="1"/>
      <w:numFmt w:val="lowerLetter"/>
      <w:lvlText w:val="%1)"/>
      <w:legacy w:legacy="1" w:legacySpace="0" w:legacyIndent="360"/>
      <w:lvlJc w:val="left"/>
      <w:pPr>
        <w:ind w:left="360" w:hanging="360"/>
      </w:pPr>
    </w:lvl>
  </w:abstractNum>
  <w:abstractNum w:abstractNumId="18">
    <w:nsid w:val="14B525A9"/>
    <w:multiLevelType w:val="singleLevel"/>
    <w:tmpl w:val="FE12BBE0"/>
    <w:lvl w:ilvl="0">
      <w:start w:val="2"/>
      <w:numFmt w:val="bullet"/>
      <w:lvlText w:val="-"/>
      <w:lvlJc w:val="left"/>
      <w:pPr>
        <w:tabs>
          <w:tab w:val="num" w:pos="360"/>
        </w:tabs>
        <w:ind w:left="360" w:hanging="360"/>
      </w:pPr>
    </w:lvl>
  </w:abstractNum>
  <w:abstractNum w:abstractNumId="19">
    <w:nsid w:val="16740CBB"/>
    <w:multiLevelType w:val="multilevel"/>
    <w:tmpl w:val="FE327F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8843603"/>
    <w:multiLevelType w:val="hybridMultilevel"/>
    <w:tmpl w:val="930A73C2"/>
    <w:lvl w:ilvl="0">
      <w:start w:val="1"/>
      <w:numFmt w:val="lowerLetter"/>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964342B"/>
    <w:multiLevelType w:val="hybridMultilevel"/>
    <w:tmpl w:val="145C8508"/>
    <w:lvl w:ilvl="0">
      <w:start w:val="1"/>
      <w:numFmt w:val="decimal"/>
      <w:lvlText w:val="(%1)"/>
      <w:lvlJc w:val="left"/>
      <w:pPr>
        <w:tabs>
          <w:tab w:val="num" w:pos="700"/>
        </w:tabs>
        <w:ind w:left="0" w:firstLine="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9D3613F"/>
    <w:multiLevelType w:val="singleLevel"/>
    <w:tmpl w:val="ACF2636C"/>
    <w:lvl w:ilvl="0">
      <w:start w:val="1"/>
      <w:numFmt w:val="lowerLetter"/>
      <w:pStyle w:val="Textpsmene"/>
      <w:lvlText w:val="%1)"/>
      <w:lvlJc w:val="left"/>
      <w:pPr>
        <w:tabs>
          <w:tab w:val="num" w:pos="360"/>
        </w:tabs>
        <w:ind w:left="360" w:hanging="360"/>
      </w:pPr>
    </w:lvl>
  </w:abstractNum>
  <w:abstractNum w:abstractNumId="23">
    <w:nsid w:val="1AAA21B0"/>
    <w:multiLevelType w:val="singleLevel"/>
    <w:tmpl w:val="0C09000F"/>
    <w:lvl w:ilvl="0">
      <w:start w:val="1"/>
      <w:numFmt w:val="decimal"/>
      <w:lvlText w:val="%1."/>
      <w:lvlJc w:val="left"/>
      <w:pPr>
        <w:tabs>
          <w:tab w:val="num" w:pos="360"/>
        </w:tabs>
        <w:ind w:left="360" w:hanging="360"/>
      </w:pPr>
    </w:lvl>
  </w:abstractNum>
  <w:abstractNum w:abstractNumId="24">
    <w:nsid w:val="1B1C2940"/>
    <w:multiLevelType w:val="hybridMultilevel"/>
    <w:tmpl w:val="813AF8B2"/>
    <w:lvl w:ilvl="0">
      <w:start w:val="1"/>
      <w:numFmt w:val="decimal"/>
      <w:lvlText w:val="(%1)"/>
      <w:lvlJc w:val="left"/>
      <w:pPr>
        <w:tabs>
          <w:tab w:val="num" w:pos="700"/>
        </w:tabs>
        <w:ind w:left="0" w:firstLine="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DA32F91"/>
    <w:multiLevelType w:val="singleLevel"/>
    <w:tmpl w:val="1618FE88"/>
    <w:lvl w:ilvl="0">
      <w:start w:val="1"/>
      <w:numFmt w:val="lowerLetter"/>
      <w:lvlText w:val="%1)"/>
      <w:lvlJc w:val="left"/>
      <w:pPr>
        <w:tabs>
          <w:tab w:val="num" w:pos="1267"/>
        </w:tabs>
        <w:ind w:left="1267" w:hanging="360"/>
      </w:pPr>
    </w:lvl>
  </w:abstractNum>
  <w:abstractNum w:abstractNumId="26">
    <w:nsid w:val="1EEB4362"/>
    <w:multiLevelType w:val="singleLevel"/>
    <w:tmpl w:val="8E327CEA"/>
    <w:lvl w:ilvl="0">
      <w:start w:val="1"/>
      <w:numFmt w:val="lowerLetter"/>
      <w:lvlText w:val="%1)"/>
      <w:legacy w:legacy="1" w:legacySpace="0" w:legacyIndent="360"/>
      <w:lvlJc w:val="left"/>
      <w:pPr>
        <w:ind w:left="360" w:hanging="360"/>
      </w:pPr>
    </w:lvl>
  </w:abstractNum>
  <w:abstractNum w:abstractNumId="27">
    <w:nsid w:val="1F361E27"/>
    <w:multiLevelType w:val="hybridMultilevel"/>
    <w:tmpl w:val="0A082BC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FF12740"/>
    <w:multiLevelType w:val="multilevel"/>
    <w:tmpl w:val="D6A042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1591953"/>
    <w:multiLevelType w:val="singleLevel"/>
    <w:tmpl w:val="8CE84B66"/>
    <w:lvl w:ilvl="0">
      <w:start w:val="6"/>
      <w:numFmt w:val="decimal"/>
      <w:lvlText w:val="(%1)"/>
      <w:legacy w:legacy="1" w:legacySpace="0" w:legacyIndent="700"/>
      <w:lvlJc w:val="left"/>
      <w:pPr>
        <w:ind w:left="0"/>
      </w:pPr>
    </w:lvl>
  </w:abstractNum>
  <w:abstractNum w:abstractNumId="30">
    <w:nsid w:val="253B12C5"/>
    <w:multiLevelType w:val="singleLevel"/>
    <w:tmpl w:val="9504340A"/>
    <w:lvl w:ilvl="0">
      <w:start w:val="9"/>
      <w:numFmt w:val="decimal"/>
      <w:lvlText w:val="%1. "/>
      <w:legacy w:legacy="1" w:legacySpace="0" w:legacyIndent="283"/>
      <w:lvlJc w:val="left"/>
      <w:pPr>
        <w:ind w:left="598" w:hanging="283"/>
      </w:pPr>
      <w:rPr>
        <w:rFonts w:ascii="Times New Roman" w:hAnsi="Times New Roman"/>
        <w:b w:val="0"/>
        <w:i w:val="0"/>
        <w:sz w:val="20"/>
        <w:u w:val="none"/>
        <w:rtl w:val="0"/>
      </w:rPr>
    </w:lvl>
  </w:abstractNum>
  <w:abstractNum w:abstractNumId="31">
    <w:nsid w:val="281C02A1"/>
    <w:multiLevelType w:val="singleLevel"/>
    <w:tmpl w:val="0C090019"/>
    <w:lvl w:ilvl="0">
      <w:start w:val="1"/>
      <w:numFmt w:val="lowerLetter"/>
      <w:lvlText w:val="(%1)"/>
      <w:lvlJc w:val="left"/>
      <w:pPr>
        <w:tabs>
          <w:tab w:val="num" w:pos="360"/>
        </w:tabs>
        <w:ind w:left="360" w:hanging="360"/>
      </w:pPr>
    </w:lvl>
  </w:abstractNum>
  <w:abstractNum w:abstractNumId="32">
    <w:nsid w:val="2AF068C5"/>
    <w:multiLevelType w:val="hybridMultilevel"/>
    <w:tmpl w:val="3BAEF2C2"/>
    <w:lvl w:ilvl="0">
      <w:start w:val="1"/>
      <w:numFmt w:val="decimal"/>
      <w:lvlText w:val="(%1)"/>
      <w:lvlJc w:val="left"/>
      <w:pPr>
        <w:tabs>
          <w:tab w:val="num" w:pos="700"/>
        </w:tabs>
        <w:ind w:left="0" w:firstLine="340"/>
      </w:pPr>
      <w:rPr>
        <w:spacing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BF169D5"/>
    <w:multiLevelType w:val="hybridMultilevel"/>
    <w:tmpl w:val="BCC2DF6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C38274F"/>
    <w:multiLevelType w:val="singleLevel"/>
    <w:tmpl w:val="5AD41496"/>
    <w:lvl w:ilvl="0">
      <w:start w:val="1"/>
      <w:numFmt w:val="decimal"/>
      <w:lvlText w:val="%1."/>
      <w:lvlJc w:val="left"/>
      <w:pPr>
        <w:tabs>
          <w:tab w:val="num" w:pos="1500"/>
        </w:tabs>
        <w:ind w:left="1500" w:hanging="360"/>
      </w:pPr>
    </w:lvl>
  </w:abstractNum>
  <w:abstractNum w:abstractNumId="35">
    <w:nsid w:val="30143DB6"/>
    <w:multiLevelType w:val="singleLevel"/>
    <w:tmpl w:val="591265A0"/>
    <w:lvl w:ilvl="0">
      <w:start w:val="6"/>
      <w:numFmt w:val="lowerLetter"/>
      <w:lvlText w:val="%1) "/>
      <w:legacy w:legacy="1" w:legacySpace="0" w:legacyIndent="283"/>
      <w:lvlJc w:val="left"/>
      <w:pPr>
        <w:ind w:left="283" w:hanging="283"/>
      </w:pPr>
      <w:rPr>
        <w:rFonts w:ascii="Times New Roman" w:hAnsi="Times New Roman"/>
        <w:b w:val="0"/>
        <w:i w:val="0"/>
        <w:sz w:val="24"/>
        <w:u w:val="none"/>
        <w:rtl w:val="0"/>
      </w:rPr>
    </w:lvl>
  </w:abstractNum>
  <w:abstractNum w:abstractNumId="36">
    <w:nsid w:val="307F22C0"/>
    <w:multiLevelType w:val="singleLevel"/>
    <w:tmpl w:val="DF9847A8"/>
    <w:lvl w:ilvl="0">
      <w:start w:val="1"/>
      <w:numFmt w:val="decimal"/>
      <w:lvlText w:val="(%1)"/>
      <w:lvlJc w:val="left"/>
      <w:pPr>
        <w:tabs>
          <w:tab w:val="num" w:pos="700"/>
        </w:tabs>
        <w:ind w:left="0" w:firstLine="340"/>
      </w:pPr>
    </w:lvl>
  </w:abstractNum>
  <w:abstractNum w:abstractNumId="37">
    <w:nsid w:val="30F8485E"/>
    <w:multiLevelType w:val="singleLevel"/>
    <w:tmpl w:val="E618AF70"/>
    <w:lvl w:ilvl="0">
      <w:start w:val="1"/>
      <w:numFmt w:val="decimal"/>
      <w:lvlText w:val="%1."/>
      <w:lvlJc w:val="left"/>
      <w:pPr>
        <w:tabs>
          <w:tab w:val="num" w:pos="720"/>
        </w:tabs>
        <w:ind w:left="720" w:hanging="360"/>
      </w:pPr>
    </w:lvl>
  </w:abstractNum>
  <w:abstractNum w:abstractNumId="38">
    <w:nsid w:val="322E52C9"/>
    <w:multiLevelType w:val="multilevel"/>
    <w:tmpl w:val="A0F68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941370E"/>
    <w:multiLevelType w:val="hybridMultilevel"/>
    <w:tmpl w:val="28D83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F9A323E"/>
    <w:multiLevelType w:val="multilevel"/>
    <w:tmpl w:val="519ADB96"/>
    <w:lvl w:ilvl="0">
      <w:start w:val="1"/>
      <w:numFmt w:val="decimal"/>
      <w:lvlText w:val="(%1)"/>
      <w:legacy w:legacy="1" w:legacySpace="0" w:legacyIndent="340"/>
      <w:lvlJc w:val="left"/>
      <w:pPr>
        <w:ind w:left="0"/>
      </w:pPr>
    </w:lvl>
    <w:lvl w:ilvl="1">
      <w:start w:val="1"/>
      <w:numFmt w:val="lowerLetter"/>
      <w:lvlText w:val="%2)"/>
      <w:legacy w:legacy="1" w:legacySpace="113" w:legacyIndent="0"/>
      <w:lvlJc w:val="left"/>
      <w:pPr>
        <w:ind w:left="340" w:firstLine="0"/>
      </w:pPr>
      <w:rPr>
        <w:rFonts w:ascii="Times New Roman" w:hAnsi="Times New Roman"/>
        <w:b w:val="0"/>
        <w:i w:val="0"/>
        <w:strike w:val="0"/>
        <w:sz w:val="24"/>
        <w:rtl w:val="0"/>
      </w:rPr>
    </w:lvl>
    <w:lvl w:ilvl="2">
      <w:start w:val="0"/>
      <w:numFmt w:val="none"/>
      <w:legacy w:legacy="1" w:legacySpace="0" w:legacyIndent="0"/>
      <w:lvlJc w:val="left"/>
      <w:pPr>
        <w:ind w:left="0"/>
      </w:pPr>
      <w:rPr>
        <w:rFonts w:ascii="Tms Rmn" w:hAnsi="Tms Rmn"/>
        <w:rtl w:val="0"/>
      </w:rPr>
    </w:lvl>
    <w:lvl w:ilvl="3">
      <w:start w:val="0"/>
      <w:numFmt w:val="none"/>
      <w:legacy w:legacy="1" w:legacySpace="0" w:legacyIndent="0"/>
      <w:lvlJc w:val="left"/>
      <w:pPr>
        <w:ind w:left="0"/>
      </w:pPr>
      <w:rPr>
        <w:rFonts w:ascii="Tms Rmn" w:hAnsi="Tms Rmn"/>
        <w:rtl w:val="0"/>
      </w:rPr>
    </w:lvl>
    <w:lvl w:ilvl="4">
      <w:start w:val="0"/>
      <w:numFmt w:val="none"/>
      <w:legacy w:legacy="1" w:legacySpace="0" w:legacyIndent="0"/>
      <w:lvlJc w:val="left"/>
      <w:pPr>
        <w:ind w:left="0"/>
      </w:pPr>
      <w:rPr>
        <w:rFonts w:ascii="Tms Rmn" w:hAnsi="Tms Rmn"/>
        <w:rtl w:val="0"/>
      </w:rPr>
    </w:lvl>
    <w:lvl w:ilvl="5">
      <w:start w:val="0"/>
      <w:numFmt w:val="none"/>
      <w:legacy w:legacy="1" w:legacySpace="0" w:legacyIndent="0"/>
      <w:lvlJc w:val="left"/>
      <w:pPr>
        <w:ind w:left="0"/>
      </w:pPr>
      <w:rPr>
        <w:rFonts w:ascii="Tms Rmn" w:hAnsi="Tms Rmn"/>
        <w:rtl w:val="0"/>
      </w:rPr>
    </w:lvl>
    <w:lvl w:ilvl="6">
      <w:start w:val="0"/>
      <w:numFmt w:val="none"/>
      <w:legacy w:legacy="1" w:legacySpace="0" w:legacyIndent="0"/>
      <w:lvlJc w:val="left"/>
      <w:pPr>
        <w:ind w:left="0"/>
      </w:pPr>
      <w:rPr>
        <w:rFonts w:ascii="Tms Rmn" w:hAnsi="Tms Rmn"/>
        <w:rtl w:val="0"/>
      </w:rPr>
    </w:lvl>
    <w:lvl w:ilvl="7">
      <w:start w:val="0"/>
      <w:numFmt w:val="none"/>
      <w:legacy w:legacy="1" w:legacySpace="0" w:legacyIndent="0"/>
      <w:lvlJc w:val="left"/>
      <w:pPr>
        <w:ind w:left="0"/>
      </w:pPr>
      <w:rPr>
        <w:rFonts w:ascii="Tms Rmn" w:hAnsi="Tms Rmn"/>
        <w:rtl w:val="0"/>
      </w:rPr>
    </w:lvl>
    <w:lvl w:ilvl="8">
      <w:start w:val="0"/>
      <w:numFmt w:val="none"/>
      <w:legacy w:legacy="1" w:legacySpace="0" w:legacyIndent="0"/>
      <w:lvlJc w:val="left"/>
      <w:pPr>
        <w:ind w:left="0"/>
      </w:pPr>
      <w:rPr>
        <w:rFonts w:ascii="Tms Rmn" w:hAnsi="Tms Rmn"/>
        <w:rtl w:val="0"/>
      </w:rPr>
    </w:lvl>
  </w:abstractNum>
  <w:abstractNum w:abstractNumId="41">
    <w:nsid w:val="406B0E26"/>
    <w:multiLevelType w:val="singleLevel"/>
    <w:tmpl w:val="C428C484"/>
    <w:lvl w:ilvl="0">
      <w:start w:val="1"/>
      <w:numFmt w:val="lowerLetter"/>
      <w:lvlText w:val="%1)"/>
      <w:lvlJc w:val="left"/>
      <w:pPr>
        <w:tabs>
          <w:tab w:val="num" w:pos="360"/>
        </w:tabs>
        <w:ind w:left="360" w:hanging="360"/>
      </w:pPr>
    </w:lvl>
  </w:abstractNum>
  <w:abstractNum w:abstractNumId="42">
    <w:nsid w:val="414A6E34"/>
    <w:multiLevelType w:val="hybridMultilevel"/>
    <w:tmpl w:val="4C34CB6A"/>
    <w:lvl w:ilvl="0">
      <w:start w:val="3"/>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3">
    <w:nsid w:val="422714DC"/>
    <w:multiLevelType w:val="multilevel"/>
    <w:tmpl w:val="E6B090C6"/>
    <w:lvl w:ilvl="0">
      <w:start w:val="8"/>
      <w:numFmt w:val="decimal"/>
      <w:lvlText w:val="(%1)"/>
      <w:lvlJc w:val="left"/>
      <w:pPr>
        <w:tabs>
          <w:tab w:val="num" w:pos="660"/>
        </w:tabs>
        <w:ind w:left="660" w:hanging="540"/>
      </w:p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4">
    <w:nsid w:val="43C40832"/>
    <w:multiLevelType w:val="singleLevel"/>
    <w:tmpl w:val="269E0206"/>
    <w:lvl w:ilvl="0">
      <w:start w:val="1"/>
      <w:numFmt w:val="lowerLetter"/>
      <w:lvlText w:val="%1)"/>
      <w:lvlJc w:val="left"/>
      <w:pPr>
        <w:tabs>
          <w:tab w:val="num" w:pos="360"/>
        </w:tabs>
        <w:ind w:left="360" w:hanging="360"/>
      </w:pPr>
    </w:lvl>
  </w:abstractNum>
  <w:abstractNum w:abstractNumId="45">
    <w:nsid w:val="44925B4B"/>
    <w:multiLevelType w:val="hybridMultilevel"/>
    <w:tmpl w:val="239C661A"/>
    <w:lvl w:ilvl="0">
      <w:start w:val="1"/>
      <w:numFmt w:val="lowerLetter"/>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5E81DC2"/>
    <w:multiLevelType w:val="singleLevel"/>
    <w:tmpl w:val="2902A672"/>
    <w:lvl w:ilvl="0">
      <w:start w:val="1"/>
      <w:numFmt w:val="decimal"/>
      <w:lvlText w:val="(%1)"/>
      <w:legacy w:legacy="1" w:legacySpace="0" w:legacyIndent="360"/>
      <w:lvlJc w:val="left"/>
      <w:pPr>
        <w:ind w:left="360" w:hanging="360"/>
      </w:pPr>
    </w:lvl>
  </w:abstractNum>
  <w:abstractNum w:abstractNumId="47">
    <w:nsid w:val="45F20DB9"/>
    <w:multiLevelType w:val="singleLevel"/>
    <w:tmpl w:val="0C09000F"/>
    <w:lvl w:ilvl="0">
      <w:start w:val="1"/>
      <w:numFmt w:val="decimal"/>
      <w:lvlText w:val="%1."/>
      <w:lvlJc w:val="left"/>
      <w:pPr>
        <w:tabs>
          <w:tab w:val="num" w:pos="360"/>
        </w:tabs>
        <w:ind w:left="360" w:hanging="360"/>
      </w:pPr>
    </w:lvl>
  </w:abstractNum>
  <w:abstractNum w:abstractNumId="48">
    <w:nsid w:val="46C8371F"/>
    <w:multiLevelType w:val="multilevel"/>
    <w:tmpl w:val="C84EE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CF87E73"/>
    <w:multiLevelType w:val="multilevel"/>
    <w:tmpl w:val="638E9FB4"/>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DAA3FDE"/>
    <w:multiLevelType w:val="singleLevel"/>
    <w:tmpl w:val="5A90A968"/>
    <w:lvl w:ilvl="0">
      <w:start w:val="1"/>
      <w:numFmt w:val="decimal"/>
      <w:lvlText w:val="(%1)"/>
      <w:lvlJc w:val="left"/>
      <w:pPr>
        <w:tabs>
          <w:tab w:val="num" w:pos="1040"/>
        </w:tabs>
        <w:ind w:left="907" w:hanging="227"/>
      </w:pPr>
    </w:lvl>
  </w:abstractNum>
  <w:abstractNum w:abstractNumId="51">
    <w:nsid w:val="4FDA3738"/>
    <w:multiLevelType w:val="hybridMultilevel"/>
    <w:tmpl w:val="538EE33A"/>
    <w:lvl w:ilvl="0">
      <w:start w:val="1"/>
      <w:numFmt w:val="lowerLetter"/>
      <w:lvlText w:val="%1)"/>
      <w:lvlJc w:val="left"/>
      <w:pPr>
        <w:tabs>
          <w:tab w:val="num" w:pos="700"/>
        </w:tabs>
        <w:ind w:left="697" w:hanging="357"/>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52">
    <w:nsid w:val="4FF10AAC"/>
    <w:multiLevelType w:val="singleLevel"/>
    <w:tmpl w:val="0C09000F"/>
    <w:lvl w:ilvl="0">
      <w:start w:val="1"/>
      <w:numFmt w:val="decimal"/>
      <w:lvlText w:val="%1."/>
      <w:lvlJc w:val="left"/>
      <w:pPr>
        <w:tabs>
          <w:tab w:val="num" w:pos="360"/>
        </w:tabs>
        <w:ind w:left="360" w:hanging="360"/>
      </w:pPr>
    </w:lvl>
  </w:abstractNum>
  <w:abstractNum w:abstractNumId="53">
    <w:nsid w:val="520E3A24"/>
    <w:multiLevelType w:val="singleLevel"/>
    <w:tmpl w:val="561A87C4"/>
    <w:lvl w:ilvl="0">
      <w:start w:val="1"/>
      <w:numFmt w:val="lowerLetter"/>
      <w:lvlText w:val="%1)"/>
      <w:lvlJc w:val="left"/>
      <w:pPr>
        <w:tabs>
          <w:tab w:val="num" w:pos="360"/>
        </w:tabs>
        <w:ind w:left="360" w:hanging="360"/>
      </w:pPr>
    </w:lvl>
  </w:abstractNum>
  <w:abstractNum w:abstractNumId="54">
    <w:nsid w:val="53121111"/>
    <w:multiLevelType w:val="singleLevel"/>
    <w:tmpl w:val="B80E7DF2"/>
    <w:lvl w:ilvl="0">
      <w:start w:val="3"/>
      <w:numFmt w:val="lowerLetter"/>
      <w:lvlText w:val="%1)"/>
      <w:legacy w:legacy="1" w:legacySpace="0" w:legacyIndent="360"/>
      <w:lvlJc w:val="left"/>
      <w:pPr>
        <w:ind w:left="360" w:hanging="360"/>
      </w:pPr>
    </w:lvl>
  </w:abstractNum>
  <w:abstractNum w:abstractNumId="55">
    <w:nsid w:val="537A37A0"/>
    <w:multiLevelType w:val="hybridMultilevel"/>
    <w:tmpl w:val="62EC6DD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557F286F"/>
    <w:multiLevelType w:val="hybridMultilevel"/>
    <w:tmpl w:val="DA0E0CAC"/>
    <w:lvl w:ilvl="0">
      <w:start w:val="1"/>
      <w:numFmt w:val="decimal"/>
      <w:lvlText w:val="(%1)"/>
      <w:lvlJc w:val="left"/>
      <w:pPr>
        <w:tabs>
          <w:tab w:val="num" w:pos="700"/>
        </w:tabs>
        <w:ind w:left="0" w:firstLine="340"/>
      </w:pPr>
    </w:lvl>
    <w:lvl w:ilvl="1">
      <w:start w:val="1"/>
      <w:numFmt w:val="lowerLetter"/>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63A4219"/>
    <w:multiLevelType w:val="hybridMultilevel"/>
    <w:tmpl w:val="ED8CD362"/>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59DD48F9"/>
    <w:multiLevelType w:val="hybridMultilevel"/>
    <w:tmpl w:val="94BA418E"/>
    <w:lvl w:ilvl="0">
      <w:start w:val="1"/>
      <w:numFmt w:val="decimal"/>
      <w:lvlText w:val="(%1)"/>
      <w:lvlJc w:val="left"/>
      <w:pPr>
        <w:tabs>
          <w:tab w:val="num" w:pos="700"/>
        </w:tabs>
        <w:ind w:left="0" w:firstLine="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5BB04BD1"/>
    <w:multiLevelType w:val="hybridMultilevel"/>
    <w:tmpl w:val="DB76C752"/>
    <w:lvl w:ilvl="0">
      <w:start w:val="14"/>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0">
    <w:nsid w:val="61AA766B"/>
    <w:multiLevelType w:val="hybridMultilevel"/>
    <w:tmpl w:val="6A06C768"/>
    <w:lvl w:ilvl="0">
      <w:start w:val="1"/>
      <w:numFmt w:val="decimal"/>
      <w:lvlText w:val="(%1)"/>
      <w:lvlJc w:val="left"/>
      <w:pPr>
        <w:tabs>
          <w:tab w:val="num" w:pos="700"/>
        </w:tabs>
        <w:ind w:left="340" w:firstLine="0"/>
      </w:pPr>
    </w:lvl>
    <w:lvl w:ilvl="1">
      <w:start w:val="1"/>
      <w:numFmt w:val="lowerLetter"/>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2DB3686"/>
    <w:multiLevelType w:val="singleLevel"/>
    <w:tmpl w:val="0C090017"/>
    <w:lvl w:ilvl="0">
      <w:start w:val="1"/>
      <w:numFmt w:val="lowerLetter"/>
      <w:lvlText w:val="%1)"/>
      <w:lvlJc w:val="left"/>
      <w:pPr>
        <w:tabs>
          <w:tab w:val="num" w:pos="360"/>
        </w:tabs>
        <w:ind w:left="360" w:hanging="360"/>
      </w:pPr>
    </w:lvl>
  </w:abstractNum>
  <w:abstractNum w:abstractNumId="62">
    <w:nsid w:val="634A601A"/>
    <w:multiLevelType w:val="singleLevel"/>
    <w:tmpl w:val="135055EE"/>
    <w:lvl w:ilvl="0">
      <w:start w:val="3"/>
      <w:numFmt w:val="lowerLetter"/>
      <w:lvlText w:val="%1)"/>
      <w:legacy w:legacy="1" w:legacySpace="0" w:legacyIndent="360"/>
      <w:lvlJc w:val="left"/>
      <w:pPr>
        <w:ind w:left="360" w:hanging="360"/>
      </w:pPr>
    </w:lvl>
  </w:abstractNum>
  <w:abstractNum w:abstractNumId="63">
    <w:nsid w:val="63C37EC4"/>
    <w:multiLevelType w:val="multilevel"/>
    <w:tmpl w:val="9F18E2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3F15C54"/>
    <w:multiLevelType w:val="singleLevel"/>
    <w:tmpl w:val="F85C6E64"/>
    <w:lvl w:ilvl="0">
      <w:start w:val="1"/>
      <w:numFmt w:val="lowerLetter"/>
      <w:lvlText w:val="%1)"/>
      <w:lvlJc w:val="left"/>
      <w:pPr>
        <w:tabs>
          <w:tab w:val="num" w:pos="360"/>
        </w:tabs>
        <w:ind w:left="360" w:hanging="360"/>
      </w:pPr>
    </w:lvl>
  </w:abstractNum>
  <w:abstractNum w:abstractNumId="65">
    <w:nsid w:val="647229CA"/>
    <w:multiLevelType w:val="singleLevel"/>
    <w:tmpl w:val="D6B44574"/>
    <w:lvl w:ilvl="0">
      <w:start w:val="1"/>
      <w:numFmt w:val="lowerLetter"/>
      <w:lvlText w:val="(%1)"/>
      <w:lvlJc w:val="left"/>
      <w:pPr>
        <w:tabs>
          <w:tab w:val="num" w:pos="1080"/>
        </w:tabs>
        <w:ind w:left="1080" w:hanging="360"/>
      </w:pPr>
    </w:lvl>
  </w:abstractNum>
  <w:abstractNum w:abstractNumId="66">
    <w:nsid w:val="65C500D0"/>
    <w:multiLevelType w:val="singleLevel"/>
    <w:tmpl w:val="B02AE29E"/>
    <w:lvl w:ilvl="0">
      <w:start w:val="1"/>
      <w:numFmt w:val="lowerLetter"/>
      <w:lvlText w:val="%1)"/>
      <w:lvlJc w:val="left"/>
      <w:pPr>
        <w:tabs>
          <w:tab w:val="num" w:pos="360"/>
        </w:tabs>
        <w:ind w:left="360" w:hanging="360"/>
      </w:pPr>
    </w:lvl>
  </w:abstractNum>
  <w:abstractNum w:abstractNumId="67">
    <w:nsid w:val="67A14C3D"/>
    <w:multiLevelType w:val="multilevel"/>
    <w:tmpl w:val="8C40E1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8932BE0"/>
    <w:multiLevelType w:val="hybridMultilevel"/>
    <w:tmpl w:val="CB42363C"/>
    <w:lvl w:ilvl="0">
      <w:start w:val="1"/>
      <w:numFmt w:val="decimal"/>
      <w:lvlText w:val="(%1)"/>
      <w:lvlJc w:val="left"/>
      <w:pPr>
        <w:tabs>
          <w:tab w:val="num" w:pos="700"/>
        </w:tabs>
        <w:ind w:left="0" w:firstLine="340"/>
      </w:pPr>
      <w:rPr>
        <w:spacing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6ACF4EC1"/>
    <w:multiLevelType w:val="singleLevel"/>
    <w:tmpl w:val="0C090019"/>
    <w:lvl w:ilvl="0">
      <w:start w:val="1"/>
      <w:numFmt w:val="lowerLetter"/>
      <w:lvlText w:val="(%1)"/>
      <w:lvlJc w:val="left"/>
      <w:pPr>
        <w:tabs>
          <w:tab w:val="num" w:pos="360"/>
        </w:tabs>
        <w:ind w:left="360" w:hanging="360"/>
      </w:pPr>
    </w:lvl>
  </w:abstractNum>
  <w:abstractNum w:abstractNumId="70">
    <w:nsid w:val="6BAE52A9"/>
    <w:multiLevelType w:val="singleLevel"/>
    <w:tmpl w:val="C2887A88"/>
    <w:lvl w:ilvl="0">
      <w:start w:val="4"/>
      <w:numFmt w:val="lowerLetter"/>
      <w:lvlText w:val="%1) "/>
      <w:legacy w:legacy="1" w:legacySpace="0" w:legacyIndent="283"/>
      <w:lvlJc w:val="left"/>
      <w:pPr>
        <w:ind w:left="283" w:hanging="283"/>
      </w:pPr>
      <w:rPr>
        <w:rFonts w:ascii="Times New Roman" w:hAnsi="Times New Roman"/>
        <w:b w:val="0"/>
        <w:i w:val="0"/>
        <w:sz w:val="20"/>
        <w:u w:val="none"/>
        <w:rtl w:val="0"/>
      </w:rPr>
    </w:lvl>
  </w:abstractNum>
  <w:abstractNum w:abstractNumId="71">
    <w:nsid w:val="6D175A5B"/>
    <w:multiLevelType w:val="singleLevel"/>
    <w:tmpl w:val="2D58018A"/>
    <w:lvl w:ilvl="0">
      <w:start w:val="1"/>
      <w:numFmt w:val="lowerLetter"/>
      <w:lvlText w:val="(%1)"/>
      <w:lvlJc w:val="left"/>
      <w:pPr>
        <w:tabs>
          <w:tab w:val="num" w:pos="720"/>
        </w:tabs>
        <w:ind w:left="720" w:hanging="360"/>
      </w:pPr>
    </w:lvl>
  </w:abstractNum>
  <w:abstractNum w:abstractNumId="72">
    <w:nsid w:val="6D495770"/>
    <w:multiLevelType w:val="singleLevel"/>
    <w:tmpl w:val="5DC4910A"/>
    <w:lvl w:ilvl="0">
      <w:start w:val="1"/>
      <w:numFmt w:val="lowerLetter"/>
      <w:lvlText w:val="%1)"/>
      <w:lvlJc w:val="left"/>
      <w:pPr>
        <w:tabs>
          <w:tab w:val="num" w:pos="360"/>
        </w:tabs>
        <w:ind w:left="360" w:hanging="360"/>
      </w:pPr>
    </w:lvl>
  </w:abstractNum>
  <w:abstractNum w:abstractNumId="73">
    <w:nsid w:val="6D7571D6"/>
    <w:multiLevelType w:val="singleLevel"/>
    <w:tmpl w:val="0C09000F"/>
    <w:lvl w:ilvl="0">
      <w:start w:val="1"/>
      <w:numFmt w:val="decimal"/>
      <w:lvlText w:val="%1."/>
      <w:lvlJc w:val="left"/>
      <w:pPr>
        <w:tabs>
          <w:tab w:val="num" w:pos="360"/>
        </w:tabs>
        <w:ind w:left="360" w:hanging="360"/>
      </w:pPr>
    </w:lvl>
  </w:abstractNum>
  <w:abstractNum w:abstractNumId="74">
    <w:nsid w:val="71447CF8"/>
    <w:multiLevelType w:val="singleLevel"/>
    <w:tmpl w:val="25B88320"/>
    <w:lvl w:ilvl="0">
      <w:start w:val="1"/>
      <w:numFmt w:val="lowerLetter"/>
      <w:lvlText w:val="%1)"/>
      <w:lvlJc w:val="left"/>
      <w:pPr>
        <w:tabs>
          <w:tab w:val="num" w:pos="360"/>
        </w:tabs>
        <w:ind w:left="360" w:hanging="360"/>
      </w:pPr>
    </w:lvl>
  </w:abstractNum>
  <w:abstractNum w:abstractNumId="75">
    <w:nsid w:val="73C51ADC"/>
    <w:multiLevelType w:val="hybridMultilevel"/>
    <w:tmpl w:val="4BEC2AE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75213A0D"/>
    <w:multiLevelType w:val="hybridMultilevel"/>
    <w:tmpl w:val="9FB428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75DE107B"/>
    <w:multiLevelType w:val="singleLevel"/>
    <w:tmpl w:val="C038C030"/>
    <w:lvl w:ilvl="0">
      <w:start w:val="1"/>
      <w:numFmt w:val="decimal"/>
      <w:lvlText w:val="%1. "/>
      <w:legacy w:legacy="1" w:legacySpace="0" w:legacyIndent="283"/>
      <w:lvlJc w:val="left"/>
      <w:pPr>
        <w:ind w:left="283" w:hanging="283"/>
      </w:pPr>
      <w:rPr>
        <w:rFonts w:ascii="Times New Roman" w:hAnsi="Times New Roman"/>
        <w:b w:val="0"/>
        <w:i w:val="0"/>
        <w:sz w:val="20"/>
        <w:u w:val="none"/>
        <w:rtl w:val="0"/>
      </w:rPr>
    </w:lvl>
  </w:abstractNum>
  <w:abstractNum w:abstractNumId="78">
    <w:nsid w:val="76155AEB"/>
    <w:multiLevelType w:val="singleLevel"/>
    <w:tmpl w:val="0C09000F"/>
    <w:lvl w:ilvl="0">
      <w:start w:val="1"/>
      <w:numFmt w:val="decimal"/>
      <w:lvlText w:val="%1."/>
      <w:lvlJc w:val="left"/>
      <w:pPr>
        <w:tabs>
          <w:tab w:val="num" w:pos="360"/>
        </w:tabs>
        <w:ind w:left="360" w:hanging="360"/>
      </w:pPr>
    </w:lvl>
  </w:abstractNum>
  <w:abstractNum w:abstractNumId="79">
    <w:nsid w:val="779E3B08"/>
    <w:multiLevelType w:val="hybridMultilevel"/>
    <w:tmpl w:val="87E00432"/>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7A6667F4"/>
    <w:multiLevelType w:val="singleLevel"/>
    <w:tmpl w:val="0C09000F"/>
    <w:lvl w:ilvl="0">
      <w:start w:val="1"/>
      <w:numFmt w:val="decimal"/>
      <w:lvlText w:val="%1."/>
      <w:lvlJc w:val="left"/>
      <w:pPr>
        <w:tabs>
          <w:tab w:val="num" w:pos="360"/>
        </w:tabs>
        <w:ind w:left="360" w:hanging="360"/>
      </w:pPr>
    </w:lvl>
  </w:abstractNum>
  <w:abstractNum w:abstractNumId="81">
    <w:nsid w:val="7CAB7312"/>
    <w:multiLevelType w:val="hybridMultilevel"/>
    <w:tmpl w:val="9704E4BE"/>
    <w:lvl w:ilvl="0">
      <w:start w:val="1"/>
      <w:numFmt w:val="decimal"/>
      <w:lvlText w:val="(%1)"/>
      <w:lvlJc w:val="left"/>
      <w:pPr>
        <w:tabs>
          <w:tab w:val="num" w:pos="700"/>
        </w:tabs>
        <w:ind w:left="34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7CF47A65"/>
    <w:multiLevelType w:val="singleLevel"/>
    <w:tmpl w:val="188E832C"/>
    <w:lvl w:ilvl="0">
      <w:start w:val="1"/>
      <w:numFmt w:val="decimal"/>
      <w:lvlText w:val="(%1)"/>
      <w:lvlJc w:val="left"/>
      <w:pPr>
        <w:tabs>
          <w:tab w:val="num" w:pos="700"/>
        </w:tabs>
        <w:ind w:left="0" w:firstLine="340"/>
      </w:pPr>
    </w:lvl>
  </w:abstractNum>
  <w:abstractNum w:abstractNumId="83">
    <w:nsid w:val="7EE9129E"/>
    <w:multiLevelType w:val="multilevel"/>
    <w:tmpl w:val="91DE5AE2"/>
    <w:lvl w:ilvl="0">
      <w:start w:val="1"/>
      <w:numFmt w:val="decimal"/>
      <w:lvlText w:val="(%1)"/>
      <w:lvlJc w:val="left"/>
      <w:pPr>
        <w:tabs>
          <w:tab w:val="num" w:pos="600"/>
        </w:tabs>
        <w:ind w:left="6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70"/>
  </w:num>
  <w:num w:numId="3">
    <w:abstractNumId w:val="26"/>
  </w:num>
  <w:num w:numId="4">
    <w:abstractNumId w:val="26"/>
    <w:lvlOverride w:ilvl="0">
      <w:lvl w:ilvl="0">
        <w:start w:val="2"/>
        <w:numFmt w:val="lowerLetter"/>
        <w:lvlText w:val="%1)"/>
        <w:legacy w:legacy="1" w:legacySpace="0" w:legacyIndent="360"/>
        <w:lvlJc w:val="left"/>
        <w:pPr>
          <w:ind w:left="360" w:hanging="360"/>
        </w:pPr>
      </w:lvl>
    </w:lvlOverride>
  </w:num>
  <w:num w:numId="5">
    <w:abstractNumId w:val="54"/>
  </w:num>
  <w:num w:numId="6">
    <w:abstractNumId w:val="30"/>
  </w:num>
  <w:num w:numId="7">
    <w:abstractNumId w:val="77"/>
  </w:num>
  <w:num w:numId="8">
    <w:abstractNumId w:val="43"/>
  </w:num>
  <w:num w:numId="9">
    <w:abstractNumId w:val="35"/>
  </w:num>
  <w:num w:numId="10">
    <w:abstractNumId w:val="15"/>
  </w:num>
  <w:num w:numId="11">
    <w:abstractNumId w:val="15"/>
    <w:lvlOverride w:ilvl="0">
      <w:lvl w:ilvl="0">
        <w:start w:val="2"/>
        <w:numFmt w:val="lowerLetter"/>
        <w:lvlText w:val="%1)"/>
        <w:legacy w:legacy="1" w:legacySpace="0" w:legacyIndent="360"/>
        <w:lvlJc w:val="left"/>
        <w:pPr>
          <w:ind w:left="360" w:hanging="360"/>
        </w:pPr>
      </w:lvl>
    </w:lvlOverride>
  </w:num>
  <w:num w:numId="12">
    <w:abstractNumId w:val="62"/>
  </w:num>
  <w:num w:numId="13">
    <w:abstractNumId w:val="38"/>
  </w:num>
  <w:num w:numId="14">
    <w:abstractNumId w:val="7"/>
  </w:num>
  <w:num w:numId="15">
    <w:abstractNumId w:val="3"/>
  </w:num>
  <w:num w:numId="16">
    <w:abstractNumId w:val="49"/>
  </w:num>
  <w:num w:numId="17">
    <w:abstractNumId w:val="19"/>
  </w:num>
  <w:num w:numId="18">
    <w:abstractNumId w:val="67"/>
  </w:num>
  <w:num w:numId="19">
    <w:abstractNumId w:val="48"/>
  </w:num>
  <w:num w:numId="20">
    <w:abstractNumId w:val="63"/>
  </w:num>
  <w:num w:numId="21">
    <w:abstractNumId w:val="28"/>
  </w:num>
  <w:num w:numId="22">
    <w:abstractNumId w:val="18"/>
  </w:num>
  <w:num w:numId="23">
    <w:abstractNumId w:val="0"/>
  </w:num>
  <w:num w:numId="24">
    <w:abstractNumId w:val="46"/>
  </w:num>
  <w:num w:numId="25">
    <w:abstractNumId w:val="9"/>
  </w:num>
  <w:num w:numId="26">
    <w:abstractNumId w:val="0"/>
    <w:lvlOverride w:ilvl="0">
      <w:startOverride w:val="1"/>
    </w:lvlOverride>
  </w:num>
  <w:num w:numId="27">
    <w:abstractNumId w:val="9"/>
    <w:lvlOverride w:ilvl="0">
      <w:startOverride w:val="1"/>
    </w:lvlOverride>
  </w:num>
  <w:num w:numId="28">
    <w:abstractNumId w:val="11"/>
  </w:num>
  <w:num w:numId="29">
    <w:abstractNumId w:val="74"/>
  </w:num>
  <w:num w:numId="30">
    <w:abstractNumId w:val="25"/>
  </w:num>
  <w:num w:numId="31">
    <w:abstractNumId w:val="50"/>
  </w:num>
  <w:num w:numId="32">
    <w:abstractNumId w:val="72"/>
  </w:num>
  <w:num w:numId="33">
    <w:abstractNumId w:val="22"/>
  </w:num>
  <w:num w:numId="34">
    <w:abstractNumId w:val="53"/>
  </w:num>
  <w:num w:numId="35">
    <w:abstractNumId w:val="44"/>
  </w:num>
  <w:num w:numId="36">
    <w:abstractNumId w:val="42"/>
  </w:num>
  <w:num w:numId="37">
    <w:abstractNumId w:val="0"/>
    <w:lvlOverride w:ilvl="0"/>
  </w:num>
  <w:num w:numId="38">
    <w:abstractNumId w:val="83"/>
  </w:num>
  <w:num w:numId="39">
    <w:abstractNumId w:val="52"/>
  </w:num>
  <w:num w:numId="40">
    <w:abstractNumId w:val="8"/>
  </w:num>
  <w:num w:numId="41">
    <w:abstractNumId w:val="5"/>
  </w:num>
  <w:num w:numId="42">
    <w:abstractNumId w:val="69"/>
  </w:num>
  <w:num w:numId="43">
    <w:abstractNumId w:val="12"/>
  </w:num>
  <w:num w:numId="44">
    <w:abstractNumId w:val="61"/>
  </w:num>
  <w:num w:numId="45">
    <w:abstractNumId w:val="78"/>
  </w:num>
  <w:num w:numId="46">
    <w:abstractNumId w:val="31"/>
  </w:num>
  <w:num w:numId="47">
    <w:abstractNumId w:val="80"/>
  </w:num>
  <w:num w:numId="48">
    <w:abstractNumId w:val="47"/>
  </w:num>
  <w:num w:numId="49">
    <w:abstractNumId w:val="39"/>
  </w:num>
  <w:num w:numId="50">
    <w:abstractNumId w:val="23"/>
  </w:num>
  <w:num w:numId="51">
    <w:abstractNumId w:val="6"/>
  </w:num>
  <w:num w:numId="52">
    <w:abstractNumId w:val="37"/>
  </w:num>
  <w:num w:numId="53">
    <w:abstractNumId w:val="65"/>
  </w:num>
  <w:num w:numId="54">
    <w:abstractNumId w:val="73"/>
  </w:num>
  <w:num w:numId="55">
    <w:abstractNumId w:val="71"/>
  </w:num>
  <w:num w:numId="56">
    <w:abstractNumId w:val="20"/>
  </w:num>
  <w:num w:numId="57">
    <w:abstractNumId w:val="68"/>
  </w:num>
  <w:num w:numId="58">
    <w:abstractNumId w:val="36"/>
  </w:num>
  <w:num w:numId="59">
    <w:abstractNumId w:val="41"/>
  </w:num>
  <w:num w:numId="60">
    <w:abstractNumId w:val="10"/>
  </w:num>
  <w:num w:numId="61">
    <w:abstractNumId w:val="76"/>
  </w:num>
  <w:num w:numId="62">
    <w:abstractNumId w:val="32"/>
  </w:num>
  <w:num w:numId="63">
    <w:abstractNumId w:val="55"/>
  </w:num>
  <w:num w:numId="64">
    <w:abstractNumId w:val="56"/>
  </w:num>
  <w:num w:numId="65">
    <w:abstractNumId w:val="21"/>
  </w:num>
  <w:num w:numId="66">
    <w:abstractNumId w:val="79"/>
  </w:num>
  <w:num w:numId="67">
    <w:abstractNumId w:val="24"/>
  </w:num>
  <w:num w:numId="68">
    <w:abstractNumId w:val="64"/>
  </w:num>
  <w:num w:numId="69">
    <w:abstractNumId w:val="82"/>
  </w:num>
  <w:num w:numId="70">
    <w:abstractNumId w:val="58"/>
  </w:num>
  <w:num w:numId="71">
    <w:abstractNumId w:val="66"/>
  </w:num>
  <w:num w:numId="72">
    <w:abstractNumId w:val="13"/>
  </w:num>
  <w:num w:numId="73">
    <w:abstractNumId w:val="2"/>
  </w:num>
  <w:num w:numId="74">
    <w:abstractNumId w:val="16"/>
  </w:num>
  <w:num w:numId="75">
    <w:abstractNumId w:val="33"/>
  </w:num>
  <w:num w:numId="76">
    <w:abstractNumId w:val="75"/>
  </w:num>
  <w:num w:numId="77">
    <w:abstractNumId w:val="27"/>
  </w:num>
  <w:num w:numId="78">
    <w:abstractNumId w:val="17"/>
  </w:num>
  <w:num w:numId="79">
    <w:abstractNumId w:val="34"/>
  </w:num>
  <w:num w:numId="80">
    <w:abstractNumId w:val="40"/>
  </w:num>
  <w:num w:numId="81">
    <w:abstractNumId w:val="29"/>
  </w:num>
  <w:num w:numId="82">
    <w:abstractNumId w:val="14"/>
  </w:num>
  <w:num w:numId="83">
    <w:abstractNumId w:val="57"/>
  </w:num>
  <w:num w:numId="84">
    <w:abstractNumId w:val="4"/>
  </w:num>
  <w:num w:numId="85">
    <w:abstractNumId w:val="60"/>
  </w:num>
  <w:num w:numId="86">
    <w:abstractNumId w:val="45"/>
  </w:num>
  <w:num w:numId="87">
    <w:abstractNumId w:val="81"/>
  </w:num>
  <w:num w:numId="88">
    <w:abstractNumId w:val="51"/>
  </w:num>
  <w:num w:numId="89">
    <w:abstractNumId w:val="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isplayHorizontalDrawingGridEvery w:val="0"/>
  <w:noPunctuationKerning/>
  <w:characterSpacingControl w:val="doNotCompress"/>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spacing w:before="240"/>
      <w:jc w:val="center"/>
      <w:outlineLvl w:val="0"/>
    </w:pPr>
    <w:rPr>
      <w:b/>
      <w:noProof/>
      <w:kern w:val="28"/>
    </w:rPr>
  </w:style>
  <w:style w:type="paragraph" w:styleId="Heading2">
    <w:name w:val="heading 2"/>
    <w:basedOn w:val="Normal"/>
    <w:next w:val="Normal"/>
    <w:uiPriority w:val="9"/>
    <w:qFormat/>
    <w:pPr>
      <w:keepNext/>
      <w:ind w:left="705" w:hanging="705"/>
      <w:jc w:val="center"/>
      <w:outlineLvl w:val="1"/>
    </w:pPr>
    <w:rPr>
      <w:rFonts w:ascii="Bookman Old Style" w:hAnsi="Bookman Old Style"/>
      <w:b/>
      <w:spacing w:val="-5"/>
    </w:rPr>
  </w:style>
  <w:style w:type="paragraph" w:styleId="Heading3">
    <w:name w:val="heading 3"/>
    <w:basedOn w:val="Normal"/>
    <w:next w:val="Normal"/>
    <w:uiPriority w:val="9"/>
    <w:qFormat/>
    <w:pPr>
      <w:keepNext/>
      <w:jc w:val="center"/>
      <w:outlineLvl w:val="2"/>
    </w:pPr>
    <w:rPr>
      <w:b/>
      <w:color w:val="FF0000"/>
      <w:sz w:val="20"/>
    </w:rPr>
  </w:style>
  <w:style w:type="paragraph" w:styleId="Heading4">
    <w:name w:val="heading 4"/>
    <w:basedOn w:val="Normal"/>
    <w:next w:val="Normal"/>
    <w:uiPriority w:val="9"/>
    <w:qFormat/>
    <w:pPr>
      <w:keepNext/>
      <w:jc w:val="left"/>
      <w:outlineLvl w:val="3"/>
    </w:pPr>
    <w:rPr>
      <w:b/>
      <w:bCs/>
    </w:rPr>
  </w:style>
  <w:style w:type="paragraph" w:styleId="Heading5">
    <w:name w:val="heading 5"/>
    <w:basedOn w:val="Normal"/>
    <w:next w:val="Normal"/>
    <w:uiPriority w:val="9"/>
    <w:qFormat/>
    <w:pPr>
      <w:keepNext/>
      <w:ind w:left="806" w:hanging="806"/>
      <w:jc w:val="both"/>
      <w:outlineLvl w:val="4"/>
    </w:pPr>
    <w:rPr>
      <w:b/>
      <w:iCs/>
    </w:rPr>
  </w:style>
  <w:style w:type="paragraph" w:styleId="Heading6">
    <w:name w:val="heading 6"/>
    <w:basedOn w:val="Normal"/>
    <w:next w:val="Normal"/>
    <w:uiPriority w:val="9"/>
    <w:qFormat/>
    <w:pPr>
      <w:keepNext/>
      <w:tabs>
        <w:tab w:val="left" w:pos="381"/>
      </w:tabs>
      <w:jc w:val="both"/>
      <w:outlineLvl w:val="5"/>
    </w:pPr>
    <w:rPr>
      <w:b/>
      <w:iCs/>
    </w:rPr>
  </w:style>
  <w:style w:type="paragraph" w:styleId="Heading7">
    <w:name w:val="heading 7"/>
    <w:basedOn w:val="Normal"/>
    <w:next w:val="Normal"/>
    <w:uiPriority w:val="9"/>
    <w:qFormat/>
    <w:pPr>
      <w:keepNext/>
      <w:tabs>
        <w:tab w:val="left" w:pos="381"/>
      </w:tabs>
      <w:ind w:left="-70"/>
      <w:jc w:val="both"/>
      <w:outlineLvl w:val="6"/>
    </w:pPr>
    <w:rPr>
      <w:b/>
      <w:iCs/>
    </w:rPr>
  </w:style>
  <w:style w:type="paragraph" w:styleId="Heading8">
    <w:name w:val="heading 8"/>
    <w:basedOn w:val="Normal"/>
    <w:next w:val="Normal"/>
    <w:uiPriority w:val="9"/>
    <w:qFormat/>
    <w:pPr>
      <w:keepNext/>
      <w:ind w:left="1373" w:hanging="1373"/>
      <w:jc w:val="both"/>
      <w:outlineLvl w:val="7"/>
    </w:pPr>
    <w:rPr>
      <w:b/>
      <w:bCs/>
    </w:rPr>
  </w:style>
  <w:style w:type="paragraph" w:styleId="Heading9">
    <w:name w:val="heading 9"/>
    <w:basedOn w:val="Normal"/>
    <w:next w:val="Normal"/>
    <w:uiPriority w:val="9"/>
    <w:qFormat/>
    <w:pPr>
      <w:keepNext/>
      <w:ind w:left="72"/>
      <w:jc w:val="both"/>
      <w:outlineLvl w:val="8"/>
    </w:pPr>
    <w:rPr>
      <w:b/>
      <w:bCs/>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PlainText">
    <w:name w:val="Plain Text"/>
    <w:basedOn w:val="Normal"/>
    <w:pPr>
      <w:jc w:val="left"/>
    </w:pPr>
    <w:rPr>
      <w:rFonts w:ascii="Courier New" w:hAnsi="Courier New"/>
      <w:sz w:val="20"/>
    </w:rPr>
  </w:style>
  <w:style w:type="paragraph" w:customStyle="1" w:styleId="BodyText21">
    <w:name w:val="Body Text 21"/>
    <w:basedOn w:val="Normal"/>
    <w:pPr>
      <w:spacing w:before="120" w:line="240" w:lineRule="atLeast"/>
      <w:jc w:val="both"/>
    </w:pPr>
    <w:rPr>
      <w:sz w:val="20"/>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jc w:val="both"/>
    </w:pPr>
  </w:style>
  <w:style w:type="paragraph" w:styleId="BodyTextIndent">
    <w:name w:val="Body Text Indent"/>
    <w:basedOn w:val="Normal"/>
    <w:pPr>
      <w:jc w:val="both"/>
    </w:pPr>
    <w:rPr>
      <w:color w:val="FF0000"/>
      <w:sz w:val="20"/>
    </w:rPr>
  </w:style>
  <w:style w:type="paragraph" w:styleId="BodyTextIndent2">
    <w:name w:val="Body Text Indent 2"/>
    <w:basedOn w:val="Normal"/>
    <w:pPr>
      <w:ind w:left="-44"/>
      <w:jc w:val="left"/>
    </w:pPr>
    <w:rPr>
      <w:sz w:val="20"/>
    </w:rPr>
  </w:style>
  <w:style w:type="paragraph" w:styleId="BodyTextIndent3">
    <w:name w:val="Body Text Indent 3"/>
    <w:basedOn w:val="Normal"/>
    <w:pPr>
      <w:ind w:left="426" w:hanging="426"/>
      <w:jc w:val="both"/>
    </w:pPr>
  </w:style>
  <w:style w:type="paragraph" w:styleId="Title">
    <w:name w:val="Title"/>
    <w:basedOn w:val="Normal"/>
    <w:uiPriority w:val="10"/>
    <w:qFormat/>
    <w:pPr>
      <w:jc w:val="center"/>
    </w:pPr>
    <w:rPr>
      <w:i/>
      <w:sz w:val="20"/>
    </w:rPr>
  </w:style>
  <w:style w:type="character" w:customStyle="1" w:styleId="Znackapoznpodcarou">
    <w:name w:val="Znacka pozn. pod carou"/>
    <w:basedOn w:val="DefaultParagraphFont"/>
    <w:rPr>
      <w:vertAlign w:val="superscript"/>
    </w:rPr>
  </w:style>
  <w:style w:type="paragraph" w:customStyle="1" w:styleId="Textpoznpodcarou">
    <w:name w:val="Text pozn. pod carou"/>
    <w:basedOn w:val="Normal"/>
    <w:pPr>
      <w:jc w:val="left"/>
    </w:pPr>
    <w:rPr>
      <w:noProof/>
      <w:sz w:val="20"/>
      <w:lang w:val="cs-CZ"/>
    </w:rPr>
  </w:style>
  <w:style w:type="paragraph" w:customStyle="1" w:styleId="odsek">
    <w:name w:val="odsek"/>
    <w:basedOn w:val="Normal"/>
    <w:pPr>
      <w:spacing w:before="240"/>
      <w:jc w:val="both"/>
    </w:pPr>
    <w:rPr>
      <w:noProof/>
      <w:color w:val="000000"/>
    </w:rPr>
  </w:style>
  <w:style w:type="character" w:styleId="FootnoteReference">
    <w:name w:val="footnote reference"/>
    <w:basedOn w:val="DefaultParagraphFont"/>
    <w:rPr>
      <w:vertAlign w:val="superscript"/>
    </w:rPr>
  </w:style>
  <w:style w:type="paragraph" w:styleId="FootnoteText">
    <w:name w:val="footnote text"/>
    <w:basedOn w:val="Normal"/>
    <w:pPr>
      <w:jc w:val="left"/>
    </w:pPr>
    <w:rPr>
      <w:noProof/>
    </w:rPr>
  </w:style>
  <w:style w:type="paragraph" w:customStyle="1" w:styleId="pismeno">
    <w:name w:val="pismeno"/>
    <w:basedOn w:val="Normal"/>
    <w:pPr>
      <w:numPr>
        <w:ilvl w:val="0"/>
        <w:numId w:val="25"/>
      </w:numPr>
      <w:tabs>
        <w:tab w:val="left" w:pos="360"/>
        <w:tab w:val="left" w:pos="426"/>
      </w:tabs>
      <w:spacing w:before="60"/>
      <w:ind w:left="340" w:hanging="340"/>
      <w:jc w:val="both"/>
    </w:pPr>
    <w:rPr>
      <w:noProof/>
    </w:rPr>
  </w:style>
  <w:style w:type="paragraph" w:customStyle="1" w:styleId="zaklad">
    <w:name w:val="zaklad"/>
    <w:basedOn w:val="BodyText"/>
    <w:pPr>
      <w:jc w:val="left"/>
    </w:pPr>
    <w:rPr>
      <w:noProof/>
    </w:rPr>
  </w:style>
  <w:style w:type="paragraph" w:styleId="DocumentMap">
    <w:name w:val="Document Map"/>
    <w:basedOn w:val="Normal"/>
    <w:pPr>
      <w:shd w:val="clear" w:color="auto" w:fill="000080"/>
      <w:jc w:val="left"/>
    </w:pPr>
    <w:rPr>
      <w:rFonts w:ascii="Tahoma" w:hAnsi="Tahoma" w:cs="Tahoma"/>
    </w:rPr>
  </w:style>
  <w:style w:type="paragraph" w:styleId="BodyText2">
    <w:name w:val="Body Text 2"/>
    <w:basedOn w:val="Normal"/>
    <w:pPr>
      <w:jc w:val="center"/>
    </w:pPr>
    <w:rPr>
      <w:color w:val="339966"/>
    </w:rPr>
  </w:style>
  <w:style w:type="paragraph" w:styleId="BodyText3">
    <w:name w:val="Body Text 3"/>
    <w:basedOn w:val="Normal"/>
    <w:pPr>
      <w:jc w:val="both"/>
    </w:pPr>
    <w:rPr>
      <w:color w:val="FF0000"/>
    </w:rPr>
  </w:style>
  <w:style w:type="paragraph" w:styleId="CommentText">
    <w:name w:val="annotation text"/>
    <w:basedOn w:val="Normal"/>
    <w:pPr>
      <w:jc w:val="left"/>
    </w:pPr>
  </w:style>
  <w:style w:type="character" w:styleId="CommentReference">
    <w:name w:val="annotation reference"/>
    <w:basedOn w:val="DefaultParagraphFont"/>
    <w:rPr>
      <w:sz w:val="16"/>
      <w:rtl w:val="0"/>
    </w:rPr>
  </w:style>
  <w:style w:type="paragraph" w:customStyle="1" w:styleId="Textpsmene">
    <w:name w:val="Text písmene"/>
    <w:basedOn w:val="Normal"/>
    <w:pPr>
      <w:numPr>
        <w:ilvl w:val="0"/>
        <w:numId w:val="33"/>
      </w:numPr>
      <w:tabs>
        <w:tab w:val="left" w:pos="360"/>
      </w:tabs>
      <w:ind w:left="360" w:hanging="360"/>
      <w:jc w:val="both"/>
    </w:pPr>
    <w:rPr>
      <w:lang w:val="cs-CZ"/>
    </w:rPr>
  </w:style>
  <w:style w:type="paragraph" w:customStyle="1" w:styleId="BodyText22">
    <w:name w:val="Body Text 22"/>
    <w:basedOn w:val="Normal"/>
    <w:pPr>
      <w:tabs>
        <w:tab w:val="left" w:pos="1843"/>
      </w:tabs>
      <w:ind w:left="357"/>
      <w:jc w:val="both"/>
    </w:pPr>
    <w:rPr>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128</TotalTime>
  <Pages>1</Pages>
  <Words>8476</Words>
  <Characters>48315</Characters>
  <Application>Microsoft Office Word</Application>
  <DocSecurity>0</DocSecurity>
  <Lines>0</Lines>
  <Paragraphs>0</Paragraphs>
  <ScaleCrop>false</ScaleCrop>
  <Company>MZP</Company>
  <LinksUpToDate>false</LinksUpToDate>
  <CharactersWithSpaces>59334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 (Table of Concordance)</dc:title>
  <dc:creator>MZP</dc:creator>
  <cp:lastModifiedBy>Belanova</cp:lastModifiedBy>
  <cp:revision>4</cp:revision>
  <cp:lastPrinted>2004-06-17T06:30:00Z</cp:lastPrinted>
  <dcterms:created xsi:type="dcterms:W3CDTF">2004-06-03T08:35:00Z</dcterms:created>
  <dcterms:modified xsi:type="dcterms:W3CDTF">2004-06-17T08:23:00Z</dcterms:modified>
</cp:coreProperties>
</file>